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747C" w14:textId="77777777" w:rsidR="00384F01" w:rsidRDefault="00384F01">
      <w:pPr>
        <w:spacing w:line="240" w:lineRule="auto"/>
        <w:jc w:val="center"/>
        <w:rPr>
          <w:rtl/>
        </w:rPr>
      </w:pPr>
      <w:r>
        <w:rPr>
          <w:rFonts w:hint="cs"/>
          <w:b/>
          <w:bCs/>
          <w:szCs w:val="32"/>
          <w:rtl/>
        </w:rPr>
        <w:t>בתי המשפט</w:t>
      </w:r>
      <w:r>
        <w:rPr>
          <w:rFonts w:hint="cs"/>
          <w:rtl/>
        </w:rPr>
        <w:t xml:space="preserve"> </w:t>
      </w:r>
    </w:p>
    <w:tbl>
      <w:tblPr>
        <w:bidiVisual/>
        <w:tblW w:w="86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
        <w:gridCol w:w="685"/>
        <w:gridCol w:w="685"/>
        <w:gridCol w:w="1768"/>
        <w:gridCol w:w="2505"/>
        <w:gridCol w:w="576"/>
        <w:gridCol w:w="393"/>
        <w:gridCol w:w="1961"/>
        <w:gridCol w:w="69"/>
      </w:tblGrid>
      <w:tr w:rsidR="00384F01" w14:paraId="111C29B6" w14:textId="77777777" w:rsidTr="00384F01">
        <w:trPr>
          <w:gridAfter w:val="1"/>
          <w:trHeight w:val="315"/>
        </w:trPr>
        <w:tc>
          <w:tcPr>
            <w:tcW w:w="8522" w:type="dxa"/>
            <w:gridSpan w:val="8"/>
            <w:tcBorders>
              <w:top w:val="single" w:sz="4" w:space="0" w:color="auto"/>
              <w:left w:val="single" w:sz="4" w:space="0" w:color="auto"/>
              <w:bottom w:val="single" w:sz="4" w:space="0" w:color="auto"/>
              <w:right w:val="single" w:sz="4" w:space="0" w:color="auto"/>
            </w:tcBorders>
          </w:tcPr>
          <w:p w14:paraId="74558D57" w14:textId="77777777" w:rsidR="00384F01" w:rsidRDefault="00384F01">
            <w:pPr>
              <w:spacing w:line="240" w:lineRule="auto"/>
              <w:jc w:val="center"/>
              <w:rPr>
                <w:b/>
                <w:bCs/>
                <w:spacing w:val="110"/>
                <w:sz w:val="24"/>
                <w:szCs w:val="32"/>
              </w:rPr>
            </w:pPr>
          </w:p>
        </w:tc>
      </w:tr>
      <w:tr w:rsidR="00384F01" w14:paraId="33AC4DB8" w14:textId="77777777" w:rsidTr="00384F01">
        <w:trPr>
          <w:gridAfter w:val="1"/>
          <w:cantSplit/>
          <w:trHeight w:val="195"/>
        </w:trPr>
        <w:tc>
          <w:tcPr>
            <w:tcW w:w="5609" w:type="dxa"/>
            <w:gridSpan w:val="5"/>
            <w:vMerge w:val="restart"/>
            <w:tcBorders>
              <w:top w:val="single" w:sz="4" w:space="0" w:color="auto"/>
              <w:left w:val="single" w:sz="4" w:space="0" w:color="auto"/>
              <w:bottom w:val="single" w:sz="4" w:space="0" w:color="auto"/>
              <w:right w:val="single" w:sz="4" w:space="0" w:color="auto"/>
            </w:tcBorders>
          </w:tcPr>
          <w:p w14:paraId="0078DC33" w14:textId="77777777" w:rsidR="00384F01" w:rsidRDefault="00384F01">
            <w:pPr>
              <w:spacing w:line="240" w:lineRule="auto"/>
              <w:rPr>
                <w:b/>
                <w:bCs/>
                <w:sz w:val="24"/>
              </w:rPr>
            </w:pPr>
            <w:r>
              <w:rPr>
                <w:rFonts w:hint="cs"/>
                <w:b/>
                <w:bCs/>
                <w:sz w:val="24"/>
                <w:rtl/>
              </w:rPr>
              <w:t>בית משפט השלום נצרת</w:t>
            </w:r>
          </w:p>
        </w:tc>
        <w:tc>
          <w:tcPr>
            <w:tcW w:w="2913" w:type="dxa"/>
            <w:gridSpan w:val="3"/>
            <w:tcBorders>
              <w:top w:val="single" w:sz="4" w:space="0" w:color="auto"/>
              <w:left w:val="single" w:sz="4" w:space="0" w:color="auto"/>
              <w:bottom w:val="single" w:sz="4" w:space="0" w:color="auto"/>
              <w:right w:val="single" w:sz="4" w:space="0" w:color="auto"/>
            </w:tcBorders>
          </w:tcPr>
          <w:p w14:paraId="37A44308" w14:textId="77777777" w:rsidR="00384F01" w:rsidRDefault="00384F01">
            <w:pPr>
              <w:spacing w:line="240" w:lineRule="auto"/>
              <w:rPr>
                <w:b/>
                <w:bCs/>
                <w:sz w:val="24"/>
              </w:rPr>
            </w:pPr>
            <w:r>
              <w:rPr>
                <w:rFonts w:hint="cs"/>
                <w:b/>
                <w:bCs/>
                <w:sz w:val="24"/>
                <w:rtl/>
              </w:rPr>
              <w:t>פ  003487/02</w:t>
            </w:r>
          </w:p>
        </w:tc>
      </w:tr>
      <w:tr w:rsidR="00384F01" w14:paraId="4F5693FD" w14:textId="77777777" w:rsidTr="00384F01">
        <w:trPr>
          <w:gridAfter w:val="1"/>
          <w:cantSplit/>
          <w:trHeight w:val="195"/>
        </w:trPr>
        <w:tc>
          <w:tcPr>
            <w:tcW w:w="0" w:type="auto"/>
            <w:gridSpan w:val="5"/>
            <w:vMerge/>
            <w:tcBorders>
              <w:top w:val="single" w:sz="4" w:space="0" w:color="auto"/>
              <w:left w:val="single" w:sz="4" w:space="0" w:color="auto"/>
              <w:bottom w:val="single" w:sz="4" w:space="0" w:color="auto"/>
              <w:right w:val="single" w:sz="4" w:space="0" w:color="auto"/>
            </w:tcBorders>
            <w:vAlign w:val="center"/>
          </w:tcPr>
          <w:p w14:paraId="742E598B" w14:textId="77777777" w:rsidR="00384F01" w:rsidRDefault="00384F01">
            <w:pPr>
              <w:bidi w:val="0"/>
              <w:spacing w:line="240" w:lineRule="auto"/>
              <w:jc w:val="left"/>
              <w:rPr>
                <w:b/>
                <w:bCs/>
                <w:sz w:val="24"/>
              </w:rPr>
            </w:pPr>
          </w:p>
        </w:tc>
        <w:tc>
          <w:tcPr>
            <w:tcW w:w="2913" w:type="dxa"/>
            <w:gridSpan w:val="3"/>
            <w:tcBorders>
              <w:top w:val="single" w:sz="4" w:space="0" w:color="auto"/>
              <w:left w:val="single" w:sz="4" w:space="0" w:color="auto"/>
              <w:bottom w:val="single" w:sz="4" w:space="0" w:color="auto"/>
              <w:right w:val="single" w:sz="4" w:space="0" w:color="auto"/>
            </w:tcBorders>
          </w:tcPr>
          <w:p w14:paraId="312E1133" w14:textId="77777777" w:rsidR="00384F01" w:rsidRDefault="00384F01">
            <w:pPr>
              <w:spacing w:line="240" w:lineRule="auto"/>
              <w:rPr>
                <w:b/>
                <w:bCs/>
                <w:sz w:val="24"/>
              </w:rPr>
            </w:pPr>
          </w:p>
        </w:tc>
      </w:tr>
      <w:tr w:rsidR="00384F01" w14:paraId="11B41839" w14:textId="77777777" w:rsidTr="00384F01">
        <w:trPr>
          <w:gridAfter w:val="1"/>
          <w:trHeight w:val="286"/>
        </w:trPr>
        <w:tc>
          <w:tcPr>
            <w:tcW w:w="681" w:type="dxa"/>
            <w:gridSpan w:val="2"/>
            <w:tcBorders>
              <w:top w:val="single" w:sz="4" w:space="0" w:color="auto"/>
              <w:left w:val="single" w:sz="4" w:space="0" w:color="auto"/>
              <w:bottom w:val="single" w:sz="4" w:space="0" w:color="auto"/>
              <w:right w:val="single" w:sz="4" w:space="0" w:color="auto"/>
            </w:tcBorders>
          </w:tcPr>
          <w:p w14:paraId="47782F2B" w14:textId="77777777" w:rsidR="00384F01" w:rsidRDefault="00384F01">
            <w:pPr>
              <w:spacing w:line="240" w:lineRule="auto"/>
              <w:ind w:right="-355"/>
              <w:rPr>
                <w:b/>
                <w:bCs/>
                <w:sz w:val="24"/>
              </w:rPr>
            </w:pPr>
            <w:bookmarkStart w:id="0" w:name="LastJudge"/>
            <w:r>
              <w:rPr>
                <w:rFonts w:hint="cs"/>
                <w:b/>
                <w:bCs/>
                <w:sz w:val="24"/>
                <w:rtl/>
              </w:rPr>
              <w:t>בפני:</w:t>
            </w:r>
          </w:p>
        </w:tc>
        <w:tc>
          <w:tcPr>
            <w:tcW w:w="4928" w:type="dxa"/>
            <w:gridSpan w:val="3"/>
            <w:tcBorders>
              <w:top w:val="single" w:sz="4" w:space="0" w:color="auto"/>
              <w:left w:val="single" w:sz="4" w:space="0" w:color="auto"/>
              <w:bottom w:val="single" w:sz="4" w:space="0" w:color="auto"/>
              <w:right w:val="single" w:sz="4" w:space="0" w:color="auto"/>
            </w:tcBorders>
          </w:tcPr>
          <w:p w14:paraId="68B671CA" w14:textId="77777777" w:rsidR="00384F01" w:rsidRDefault="00384F01">
            <w:pPr>
              <w:spacing w:line="240" w:lineRule="auto"/>
              <w:rPr>
                <w:b/>
                <w:bCs/>
                <w:sz w:val="24"/>
              </w:rPr>
            </w:pPr>
            <w:r>
              <w:rPr>
                <w:rFonts w:hint="cs"/>
                <w:b/>
                <w:bCs/>
                <w:sz w:val="24"/>
                <w:rtl/>
              </w:rPr>
              <w:t>כב' השופט ג. אזולאי - ס. נשיא</w:t>
            </w:r>
          </w:p>
        </w:tc>
        <w:tc>
          <w:tcPr>
            <w:tcW w:w="964"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A38452C" w14:textId="77777777" w:rsidR="00384F01" w:rsidRDefault="00384F01">
            <w:pPr>
              <w:spacing w:line="240" w:lineRule="auto"/>
              <w:rPr>
                <w:b/>
                <w:bCs/>
                <w:sz w:val="24"/>
              </w:rPr>
            </w:pPr>
            <w:r>
              <w:rPr>
                <w:rFonts w:hint="cs"/>
                <w:b/>
                <w:bCs/>
                <w:sz w:val="24"/>
                <w:rtl/>
              </w:rPr>
              <w:t xml:space="preserve"> תאריך:</w:t>
            </w:r>
          </w:p>
        </w:tc>
        <w:tc>
          <w:tcPr>
            <w:tcW w:w="1949" w:type="dxa"/>
            <w:tcBorders>
              <w:top w:val="single" w:sz="4" w:space="0" w:color="auto"/>
              <w:left w:val="single" w:sz="4" w:space="0" w:color="auto"/>
              <w:bottom w:val="single" w:sz="4" w:space="0" w:color="auto"/>
              <w:right w:val="single" w:sz="4" w:space="0" w:color="auto"/>
            </w:tcBorders>
          </w:tcPr>
          <w:p w14:paraId="1BC28D51" w14:textId="77777777" w:rsidR="00384F01" w:rsidRDefault="00384F01">
            <w:pPr>
              <w:spacing w:line="240" w:lineRule="auto"/>
              <w:rPr>
                <w:b/>
                <w:bCs/>
                <w:sz w:val="24"/>
              </w:rPr>
            </w:pPr>
            <w:r>
              <w:rPr>
                <w:rFonts w:hint="cs"/>
                <w:b/>
                <w:bCs/>
                <w:sz w:val="24"/>
                <w:rtl/>
              </w:rPr>
              <w:t>02/02/2005</w:t>
            </w:r>
          </w:p>
        </w:tc>
      </w:tr>
      <w:tr w:rsidR="00384F01" w14:paraId="7ED89D3E" w14:textId="77777777" w:rsidTr="00384F01">
        <w:tblPrEx>
          <w:tblBorders>
            <w:top w:val="none" w:sz="0" w:space="0" w:color="auto"/>
            <w:left w:val="none" w:sz="0" w:space="0" w:color="auto"/>
            <w:bottom w:val="none" w:sz="0" w:space="0" w:color="auto"/>
            <w:right w:val="none" w:sz="0" w:space="0" w:color="auto"/>
          </w:tblBorders>
          <w:tblCellMar>
            <w:left w:w="107" w:type="dxa"/>
            <w:right w:w="107" w:type="dxa"/>
          </w:tblCellMar>
        </w:tblPrEx>
        <w:trPr>
          <w:gridBefore w:val="1"/>
        </w:trPr>
        <w:tc>
          <w:tcPr>
            <w:tcW w:w="1362" w:type="dxa"/>
            <w:gridSpan w:val="2"/>
          </w:tcPr>
          <w:p w14:paraId="4511F43C" w14:textId="77777777" w:rsidR="00384F01" w:rsidRDefault="00384F01">
            <w:pPr>
              <w:spacing w:line="240" w:lineRule="auto"/>
              <w:rPr>
                <w:b/>
                <w:bCs/>
                <w:sz w:val="24"/>
              </w:rPr>
            </w:pPr>
            <w:bookmarkStart w:id="1" w:name="FirstAppellant"/>
            <w:bookmarkEnd w:id="0"/>
            <w:r>
              <w:rPr>
                <w:rFonts w:hint="cs"/>
                <w:b/>
                <w:bCs/>
                <w:sz w:val="24"/>
                <w:rtl/>
              </w:rPr>
              <w:t>בעניין:</w:t>
            </w:r>
          </w:p>
        </w:tc>
        <w:tc>
          <w:tcPr>
            <w:tcW w:w="4820" w:type="dxa"/>
            <w:gridSpan w:val="3"/>
          </w:tcPr>
          <w:p w14:paraId="5CD37E1B" w14:textId="77777777" w:rsidR="00384F01" w:rsidRDefault="00384F01">
            <w:pPr>
              <w:spacing w:line="240" w:lineRule="auto"/>
              <w:rPr>
                <w:b/>
                <w:bCs/>
                <w:sz w:val="24"/>
              </w:rPr>
            </w:pPr>
            <w:r>
              <w:rPr>
                <w:rFonts w:hint="cs"/>
                <w:b/>
                <w:bCs/>
                <w:sz w:val="24"/>
                <w:rtl/>
              </w:rPr>
              <w:t>מדינת ישראל</w:t>
            </w:r>
            <w:bookmarkStart w:id="2" w:name="שם_א"/>
            <w:bookmarkEnd w:id="2"/>
          </w:p>
        </w:tc>
        <w:tc>
          <w:tcPr>
            <w:tcW w:w="2409" w:type="dxa"/>
            <w:gridSpan w:val="3"/>
          </w:tcPr>
          <w:p w14:paraId="3899C99F" w14:textId="77777777" w:rsidR="00384F01" w:rsidRDefault="00384F01">
            <w:pPr>
              <w:pStyle w:val="Heading5"/>
              <w:spacing w:line="240" w:lineRule="auto"/>
              <w:rPr>
                <w:u w:val="none"/>
              </w:rPr>
            </w:pPr>
          </w:p>
        </w:tc>
      </w:tr>
      <w:bookmarkEnd w:id="1"/>
      <w:tr w:rsidR="00384F01" w14:paraId="57423971" w14:textId="77777777" w:rsidTr="00384F01">
        <w:tblPrEx>
          <w:tblBorders>
            <w:top w:val="none" w:sz="0" w:space="0" w:color="auto"/>
            <w:left w:val="none" w:sz="0" w:space="0" w:color="auto"/>
            <w:bottom w:val="none" w:sz="0" w:space="0" w:color="auto"/>
            <w:right w:val="none" w:sz="0" w:space="0" w:color="auto"/>
          </w:tblBorders>
          <w:tblCellMar>
            <w:left w:w="107" w:type="dxa"/>
            <w:right w:w="107" w:type="dxa"/>
          </w:tblCellMar>
        </w:tblPrEx>
        <w:trPr>
          <w:gridBefore w:val="1"/>
        </w:trPr>
        <w:tc>
          <w:tcPr>
            <w:tcW w:w="1362" w:type="dxa"/>
            <w:gridSpan w:val="2"/>
          </w:tcPr>
          <w:p w14:paraId="57155479" w14:textId="77777777" w:rsidR="00384F01" w:rsidRDefault="00384F01">
            <w:pPr>
              <w:spacing w:line="240" w:lineRule="auto"/>
              <w:rPr>
                <w:b/>
                <w:bCs/>
                <w:sz w:val="24"/>
              </w:rPr>
            </w:pPr>
          </w:p>
        </w:tc>
        <w:tc>
          <w:tcPr>
            <w:tcW w:w="1757" w:type="dxa"/>
          </w:tcPr>
          <w:p w14:paraId="68569706" w14:textId="77777777" w:rsidR="00384F01" w:rsidRDefault="00384F01">
            <w:pPr>
              <w:spacing w:line="240" w:lineRule="auto"/>
              <w:rPr>
                <w:b/>
                <w:bCs/>
                <w:sz w:val="24"/>
              </w:rPr>
            </w:pPr>
          </w:p>
        </w:tc>
        <w:tc>
          <w:tcPr>
            <w:tcW w:w="3063" w:type="dxa"/>
            <w:gridSpan w:val="2"/>
          </w:tcPr>
          <w:p w14:paraId="5CEC9EB0" w14:textId="77777777" w:rsidR="00384F01" w:rsidRDefault="00384F01">
            <w:pPr>
              <w:spacing w:line="240" w:lineRule="auto"/>
              <w:rPr>
                <w:b/>
                <w:bCs/>
                <w:sz w:val="24"/>
              </w:rPr>
            </w:pPr>
          </w:p>
        </w:tc>
        <w:tc>
          <w:tcPr>
            <w:tcW w:w="2409" w:type="dxa"/>
            <w:gridSpan w:val="3"/>
          </w:tcPr>
          <w:p w14:paraId="7C90BA26" w14:textId="77777777" w:rsidR="00384F01" w:rsidRDefault="00384F01">
            <w:pPr>
              <w:pStyle w:val="Heading5"/>
              <w:spacing w:line="240" w:lineRule="auto"/>
              <w:rPr>
                <w:sz w:val="20"/>
                <w:u w:val="none"/>
              </w:rPr>
            </w:pPr>
            <w:r>
              <w:rPr>
                <w:rFonts w:hint="cs"/>
                <w:sz w:val="20"/>
                <w:u w:val="none"/>
                <w:rtl/>
              </w:rPr>
              <w:t>המאשימה</w:t>
            </w:r>
          </w:p>
        </w:tc>
      </w:tr>
      <w:tr w:rsidR="00384F01" w14:paraId="3BF607FA" w14:textId="77777777" w:rsidTr="00384F01">
        <w:tblPrEx>
          <w:tblBorders>
            <w:top w:val="none" w:sz="0" w:space="0" w:color="auto"/>
            <w:left w:val="none" w:sz="0" w:space="0" w:color="auto"/>
            <w:bottom w:val="none" w:sz="0" w:space="0" w:color="auto"/>
            <w:right w:val="none" w:sz="0" w:space="0" w:color="auto"/>
          </w:tblBorders>
          <w:tblCellMar>
            <w:left w:w="107" w:type="dxa"/>
            <w:right w:w="107" w:type="dxa"/>
          </w:tblCellMar>
        </w:tblPrEx>
        <w:trPr>
          <w:gridBefore w:val="1"/>
        </w:trPr>
        <w:tc>
          <w:tcPr>
            <w:tcW w:w="1362" w:type="dxa"/>
            <w:gridSpan w:val="2"/>
          </w:tcPr>
          <w:p w14:paraId="22A284C9" w14:textId="77777777" w:rsidR="00384F01" w:rsidRDefault="00384F01">
            <w:pPr>
              <w:spacing w:line="240" w:lineRule="auto"/>
              <w:rPr>
                <w:b/>
                <w:bCs/>
                <w:sz w:val="24"/>
              </w:rPr>
            </w:pPr>
          </w:p>
        </w:tc>
        <w:tc>
          <w:tcPr>
            <w:tcW w:w="4820" w:type="dxa"/>
            <w:gridSpan w:val="3"/>
          </w:tcPr>
          <w:p w14:paraId="4FCCD99A" w14:textId="77777777" w:rsidR="00384F01" w:rsidRDefault="00384F01">
            <w:pPr>
              <w:spacing w:line="240" w:lineRule="auto"/>
              <w:jc w:val="center"/>
              <w:rPr>
                <w:b/>
                <w:bCs/>
                <w:sz w:val="24"/>
              </w:rPr>
            </w:pPr>
          </w:p>
          <w:p w14:paraId="00C4C6D6" w14:textId="77777777" w:rsidR="00384F01" w:rsidRDefault="00384F01">
            <w:pPr>
              <w:spacing w:line="240" w:lineRule="auto"/>
              <w:jc w:val="center"/>
              <w:rPr>
                <w:rFonts w:hint="cs"/>
                <w:b/>
                <w:bCs/>
                <w:sz w:val="24"/>
                <w:rtl/>
              </w:rPr>
            </w:pPr>
            <w:r>
              <w:rPr>
                <w:rFonts w:hint="cs"/>
                <w:b/>
                <w:bCs/>
                <w:sz w:val="24"/>
                <w:rtl/>
              </w:rPr>
              <w:t>נ  ג  ד</w:t>
            </w:r>
          </w:p>
          <w:p w14:paraId="180CA3B6" w14:textId="77777777" w:rsidR="00384F01" w:rsidRDefault="00384F01">
            <w:pPr>
              <w:spacing w:line="240" w:lineRule="auto"/>
              <w:jc w:val="center"/>
              <w:rPr>
                <w:b/>
                <w:bCs/>
                <w:sz w:val="24"/>
              </w:rPr>
            </w:pPr>
          </w:p>
        </w:tc>
        <w:tc>
          <w:tcPr>
            <w:tcW w:w="2409" w:type="dxa"/>
            <w:gridSpan w:val="3"/>
          </w:tcPr>
          <w:p w14:paraId="37F137CA" w14:textId="77777777" w:rsidR="00384F01" w:rsidRDefault="00384F01">
            <w:pPr>
              <w:spacing w:line="240" w:lineRule="auto"/>
              <w:rPr>
                <w:b/>
                <w:bCs/>
                <w:sz w:val="24"/>
              </w:rPr>
            </w:pPr>
          </w:p>
        </w:tc>
      </w:tr>
      <w:tr w:rsidR="00384F01" w14:paraId="44C9A3C8" w14:textId="77777777" w:rsidTr="00384F01">
        <w:tblPrEx>
          <w:tblBorders>
            <w:top w:val="none" w:sz="0" w:space="0" w:color="auto"/>
            <w:left w:val="none" w:sz="0" w:space="0" w:color="auto"/>
            <w:bottom w:val="none" w:sz="0" w:space="0" w:color="auto"/>
            <w:right w:val="none" w:sz="0" w:space="0" w:color="auto"/>
          </w:tblBorders>
          <w:tblCellMar>
            <w:left w:w="107" w:type="dxa"/>
            <w:right w:w="107" w:type="dxa"/>
          </w:tblCellMar>
        </w:tblPrEx>
        <w:trPr>
          <w:gridBefore w:val="1"/>
        </w:trPr>
        <w:tc>
          <w:tcPr>
            <w:tcW w:w="1362" w:type="dxa"/>
            <w:gridSpan w:val="2"/>
          </w:tcPr>
          <w:p w14:paraId="689CDDD5" w14:textId="77777777" w:rsidR="00384F01" w:rsidRDefault="00384F01">
            <w:pPr>
              <w:spacing w:line="240" w:lineRule="auto"/>
              <w:rPr>
                <w:b/>
                <w:bCs/>
                <w:sz w:val="24"/>
              </w:rPr>
            </w:pPr>
            <w:bookmarkStart w:id="3" w:name="שם_ב" w:colFirst="1" w:colLast="1"/>
          </w:p>
        </w:tc>
        <w:tc>
          <w:tcPr>
            <w:tcW w:w="4820" w:type="dxa"/>
            <w:gridSpan w:val="3"/>
          </w:tcPr>
          <w:p w14:paraId="64F71050" w14:textId="77777777" w:rsidR="00384F01" w:rsidRDefault="00384F01">
            <w:pPr>
              <w:spacing w:line="240" w:lineRule="auto"/>
              <w:rPr>
                <w:b/>
                <w:bCs/>
                <w:sz w:val="24"/>
              </w:rPr>
            </w:pPr>
            <w:r>
              <w:rPr>
                <w:rFonts w:hint="cs"/>
                <w:b/>
                <w:bCs/>
                <w:sz w:val="24"/>
                <w:rtl/>
              </w:rPr>
              <w:t>זועבי אמג'ד</w:t>
            </w:r>
          </w:p>
        </w:tc>
        <w:tc>
          <w:tcPr>
            <w:tcW w:w="2409" w:type="dxa"/>
            <w:gridSpan w:val="3"/>
          </w:tcPr>
          <w:p w14:paraId="7539C864" w14:textId="77777777" w:rsidR="00384F01" w:rsidRDefault="00384F01">
            <w:pPr>
              <w:pStyle w:val="Heading5"/>
              <w:spacing w:line="240" w:lineRule="auto"/>
              <w:rPr>
                <w:u w:val="none"/>
              </w:rPr>
            </w:pPr>
          </w:p>
        </w:tc>
      </w:tr>
      <w:bookmarkEnd w:id="3"/>
      <w:tr w:rsidR="00384F01" w14:paraId="2FEF6138" w14:textId="77777777" w:rsidTr="00384F01">
        <w:tblPrEx>
          <w:tblBorders>
            <w:top w:val="none" w:sz="0" w:space="0" w:color="auto"/>
            <w:left w:val="none" w:sz="0" w:space="0" w:color="auto"/>
            <w:bottom w:val="none" w:sz="0" w:space="0" w:color="auto"/>
            <w:right w:val="none" w:sz="0" w:space="0" w:color="auto"/>
          </w:tblBorders>
          <w:tblCellMar>
            <w:left w:w="107" w:type="dxa"/>
            <w:right w:w="107" w:type="dxa"/>
          </w:tblCellMar>
        </w:tblPrEx>
        <w:trPr>
          <w:gridBefore w:val="1"/>
        </w:trPr>
        <w:tc>
          <w:tcPr>
            <w:tcW w:w="1362" w:type="dxa"/>
            <w:gridSpan w:val="2"/>
          </w:tcPr>
          <w:p w14:paraId="069D0873" w14:textId="77777777" w:rsidR="00384F01" w:rsidRDefault="00384F01">
            <w:pPr>
              <w:spacing w:line="240" w:lineRule="auto"/>
              <w:rPr>
                <w:b/>
                <w:bCs/>
                <w:sz w:val="24"/>
              </w:rPr>
            </w:pPr>
          </w:p>
        </w:tc>
        <w:tc>
          <w:tcPr>
            <w:tcW w:w="1757" w:type="dxa"/>
          </w:tcPr>
          <w:p w14:paraId="5159E09E" w14:textId="77777777" w:rsidR="00384F01" w:rsidRDefault="00384F01">
            <w:pPr>
              <w:spacing w:line="240" w:lineRule="auto"/>
              <w:rPr>
                <w:b/>
                <w:bCs/>
                <w:sz w:val="24"/>
              </w:rPr>
            </w:pPr>
          </w:p>
        </w:tc>
        <w:tc>
          <w:tcPr>
            <w:tcW w:w="3063" w:type="dxa"/>
            <w:gridSpan w:val="2"/>
          </w:tcPr>
          <w:p w14:paraId="000AFA20" w14:textId="77777777" w:rsidR="00384F01" w:rsidRDefault="00384F01">
            <w:pPr>
              <w:spacing w:line="240" w:lineRule="auto"/>
              <w:rPr>
                <w:b/>
                <w:bCs/>
                <w:sz w:val="24"/>
              </w:rPr>
            </w:pPr>
          </w:p>
        </w:tc>
        <w:tc>
          <w:tcPr>
            <w:tcW w:w="2409" w:type="dxa"/>
            <w:gridSpan w:val="3"/>
          </w:tcPr>
          <w:p w14:paraId="402A403E" w14:textId="77777777" w:rsidR="00384F01" w:rsidRDefault="00384F01">
            <w:pPr>
              <w:pStyle w:val="Heading5"/>
              <w:spacing w:line="240" w:lineRule="auto"/>
              <w:rPr>
                <w:u w:val="none"/>
              </w:rPr>
            </w:pPr>
            <w:r>
              <w:rPr>
                <w:rFonts w:hint="cs"/>
                <w:u w:val="none"/>
                <w:rtl/>
              </w:rPr>
              <w:t>הנאשם/ים</w:t>
            </w:r>
          </w:p>
        </w:tc>
      </w:tr>
    </w:tbl>
    <w:p w14:paraId="0D716887" w14:textId="77777777" w:rsidR="00384F01" w:rsidRDefault="00384F01">
      <w:pPr>
        <w:pStyle w:val="a0"/>
        <w:rPr>
          <w:rFonts w:hint="cs"/>
          <w:sz w:val="24"/>
          <w:rtl/>
        </w:rPr>
      </w:pPr>
      <w:r>
        <w:rPr>
          <w:rFonts w:hint="cs"/>
          <w:sz w:val="24"/>
          <w:rtl/>
        </w:rPr>
        <w:t xml:space="preserve">נוכחים:           </w:t>
      </w:r>
      <w:bookmarkStart w:id="4" w:name="FirstLawyer"/>
      <w:r>
        <w:rPr>
          <w:rFonts w:hint="cs"/>
          <w:sz w:val="24"/>
          <w:rtl/>
        </w:rPr>
        <w:t>בשם</w:t>
      </w:r>
      <w:bookmarkEnd w:id="4"/>
      <w:r>
        <w:rPr>
          <w:rFonts w:hint="cs"/>
          <w:sz w:val="24"/>
          <w:rtl/>
        </w:rPr>
        <w:t xml:space="preserve"> המאשימה: עו"ד אמל כראם</w:t>
      </w:r>
    </w:p>
    <w:p w14:paraId="52C3CBF3" w14:textId="77777777" w:rsidR="00384F01" w:rsidRDefault="00384F01">
      <w:pPr>
        <w:pStyle w:val="a0"/>
        <w:rPr>
          <w:rFonts w:hint="cs"/>
          <w:sz w:val="24"/>
          <w:rtl/>
        </w:rPr>
      </w:pPr>
      <w:r>
        <w:rPr>
          <w:rFonts w:hint="cs"/>
          <w:sz w:val="24"/>
          <w:rtl/>
        </w:rPr>
        <w:t xml:space="preserve">                        הנאשם: הופיע</w:t>
      </w:r>
    </w:p>
    <w:p w14:paraId="3C73F900" w14:textId="77777777" w:rsidR="00384F01" w:rsidRDefault="00384F01">
      <w:pPr>
        <w:pStyle w:val="a0"/>
        <w:rPr>
          <w:rFonts w:hint="cs"/>
          <w:sz w:val="24"/>
          <w:rtl/>
        </w:rPr>
      </w:pPr>
      <w:r>
        <w:rPr>
          <w:rFonts w:hint="cs"/>
          <w:sz w:val="24"/>
          <w:rtl/>
        </w:rPr>
        <w:t xml:space="preserve">                        בשם הנאשם: עו"ד אבו אחמד חסן</w:t>
      </w:r>
    </w:p>
    <w:p w14:paraId="48245907" w14:textId="77777777" w:rsidR="004C7D7E" w:rsidRDefault="004C7D7E">
      <w:pPr>
        <w:suppressLineNumbers/>
        <w:jc w:val="center"/>
        <w:rPr>
          <w:sz w:val="28"/>
          <w:szCs w:val="28"/>
          <w:rtl/>
        </w:rPr>
      </w:pPr>
      <w:bookmarkStart w:id="5" w:name="סוג_מסמך"/>
      <w:bookmarkStart w:id="6" w:name="LawTable"/>
      <w:bookmarkEnd w:id="5"/>
      <w:bookmarkEnd w:id="6"/>
    </w:p>
    <w:p w14:paraId="35784E31" w14:textId="77777777" w:rsidR="004C7D7E" w:rsidRPr="004C7D7E" w:rsidRDefault="004C7D7E" w:rsidP="004C7D7E">
      <w:pPr>
        <w:suppressLineNumbers/>
        <w:spacing w:after="120" w:line="240" w:lineRule="exact"/>
        <w:ind w:left="283" w:hanging="283"/>
        <w:rPr>
          <w:rFonts w:ascii="FrankRuehl" w:hAnsi="FrankRuehl" w:cs="FrankRuehl"/>
          <w:sz w:val="24"/>
          <w:rtl/>
        </w:rPr>
      </w:pPr>
    </w:p>
    <w:p w14:paraId="635C6FD0" w14:textId="77777777" w:rsidR="004C7D7E" w:rsidRPr="004C7D7E" w:rsidRDefault="004C7D7E" w:rsidP="004C7D7E">
      <w:pPr>
        <w:suppressLineNumbers/>
        <w:spacing w:after="120" w:line="240" w:lineRule="exact"/>
        <w:ind w:left="283" w:hanging="283"/>
        <w:rPr>
          <w:rFonts w:ascii="FrankRuehl" w:hAnsi="FrankRuehl" w:cs="FrankRuehl"/>
          <w:sz w:val="24"/>
          <w:rtl/>
        </w:rPr>
      </w:pPr>
      <w:r w:rsidRPr="004C7D7E">
        <w:rPr>
          <w:rFonts w:ascii="FrankRuehl" w:hAnsi="FrankRuehl" w:cs="FrankRuehl"/>
          <w:sz w:val="24"/>
          <w:rtl/>
        </w:rPr>
        <w:t xml:space="preserve">חקיקה שאוזכרה: </w:t>
      </w:r>
    </w:p>
    <w:p w14:paraId="6C3A5960" w14:textId="77777777" w:rsidR="004C7D7E" w:rsidRPr="004C7D7E" w:rsidRDefault="004C7D7E" w:rsidP="004C7D7E">
      <w:pPr>
        <w:suppressLineNumbers/>
        <w:spacing w:after="120" w:line="240" w:lineRule="exact"/>
        <w:ind w:left="283" w:hanging="283"/>
        <w:rPr>
          <w:rFonts w:ascii="FrankRuehl" w:hAnsi="FrankRuehl" w:cs="FrankRuehl"/>
          <w:color w:val="0000FF"/>
          <w:sz w:val="24"/>
          <w:u w:val="single"/>
          <w:rtl/>
        </w:rPr>
      </w:pPr>
      <w:hyperlink r:id="rId6" w:history="1">
        <w:r w:rsidRPr="004C7D7E">
          <w:rPr>
            <w:rStyle w:val="Hyperlink"/>
            <w:rFonts w:ascii="FrankRuehl" w:hAnsi="FrankRuehl" w:cs="FrankRuehl"/>
            <w:sz w:val="24"/>
            <w:rtl/>
          </w:rPr>
          <w:t>חוק העונשין, תשל"ז-1977</w:t>
        </w:r>
      </w:hyperlink>
      <w:r w:rsidRPr="004C7D7E">
        <w:rPr>
          <w:rFonts w:ascii="FrankRuehl" w:hAnsi="FrankRuehl" w:cs="FrankRuehl"/>
          <w:color w:val="0000FF"/>
          <w:sz w:val="24"/>
          <w:u w:val="single"/>
          <w:rtl/>
        </w:rPr>
        <w:t xml:space="preserve">: סע'  </w:t>
      </w:r>
      <w:hyperlink r:id="rId7" w:history="1">
        <w:r w:rsidRPr="004C7D7E">
          <w:rPr>
            <w:rStyle w:val="Hyperlink"/>
            <w:rFonts w:ascii="FrankRuehl" w:hAnsi="FrankRuehl" w:cs="FrankRuehl"/>
            <w:sz w:val="24"/>
          </w:rPr>
          <w:t>345</w:t>
        </w:r>
        <w:r w:rsidRPr="004C7D7E">
          <w:rPr>
            <w:rStyle w:val="Hyperlink"/>
            <w:rFonts w:ascii="FrankRuehl" w:hAnsi="FrankRuehl" w:cs="FrankRuehl"/>
            <w:sz w:val="24"/>
            <w:rtl/>
          </w:rPr>
          <w:t>(א)</w:t>
        </w:r>
        <w:r w:rsidRPr="004C7D7E">
          <w:rPr>
            <w:rStyle w:val="Hyperlink"/>
            <w:rFonts w:ascii="FrankRuehl" w:hAnsi="FrankRuehl" w:cs="FrankRuehl"/>
            <w:sz w:val="24"/>
          </w:rPr>
          <w:t>(1)</w:t>
        </w:r>
      </w:hyperlink>
      <w:r w:rsidRPr="004C7D7E">
        <w:rPr>
          <w:rFonts w:ascii="FrankRuehl" w:hAnsi="FrankRuehl" w:cs="FrankRuehl"/>
          <w:color w:val="0000FF"/>
          <w:sz w:val="24"/>
          <w:u w:val="single"/>
          <w:rtl/>
        </w:rPr>
        <w:t xml:space="preserve">, </w:t>
      </w:r>
      <w:hyperlink r:id="rId8" w:history="1">
        <w:r w:rsidRPr="004C7D7E">
          <w:rPr>
            <w:rStyle w:val="Hyperlink"/>
            <w:rFonts w:ascii="FrankRuehl" w:hAnsi="FrankRuehl" w:cs="FrankRuehl"/>
            <w:sz w:val="24"/>
          </w:rPr>
          <w:t>348(</w:t>
        </w:r>
        <w:r w:rsidRPr="004C7D7E">
          <w:rPr>
            <w:rStyle w:val="Hyperlink"/>
            <w:rFonts w:ascii="FrankRuehl" w:hAnsi="FrankRuehl" w:cs="FrankRuehl"/>
            <w:sz w:val="24"/>
            <w:rtl/>
          </w:rPr>
          <w:t>ג</w:t>
        </w:r>
        <w:r w:rsidRPr="004C7D7E">
          <w:rPr>
            <w:rStyle w:val="Hyperlink"/>
            <w:rFonts w:ascii="FrankRuehl" w:hAnsi="FrankRuehl" w:cs="FrankRuehl"/>
            <w:sz w:val="24"/>
          </w:rPr>
          <w:t>)</w:t>
        </w:r>
      </w:hyperlink>
      <w:r w:rsidRPr="004C7D7E">
        <w:rPr>
          <w:rFonts w:ascii="FrankRuehl" w:hAnsi="FrankRuehl" w:cs="FrankRuehl"/>
          <w:color w:val="0000FF"/>
          <w:sz w:val="24"/>
          <w:u w:val="single"/>
          <w:rtl/>
        </w:rPr>
        <w:t xml:space="preserve">, </w:t>
      </w:r>
      <w:hyperlink r:id="rId9" w:history="1">
        <w:r w:rsidRPr="004C7D7E">
          <w:rPr>
            <w:rStyle w:val="Hyperlink"/>
            <w:rFonts w:ascii="FrankRuehl" w:hAnsi="FrankRuehl" w:cs="FrankRuehl"/>
            <w:sz w:val="24"/>
          </w:rPr>
          <w:t>348</w:t>
        </w:r>
        <w:r w:rsidRPr="004C7D7E">
          <w:rPr>
            <w:rStyle w:val="Hyperlink"/>
            <w:rFonts w:ascii="FrankRuehl" w:hAnsi="FrankRuehl" w:cs="FrankRuehl"/>
            <w:sz w:val="24"/>
            <w:rtl/>
          </w:rPr>
          <w:t>(ג)</w:t>
        </w:r>
        <w:r w:rsidRPr="004C7D7E">
          <w:rPr>
            <w:rStyle w:val="Hyperlink"/>
            <w:rFonts w:ascii="FrankRuehl" w:hAnsi="FrankRuehl" w:cs="FrankRuehl"/>
            <w:sz w:val="24"/>
          </w:rPr>
          <w:t>(1)</w:t>
        </w:r>
      </w:hyperlink>
      <w:r w:rsidRPr="004C7D7E">
        <w:rPr>
          <w:rFonts w:ascii="FrankRuehl" w:hAnsi="FrankRuehl" w:cs="FrankRuehl"/>
          <w:color w:val="0000FF"/>
          <w:sz w:val="24"/>
          <w:u w:val="single"/>
          <w:rtl/>
        </w:rPr>
        <w:t xml:space="preserve">, </w:t>
      </w:r>
      <w:hyperlink r:id="rId10" w:history="1">
        <w:r w:rsidRPr="004C7D7E">
          <w:rPr>
            <w:rStyle w:val="Hyperlink"/>
            <w:rFonts w:ascii="FrankRuehl" w:hAnsi="FrankRuehl" w:cs="FrankRuehl"/>
            <w:sz w:val="24"/>
          </w:rPr>
          <w:t>379</w:t>
        </w:r>
      </w:hyperlink>
    </w:p>
    <w:p w14:paraId="15839769" w14:textId="77777777" w:rsidR="004C7D7E" w:rsidRPr="004C7D7E" w:rsidRDefault="004C7D7E" w:rsidP="004C7D7E">
      <w:pPr>
        <w:suppressLineNumbers/>
        <w:spacing w:after="120" w:line="240" w:lineRule="exact"/>
        <w:ind w:left="283" w:hanging="283"/>
        <w:rPr>
          <w:rFonts w:ascii="FrankRuehl" w:hAnsi="FrankRuehl" w:cs="FrankRuehl"/>
          <w:sz w:val="24"/>
          <w:rtl/>
        </w:rPr>
      </w:pPr>
    </w:p>
    <w:p w14:paraId="74546165" w14:textId="77777777" w:rsidR="004C7D7E" w:rsidRPr="004C7D7E" w:rsidRDefault="004C7D7E">
      <w:pPr>
        <w:suppressLineNumbers/>
        <w:jc w:val="center"/>
        <w:rPr>
          <w:sz w:val="28"/>
          <w:szCs w:val="28"/>
          <w:rtl/>
        </w:rPr>
      </w:pPr>
      <w:bookmarkStart w:id="7" w:name="LawTable_End"/>
      <w:bookmarkEnd w:id="7"/>
    </w:p>
    <w:p w14:paraId="6429601E" w14:textId="77777777" w:rsidR="004C7D7E" w:rsidRPr="004C7D7E" w:rsidRDefault="004C7D7E">
      <w:pPr>
        <w:suppressLineNumbers/>
        <w:jc w:val="center"/>
        <w:rPr>
          <w:b/>
          <w:bCs/>
          <w:sz w:val="28"/>
          <w:szCs w:val="28"/>
          <w:rtl/>
        </w:rPr>
      </w:pPr>
    </w:p>
    <w:p w14:paraId="225945A1" w14:textId="77777777" w:rsidR="00384F01" w:rsidRPr="004C7D7E" w:rsidRDefault="00384F01">
      <w:pPr>
        <w:suppressLineNumbers/>
        <w:jc w:val="center"/>
        <w:rPr>
          <w:rFonts w:hint="cs"/>
          <w:b/>
          <w:bCs/>
          <w:sz w:val="28"/>
          <w:szCs w:val="28"/>
          <w:rtl/>
        </w:rPr>
      </w:pPr>
    </w:p>
    <w:p w14:paraId="55D0E616" w14:textId="77777777" w:rsidR="00384F01" w:rsidRDefault="00384F01">
      <w:pPr>
        <w:jc w:val="center"/>
        <w:rPr>
          <w:b/>
          <w:bCs/>
          <w:sz w:val="28"/>
          <w:szCs w:val="28"/>
          <w:u w:val="single"/>
          <w:rtl/>
        </w:rPr>
      </w:pPr>
      <w:bookmarkStart w:id="8" w:name="PsakDin"/>
      <w:r>
        <w:rPr>
          <w:b/>
          <w:bCs/>
          <w:sz w:val="28"/>
          <w:szCs w:val="28"/>
          <w:u w:val="single"/>
          <w:rtl/>
        </w:rPr>
        <w:t>הכרעת דין</w:t>
      </w:r>
    </w:p>
    <w:p w14:paraId="4A17C776" w14:textId="77777777" w:rsidR="00384F01" w:rsidRDefault="00384F01">
      <w:pPr>
        <w:rPr>
          <w:rFonts w:hint="cs"/>
          <w:rtl/>
        </w:rPr>
      </w:pPr>
      <w:bookmarkStart w:id="9" w:name="ABSTRACT_START"/>
      <w:bookmarkEnd w:id="8"/>
      <w:bookmarkEnd w:id="9"/>
      <w:r>
        <w:rPr>
          <w:rFonts w:hint="cs"/>
          <w:rtl/>
        </w:rPr>
        <w:t xml:space="preserve">הנאשם הואשם במעשה מגונה בכח ותקיפה, לפי </w:t>
      </w:r>
      <w:hyperlink r:id="rId11" w:history="1">
        <w:r w:rsidR="004C7D7E" w:rsidRPr="004C7D7E">
          <w:rPr>
            <w:rStyle w:val="Hyperlink"/>
            <w:rFonts w:hint="eastAsia"/>
            <w:color w:val="0000FF"/>
            <w:rtl/>
          </w:rPr>
          <w:t>סעיפים</w:t>
        </w:r>
        <w:r w:rsidR="004C7D7E" w:rsidRPr="004C7D7E">
          <w:rPr>
            <w:rStyle w:val="Hyperlink"/>
            <w:color w:val="0000FF"/>
            <w:rtl/>
          </w:rPr>
          <w:t xml:space="preserve"> 348(ג)</w:t>
        </w:r>
      </w:hyperlink>
      <w:r>
        <w:rPr>
          <w:rFonts w:hint="cs"/>
          <w:rtl/>
        </w:rPr>
        <w:t xml:space="preserve"> </w:t>
      </w:r>
      <w:hyperlink r:id="rId12" w:history="1">
        <w:r w:rsidR="004C7D7E" w:rsidRPr="004C7D7E">
          <w:rPr>
            <w:rStyle w:val="Hyperlink"/>
            <w:color w:val="0000FF"/>
            <w:rtl/>
          </w:rPr>
          <w:t>348(ג)(1)</w:t>
        </w:r>
      </w:hyperlink>
      <w:r>
        <w:rPr>
          <w:rFonts w:hint="cs"/>
          <w:rtl/>
        </w:rPr>
        <w:t xml:space="preserve"> </w:t>
      </w:r>
      <w:hyperlink r:id="rId13" w:history="1">
        <w:r w:rsidR="004C7D7E" w:rsidRPr="004C7D7E">
          <w:rPr>
            <w:rStyle w:val="Hyperlink"/>
            <w:color w:val="0000FF"/>
            <w:rtl/>
          </w:rPr>
          <w:t>345(א)(1)</w:t>
        </w:r>
      </w:hyperlink>
      <w:r>
        <w:rPr>
          <w:rFonts w:hint="cs"/>
          <w:rtl/>
        </w:rPr>
        <w:t xml:space="preserve"> וכן </w:t>
      </w:r>
      <w:hyperlink r:id="rId14" w:history="1">
        <w:r w:rsidR="004C7D7E" w:rsidRPr="004C7D7E">
          <w:rPr>
            <w:rStyle w:val="Hyperlink"/>
            <w:color w:val="0000FF"/>
            <w:rtl/>
          </w:rPr>
          <w:t>379</w:t>
        </w:r>
      </w:hyperlink>
      <w:r>
        <w:rPr>
          <w:rFonts w:hint="cs"/>
          <w:rtl/>
        </w:rPr>
        <w:t xml:space="preserve"> ל</w:t>
      </w:r>
      <w:hyperlink r:id="rId15" w:history="1">
        <w:r w:rsidR="004C7D7E" w:rsidRPr="004C7D7E">
          <w:rPr>
            <w:rStyle w:val="Hyperlink"/>
            <w:rFonts w:hint="eastAsia"/>
            <w:color w:val="0000FF"/>
            <w:rtl/>
          </w:rPr>
          <w:t>חוק</w:t>
        </w:r>
        <w:r w:rsidR="004C7D7E" w:rsidRPr="004C7D7E">
          <w:rPr>
            <w:rStyle w:val="Hyperlink"/>
            <w:color w:val="0000FF"/>
            <w:rtl/>
          </w:rPr>
          <w:t xml:space="preserve"> העונשין</w:t>
        </w:r>
      </w:hyperlink>
      <w:r>
        <w:rPr>
          <w:rFonts w:hint="cs"/>
          <w:rtl/>
        </w:rPr>
        <w:t xml:space="preserve"> התשל"ז 1977.</w:t>
      </w:r>
      <w:bookmarkStart w:id="10" w:name="ABSTRACT_END"/>
      <w:bookmarkEnd w:id="10"/>
    </w:p>
    <w:p w14:paraId="0D4BE22C" w14:textId="77777777" w:rsidR="00384F01" w:rsidRDefault="00384F01">
      <w:pPr>
        <w:rPr>
          <w:rFonts w:hint="cs"/>
          <w:rtl/>
        </w:rPr>
      </w:pPr>
      <w:r>
        <w:rPr>
          <w:rFonts w:hint="cs"/>
          <w:rtl/>
        </w:rPr>
        <w:t>לטענת התביעה נכנס הנאשם בנצרת לחנות מתקני טיהור מים, שם פנה למתלוננת ושאל על מכשיר, בשלב מסויים פתח רוכסן מכנסיו, הוציא איבר מינו, תפס ידה של המתלוננת ודחף אותה לתוך חדר פנימי, המתלוננת החלה צועקת והנאשם נמלט מהמקום.</w:t>
      </w:r>
    </w:p>
    <w:p w14:paraId="33305F78" w14:textId="77777777" w:rsidR="00384F01" w:rsidRDefault="00384F01">
      <w:pPr>
        <w:rPr>
          <w:rFonts w:hint="cs"/>
          <w:rtl/>
        </w:rPr>
      </w:pPr>
    </w:p>
    <w:p w14:paraId="61CB3BE2" w14:textId="77777777" w:rsidR="00384F01" w:rsidRDefault="00384F01">
      <w:pPr>
        <w:rPr>
          <w:rFonts w:hint="cs"/>
          <w:color w:val="FFFFFF"/>
          <w:sz w:val="4"/>
          <w:szCs w:val="4"/>
          <w:rtl/>
        </w:rPr>
      </w:pPr>
    </w:p>
    <w:p w14:paraId="4CC53D45" w14:textId="77777777" w:rsidR="00384F01" w:rsidRDefault="00384F01">
      <w:pPr>
        <w:rPr>
          <w:rFonts w:hint="cs"/>
          <w:rtl/>
        </w:rPr>
      </w:pPr>
      <w:r>
        <w:rPr>
          <w:color w:val="FFFFFF"/>
          <w:sz w:val="4"/>
          <w:szCs w:val="4"/>
          <w:rtl/>
        </w:rPr>
        <w:t>5129371</w:t>
      </w:r>
      <w:r>
        <w:rPr>
          <w:rFonts w:hint="cs"/>
          <w:rtl/>
        </w:rPr>
        <w:t xml:space="preserve">מטעם התביעה  העידה בפניי המתלוננת, ראניה קוברסי, כי בתאריך 16/7/02 בעת שעבדה בעסק לטיהור מים השייך לה ולבעלה, נכנס גבר שנראה לה "מכובד", ושאל על מחירים של מסננים. לאחר כעשר דקות ובעודה מסבירה אופן פעולתם של המכשירים, הרגישה כי מבטו של האדם משתנה ומתמקד בחזה שלה, הבחינה כי פתח את רוכסן מכנסיו ו"התחיל לשחק ביד שלו באיבר מין שלו" אשר הזדקף. המתלוננת קמה מהכסא וצעקה כי יצא החוצה, הגבר קם  תפס את ידה ודחף אותה לכיוון חדר פנימי, המתלוננת דחפה אותו בשתי ידיה וצעקה כדי שהשכנים ישמעו, הטלפון צלצל אותה עת והגבר ברח מהמקום.  </w:t>
      </w:r>
    </w:p>
    <w:p w14:paraId="45CC56AF" w14:textId="77777777" w:rsidR="00384F01" w:rsidRDefault="00384F01">
      <w:pPr>
        <w:rPr>
          <w:rFonts w:hint="cs"/>
          <w:rtl/>
        </w:rPr>
      </w:pPr>
      <w:r>
        <w:rPr>
          <w:rFonts w:hint="cs"/>
          <w:rtl/>
        </w:rPr>
        <w:t xml:space="preserve">לאחר כשבועיים הבחינה המתלוננת באותו האדם נוהג ברכב מסוג רנו אקספרס אך לא הספיקה לקלוט מספר הרישוי, לאחר כשבוע או שבועיים בעודה יושבת עם בעלה במסעדה בנצרת, הבחינה </w:t>
      </w:r>
      <w:r>
        <w:rPr>
          <w:rFonts w:hint="cs"/>
          <w:rtl/>
        </w:rPr>
        <w:lastRenderedPageBreak/>
        <w:t xml:space="preserve">באותו האדם יושב לו במסעדה, בעלה ניגש לאדם לשאול מה שמו וזה לא ענה ויצא מהמסעדה, המתלוננת ובעלה הספיקו הפעם לרשום מספר הרכב . בעלה שאל במסעדה לגבי שמו והשיבו לו כי הוא קוסם, בעזרת פרטים אלה  אותר הנאשם. </w:t>
      </w:r>
    </w:p>
    <w:p w14:paraId="4B265084" w14:textId="77777777" w:rsidR="00384F01" w:rsidRDefault="00384F01">
      <w:pPr>
        <w:rPr>
          <w:rFonts w:hint="cs"/>
          <w:rtl/>
        </w:rPr>
      </w:pPr>
    </w:p>
    <w:p w14:paraId="17EBA2BC" w14:textId="77777777" w:rsidR="00384F01" w:rsidRDefault="00384F01">
      <w:pPr>
        <w:rPr>
          <w:rFonts w:hint="cs"/>
          <w:rtl/>
        </w:rPr>
      </w:pPr>
      <w:r>
        <w:rPr>
          <w:rFonts w:hint="cs"/>
          <w:rtl/>
        </w:rPr>
        <w:t xml:space="preserve">בעלה של המתלוננת אף הוא העיד בפניי וחזר על אותה גרסה, והוסיף שהמתלוננת היתה נסערת וקולה רעד כאשר סיפרה לו על האירוע באותו יום. </w:t>
      </w:r>
    </w:p>
    <w:p w14:paraId="45CEC46A" w14:textId="77777777" w:rsidR="00384F01" w:rsidRDefault="00384F01">
      <w:pPr>
        <w:rPr>
          <w:rFonts w:hint="cs"/>
          <w:rtl/>
        </w:rPr>
      </w:pPr>
    </w:p>
    <w:p w14:paraId="2851E03D" w14:textId="77777777" w:rsidR="00384F01" w:rsidRDefault="00384F01">
      <w:pPr>
        <w:rPr>
          <w:rFonts w:hint="cs"/>
          <w:rtl/>
        </w:rPr>
      </w:pPr>
      <w:r>
        <w:rPr>
          <w:rFonts w:hint="cs"/>
          <w:rtl/>
        </w:rPr>
        <w:t xml:space="preserve">הנאשם העיד להגנתו וטען כי אמנם הוא הוא אשר נכנס לחנות של המתלוננת ואמנם שאל אותה על מכשיר, אך כל שעשה שם הוא מעשי קסמים בעקבות בקשתה של המתלוננת, אשר זכרה את שמו ואף זכרה אותו כמי שעשה קסמים בבית ספר בעת שהיתה תלמידה, הנאשם נענה לבקשתה וביצע מספר מעשי קסמים ומסר לה כרטיס ביקור. הנאשם, לטענתו, לא עשה דבר מעבר לכך. </w:t>
      </w:r>
    </w:p>
    <w:p w14:paraId="681453CF" w14:textId="77777777" w:rsidR="00384F01" w:rsidRDefault="00384F01">
      <w:pPr>
        <w:rPr>
          <w:rFonts w:hint="cs"/>
          <w:rtl/>
        </w:rPr>
      </w:pPr>
      <w:r>
        <w:rPr>
          <w:rFonts w:hint="cs"/>
          <w:rtl/>
        </w:rPr>
        <w:t>הנאשם עוד טען כי לאחר כחודש הבחין במתלוננת ובעלה בתוך מסעדה, הבעל ניגש אל הנאשם ושאל לשמו, הנאשם השיב: "לא רוצה להגיד לך, לא חייב". הנאשם יצא את המסעדה, עלה לרכבו והבחין בבעל רושם את מספר הרכב.</w:t>
      </w:r>
      <w:r>
        <w:rPr>
          <w:color w:val="FFFFFF"/>
          <w:sz w:val="4"/>
          <w:szCs w:val="4"/>
          <w:rtl/>
        </w:rPr>
        <w:t>נ</w:t>
      </w:r>
    </w:p>
    <w:p w14:paraId="6EE00942" w14:textId="77777777" w:rsidR="00384F01" w:rsidRDefault="00384F01">
      <w:pPr>
        <w:rPr>
          <w:rFonts w:hint="cs"/>
          <w:rtl/>
        </w:rPr>
      </w:pPr>
    </w:p>
    <w:p w14:paraId="23D019BF" w14:textId="77777777" w:rsidR="00384F01" w:rsidRDefault="00384F01">
      <w:pPr>
        <w:rPr>
          <w:rFonts w:hint="cs"/>
          <w:rtl/>
        </w:rPr>
      </w:pPr>
      <w:r>
        <w:rPr>
          <w:rFonts w:hint="cs"/>
          <w:rtl/>
        </w:rPr>
        <w:t>למעשה, מעדותו של הנאשם בפניי עולה כי אין מחלוקת לגבי זיהויו של אותו האדם שנכנס לחנות של המתלוננת ושאל על מכשיר, אין מחלוקת כי הנאשם נהג ברכב מסוג רנו אקספרס, ואין מחלוקת כי הוא הוא זה שפגש את המתלוננת ובעלה במסעדה. הנאשם גם אינו מכחיש את העובדה כי במסעדה סרב למסור פרטיו לבעלה של המתלוננת.</w:t>
      </w:r>
      <w:r>
        <w:rPr>
          <w:color w:val="FFFFFF"/>
          <w:sz w:val="4"/>
          <w:szCs w:val="4"/>
          <w:rtl/>
        </w:rPr>
        <w:t>ב</w:t>
      </w:r>
    </w:p>
    <w:p w14:paraId="0178761A" w14:textId="77777777" w:rsidR="00384F01" w:rsidRDefault="00384F01">
      <w:pPr>
        <w:rPr>
          <w:rFonts w:hint="cs"/>
          <w:rtl/>
        </w:rPr>
      </w:pPr>
    </w:p>
    <w:p w14:paraId="05578264" w14:textId="77777777" w:rsidR="00384F01" w:rsidRDefault="00384F01">
      <w:pPr>
        <w:rPr>
          <w:rFonts w:hint="cs"/>
          <w:rtl/>
        </w:rPr>
      </w:pPr>
      <w:r>
        <w:rPr>
          <w:rFonts w:hint="cs"/>
          <w:rtl/>
        </w:rPr>
        <w:t>התרשמתי לחיוב מעדותה של המתלוננת, אשר לא הוסיפה ולא החסירה, לא ניכר עליה רצון להעליל, אין לי מקום לפקפק באמינות דבריה ואני מאמין לעדותה.</w:t>
      </w:r>
      <w:r>
        <w:rPr>
          <w:color w:val="FFFFFF"/>
          <w:sz w:val="4"/>
          <w:szCs w:val="4"/>
          <w:rtl/>
        </w:rPr>
        <w:t>ו</w:t>
      </w:r>
    </w:p>
    <w:p w14:paraId="0931D9A0" w14:textId="77777777" w:rsidR="00384F01" w:rsidRDefault="00384F01">
      <w:pPr>
        <w:rPr>
          <w:rFonts w:hint="cs"/>
          <w:rtl/>
        </w:rPr>
      </w:pPr>
    </w:p>
    <w:p w14:paraId="58767CF0" w14:textId="77777777" w:rsidR="00384F01" w:rsidRDefault="00384F01">
      <w:pPr>
        <w:rPr>
          <w:rFonts w:hint="cs"/>
          <w:rtl/>
        </w:rPr>
      </w:pPr>
      <w:r>
        <w:rPr>
          <w:rFonts w:hint="cs"/>
          <w:rtl/>
        </w:rPr>
        <w:t>הסנגור המלומד ביקש להדגיש כי המדובר בעדות יחידה כבושה  ומגמתית וכי פרטיו של הנאשם היו ידועים למתלוננת שכן מסר לה כרטיס ביקור והמתלוננת אף רשמה פרטיו ביומן כדי להחזיר לו תשובה.</w:t>
      </w:r>
      <w:r>
        <w:rPr>
          <w:color w:val="FFFFFF"/>
          <w:sz w:val="4"/>
          <w:szCs w:val="4"/>
          <w:rtl/>
        </w:rPr>
        <w:t>נ</w:t>
      </w:r>
    </w:p>
    <w:p w14:paraId="54A3EB65" w14:textId="77777777" w:rsidR="00384F01" w:rsidRDefault="00384F01">
      <w:pPr>
        <w:rPr>
          <w:rFonts w:hint="cs"/>
          <w:rtl/>
        </w:rPr>
      </w:pPr>
    </w:p>
    <w:p w14:paraId="2F8A5670" w14:textId="77777777" w:rsidR="00384F01" w:rsidRDefault="00384F01">
      <w:pPr>
        <w:rPr>
          <w:rFonts w:hint="cs"/>
          <w:rtl/>
        </w:rPr>
      </w:pPr>
      <w:r>
        <w:rPr>
          <w:rFonts w:hint="cs"/>
          <w:rtl/>
        </w:rPr>
        <w:t>לו היתה מכירה המתלוננת את הנאשם בשמו, ולו היתה מקבלת ממנו כרטיס ביקור, היתה מלכתחילה מגישה תלונה במשטרה ולא ממתינה למפגש נוסף כדי לפנות אליו ולשאול מה שמו ולרשום מספר רכבו כדי לאתרו ולהתלונן במשטרה. אין הגיון בטענה זו של הנאשם.</w:t>
      </w:r>
      <w:r>
        <w:rPr>
          <w:color w:val="FFFFFF"/>
          <w:sz w:val="4"/>
          <w:szCs w:val="4"/>
          <w:rtl/>
        </w:rPr>
        <w:t>ב</w:t>
      </w:r>
    </w:p>
    <w:p w14:paraId="6922CADF" w14:textId="77777777" w:rsidR="00384F01" w:rsidRDefault="00384F01">
      <w:pPr>
        <w:rPr>
          <w:rFonts w:hint="cs"/>
          <w:rtl/>
        </w:rPr>
      </w:pPr>
    </w:p>
    <w:p w14:paraId="76CDB216" w14:textId="77777777" w:rsidR="00384F01" w:rsidRDefault="00384F01">
      <w:pPr>
        <w:rPr>
          <w:rFonts w:hint="cs"/>
          <w:rtl/>
        </w:rPr>
      </w:pPr>
      <w:r>
        <w:rPr>
          <w:rFonts w:hint="cs"/>
          <w:rtl/>
        </w:rPr>
        <w:t>גם עדות יחידה מספיקה. המתלוננת מסרה עדות עקבית ומהימנה עלי, ולא הסתירה לבטיה להגיש תלונה בעבירת מין בהיותה אשת איש  ממגזר מסורתי עם כל אי הנעימות שבצעד זה.</w:t>
      </w:r>
      <w:r>
        <w:rPr>
          <w:color w:val="FFFFFF"/>
          <w:sz w:val="4"/>
          <w:szCs w:val="4"/>
          <w:rtl/>
        </w:rPr>
        <w:t>ו</w:t>
      </w:r>
    </w:p>
    <w:p w14:paraId="4C35F778" w14:textId="77777777" w:rsidR="00384F01" w:rsidRDefault="00384F01">
      <w:pPr>
        <w:rPr>
          <w:rFonts w:hint="cs"/>
          <w:rtl/>
        </w:rPr>
      </w:pPr>
      <w:r>
        <w:rPr>
          <w:rFonts w:hint="cs"/>
          <w:rtl/>
        </w:rPr>
        <w:t xml:space="preserve"> לעדותה התווספו ראיות משניות, כגון הלך רוחה בעת סיפרה על המקרה לבעלה, וכן שקרי הנאשם כפי שיפורט מטה.</w:t>
      </w:r>
      <w:r>
        <w:rPr>
          <w:color w:val="FFFFFF"/>
          <w:sz w:val="4"/>
          <w:szCs w:val="4"/>
          <w:rtl/>
        </w:rPr>
        <w:t>נ</w:t>
      </w:r>
    </w:p>
    <w:p w14:paraId="4D638BA3" w14:textId="77777777" w:rsidR="00384F01" w:rsidRDefault="00384F01">
      <w:pPr>
        <w:rPr>
          <w:rFonts w:hint="cs"/>
          <w:rtl/>
        </w:rPr>
      </w:pPr>
    </w:p>
    <w:p w14:paraId="7EF0CC45" w14:textId="77777777" w:rsidR="00384F01" w:rsidRDefault="00384F01">
      <w:pPr>
        <w:rPr>
          <w:rFonts w:hint="cs"/>
          <w:rtl/>
        </w:rPr>
      </w:pPr>
      <w:r>
        <w:rPr>
          <w:rFonts w:hint="cs"/>
          <w:rtl/>
        </w:rPr>
        <w:t xml:space="preserve">בעדותו בפני ביקש הנאשם להסביר עניין המגע הפיזי עם המתלוננת בביצוע מעשי קסמים שביצע לפי בקשתה. </w:t>
      </w:r>
    </w:p>
    <w:p w14:paraId="76D96E05" w14:textId="77777777" w:rsidR="00384F01" w:rsidRDefault="00384F01">
      <w:pPr>
        <w:rPr>
          <w:rFonts w:hint="cs"/>
          <w:rtl/>
        </w:rPr>
      </w:pPr>
    </w:p>
    <w:p w14:paraId="0E5EB8DF" w14:textId="77777777" w:rsidR="00384F01" w:rsidRDefault="00384F01">
      <w:pPr>
        <w:rPr>
          <w:rFonts w:hint="cs"/>
          <w:rtl/>
        </w:rPr>
      </w:pPr>
      <w:r>
        <w:rPr>
          <w:rFonts w:hint="cs"/>
          <w:rtl/>
        </w:rPr>
        <w:t>נסיון זה לא יצלח לנאשם. מרחק עצום קיים בין פתיחת רוכסן, הוצאת אבר מין בזקפה, מעשה אוננות ודחיפת המתלוננת לעבר חדר פנימי, לבין נגיעה תמימה תוך כדי מעשי קסמים.</w:t>
      </w:r>
      <w:r>
        <w:rPr>
          <w:color w:val="FFFFFF"/>
          <w:sz w:val="4"/>
          <w:szCs w:val="4"/>
          <w:rtl/>
        </w:rPr>
        <w:t>ב</w:t>
      </w:r>
    </w:p>
    <w:p w14:paraId="62E6EAA6" w14:textId="77777777" w:rsidR="00384F01" w:rsidRDefault="00384F01">
      <w:pPr>
        <w:rPr>
          <w:rFonts w:hint="cs"/>
          <w:rtl/>
        </w:rPr>
      </w:pPr>
      <w:r>
        <w:rPr>
          <w:rFonts w:hint="cs"/>
          <w:rtl/>
        </w:rPr>
        <w:t>אין מקום לטעות ואין בלבול בקסמים, הוצאת אבר מין אינה חלק ממעשי קסמים. אין הגיון בטענה מגוחכת זו של הנאשם.</w:t>
      </w:r>
      <w:r>
        <w:rPr>
          <w:color w:val="FFFFFF"/>
          <w:sz w:val="4"/>
          <w:szCs w:val="4"/>
          <w:rtl/>
        </w:rPr>
        <w:t>ו</w:t>
      </w:r>
    </w:p>
    <w:p w14:paraId="4FC4BF84" w14:textId="77777777" w:rsidR="00384F01" w:rsidRDefault="00384F01">
      <w:pPr>
        <w:rPr>
          <w:rFonts w:hint="cs"/>
          <w:rtl/>
        </w:rPr>
      </w:pPr>
    </w:p>
    <w:p w14:paraId="49F4034B" w14:textId="77777777" w:rsidR="00384F01" w:rsidRDefault="00384F01">
      <w:pPr>
        <w:rPr>
          <w:rFonts w:hint="cs"/>
          <w:rtl/>
        </w:rPr>
      </w:pPr>
      <w:r>
        <w:rPr>
          <w:rFonts w:hint="cs"/>
          <w:rtl/>
        </w:rPr>
        <w:t>לו היה הנאשם מבצע רק מעשי קסמים בחנות, ואף מוסר כרטיס ביקור, נשאלת השאלה מדוע סרב למסור פרטיו לבעלה של המתלוננת במסעדה, כאשר הנאשם עצמו הבחין במתלוננת היושבת יחד עם בעלה. לו הייתה סיבת הסרוב כטענתו, סרוב למסור פרטיו בפומבי, יכול היה להבהיר לבעל כי המתלוננת מכירה אותו כפי שהעיד. אין הגיון בטענה נוספת זו של הנאשם.</w:t>
      </w:r>
      <w:r>
        <w:rPr>
          <w:color w:val="FFFFFF"/>
          <w:sz w:val="4"/>
          <w:szCs w:val="4"/>
          <w:rtl/>
        </w:rPr>
        <w:t>נ</w:t>
      </w:r>
    </w:p>
    <w:p w14:paraId="312F3401" w14:textId="77777777" w:rsidR="00384F01" w:rsidRDefault="00384F01">
      <w:pPr>
        <w:rPr>
          <w:rFonts w:hint="cs"/>
          <w:rtl/>
        </w:rPr>
      </w:pPr>
    </w:p>
    <w:p w14:paraId="7AEAE972" w14:textId="77777777" w:rsidR="00384F01" w:rsidRDefault="00384F01">
      <w:pPr>
        <w:rPr>
          <w:rFonts w:hint="cs"/>
          <w:rtl/>
        </w:rPr>
      </w:pPr>
      <w:r>
        <w:rPr>
          <w:rFonts w:hint="cs"/>
          <w:rtl/>
        </w:rPr>
        <w:t xml:space="preserve">הסנגור המלומד התעכב ארוכות בעובדה כי היומן של החנות לא נמסר לבית המשפט, ובנה על עובדה זו תילי תילים של השערות והאשמות. </w:t>
      </w:r>
    </w:p>
    <w:p w14:paraId="210AA783" w14:textId="77777777" w:rsidR="00384F01" w:rsidRDefault="00384F01">
      <w:pPr>
        <w:rPr>
          <w:rFonts w:hint="cs"/>
          <w:rtl/>
        </w:rPr>
      </w:pPr>
      <w:r>
        <w:rPr>
          <w:rFonts w:hint="cs"/>
          <w:rtl/>
        </w:rPr>
        <w:t>איני רואה כל חשיבות בעניין זה, שכן לו היה באמת מוסר הנאשם פרטיו למתלוננת בעת ביקורו בחנות, לא הייתה צריכה בפגישתם הנוספת באקראי במסעדה לברר פרטי זיהויו, כמו מספר הרכב ובירור שמו. הרי הנאשם מודה כי בעלה של המתלוננת פנה אליו ביקש לדעת מה שמו, וכן מודה כי המתלוננים רשמו מספר רכבו כאשר יצא מהמסעדה.</w:t>
      </w:r>
      <w:r>
        <w:rPr>
          <w:color w:val="FFFFFF"/>
          <w:sz w:val="4"/>
          <w:szCs w:val="4"/>
          <w:rtl/>
        </w:rPr>
        <w:t>ב</w:t>
      </w:r>
    </w:p>
    <w:p w14:paraId="30C9120D" w14:textId="77777777" w:rsidR="00384F01" w:rsidRDefault="00384F01">
      <w:pPr>
        <w:rPr>
          <w:rFonts w:hint="cs"/>
          <w:rtl/>
        </w:rPr>
      </w:pPr>
      <w:r>
        <w:rPr>
          <w:rFonts w:hint="cs"/>
          <w:rtl/>
        </w:rPr>
        <w:t xml:space="preserve">טענתה של המתלוננת על כך שלא מצאה את היומן מקובלת עלי. </w:t>
      </w:r>
    </w:p>
    <w:p w14:paraId="2CC63ED0" w14:textId="77777777" w:rsidR="00384F01" w:rsidRDefault="00384F01">
      <w:pPr>
        <w:rPr>
          <w:rFonts w:hint="cs"/>
          <w:rtl/>
        </w:rPr>
      </w:pPr>
    </w:p>
    <w:p w14:paraId="4C646CFB" w14:textId="77777777" w:rsidR="00384F01" w:rsidRDefault="00384F01">
      <w:pPr>
        <w:rPr>
          <w:rFonts w:hint="cs"/>
          <w:rtl/>
        </w:rPr>
      </w:pPr>
      <w:r>
        <w:rPr>
          <w:rFonts w:hint="cs"/>
          <w:rtl/>
        </w:rPr>
        <w:t>הנאשם נשאל בחקירתו הנגדית בפניי מדוע אשת איש תעליל עליו בעבירות מין ותסכן שמה הטוב בחברה ערביה סגורה , והלה השיב כי קרא בכף ידה, חשף עברה ועתידה וגילה פרטים אינטימיים כמו העובדה שיש למתלוננת מאהב.  הדרך היחידה שמצאתי להגדיר טענה זו היא להגדירה כטענה נמוכה ופגיעה באינטליגנציה. זהו המשך לוגי של חוסר הגיון שבגרסת הנאשם.</w:t>
      </w:r>
      <w:r>
        <w:rPr>
          <w:color w:val="FFFFFF"/>
          <w:sz w:val="4"/>
          <w:szCs w:val="4"/>
          <w:rtl/>
        </w:rPr>
        <w:t>ו</w:t>
      </w:r>
    </w:p>
    <w:p w14:paraId="43B5B499" w14:textId="77777777" w:rsidR="00384F01" w:rsidRDefault="00384F01">
      <w:pPr>
        <w:rPr>
          <w:rFonts w:hint="cs"/>
          <w:rtl/>
        </w:rPr>
      </w:pPr>
    </w:p>
    <w:p w14:paraId="2CDE1C23" w14:textId="77777777" w:rsidR="00384F01" w:rsidRDefault="00384F01">
      <w:pPr>
        <w:rPr>
          <w:rFonts w:hint="cs"/>
          <w:rtl/>
        </w:rPr>
      </w:pPr>
      <w:r>
        <w:rPr>
          <w:rFonts w:hint="cs"/>
          <w:rtl/>
        </w:rPr>
        <w:t xml:space="preserve">הנאשם בהודעתו הראשונה במשטרה ת/1 טען שלא  נכנס לחנות זו ולא פגש את המתלוננת מקודם. הנאשם ציין מפורשות כי הבחין במתלוננת ובבעלה במסעדה מביטים בו והודה כי רשמו מספר רכבו, אך טען כי אינו מכירם ואף לא נכנס לחנות של מתלוננת זו. </w:t>
      </w:r>
    </w:p>
    <w:p w14:paraId="5FEA3A49" w14:textId="77777777" w:rsidR="00384F01" w:rsidRDefault="00384F01">
      <w:pPr>
        <w:rPr>
          <w:rFonts w:hint="cs"/>
          <w:rtl/>
        </w:rPr>
      </w:pPr>
      <w:r>
        <w:rPr>
          <w:rFonts w:hint="cs"/>
          <w:rtl/>
        </w:rPr>
        <w:t>בעקבות שיחה עם קצין משטרה שם טען טענה אחרת, נגבתה הודעתו השניה ת/2  שם שינה הנאשם את טעמו וטען הפעם כי אמנם נכנס לחנות לטיהור מים ופגש שם את המתלוננת אך זה היה במטרה לקנות מכשיר. עוד הוסיף כי ביצע מעשי קסמים ותוך כדי כך נגע לה ביד ובבטן, אך לא מעבר לכך.</w:t>
      </w:r>
      <w:r>
        <w:rPr>
          <w:color w:val="FFFFFF"/>
          <w:sz w:val="4"/>
          <w:szCs w:val="4"/>
          <w:rtl/>
        </w:rPr>
        <w:t>נ</w:t>
      </w:r>
    </w:p>
    <w:p w14:paraId="37CAFEFA" w14:textId="77777777" w:rsidR="00384F01" w:rsidRDefault="00384F01">
      <w:pPr>
        <w:rPr>
          <w:rFonts w:hint="cs"/>
          <w:rtl/>
        </w:rPr>
      </w:pPr>
      <w:r>
        <w:rPr>
          <w:rFonts w:hint="cs"/>
          <w:rtl/>
        </w:rPr>
        <w:t>בעדותו בפניי הוסיף הנאשם כי מסר כרטיס ביקור והמתלוננת רשמה פרטיו ביומן החנות.</w:t>
      </w:r>
      <w:r>
        <w:rPr>
          <w:color w:val="FFFFFF"/>
          <w:sz w:val="4"/>
          <w:szCs w:val="4"/>
          <w:rtl/>
        </w:rPr>
        <w:t>ב</w:t>
      </w:r>
    </w:p>
    <w:p w14:paraId="01A48B59" w14:textId="77777777" w:rsidR="00384F01" w:rsidRDefault="00384F01">
      <w:pPr>
        <w:rPr>
          <w:rFonts w:hint="cs"/>
          <w:rtl/>
        </w:rPr>
      </w:pPr>
    </w:p>
    <w:p w14:paraId="20829699" w14:textId="77777777" w:rsidR="00384F01" w:rsidRDefault="00384F01">
      <w:pPr>
        <w:rPr>
          <w:rFonts w:hint="cs"/>
          <w:rtl/>
        </w:rPr>
      </w:pPr>
      <w:r>
        <w:rPr>
          <w:rFonts w:hint="cs"/>
          <w:rtl/>
        </w:rPr>
        <w:t>קשה למצוא הסבר המניח את הדעת לגבי השינוי בין הגרסאות. הנאשם הרי הבחין במתלוננת ובבעלה במסעדה וידע כי המדובר במתלוננת זו ולא אחרת.</w:t>
      </w:r>
      <w:r>
        <w:rPr>
          <w:color w:val="FFFFFF"/>
          <w:sz w:val="4"/>
          <w:szCs w:val="4"/>
          <w:rtl/>
        </w:rPr>
        <w:t>ו</w:t>
      </w:r>
    </w:p>
    <w:p w14:paraId="4CD82713" w14:textId="77777777" w:rsidR="00384F01" w:rsidRDefault="00384F01">
      <w:pPr>
        <w:rPr>
          <w:rFonts w:hint="cs"/>
          <w:rtl/>
        </w:rPr>
      </w:pPr>
      <w:r>
        <w:rPr>
          <w:rFonts w:hint="cs"/>
          <w:rtl/>
        </w:rPr>
        <w:t xml:space="preserve">איני מקבל עדותו של הנאשם אשר עשה עליי רושם גרוע, ניכר עליו כי אינו דובר אמת, גם תשובותיו אינן הגיוניות. אינני מאמין לעדותו. </w:t>
      </w:r>
    </w:p>
    <w:p w14:paraId="1B5FF1CA" w14:textId="77777777" w:rsidR="00384F01" w:rsidRDefault="00384F01">
      <w:pPr>
        <w:rPr>
          <w:rFonts w:hint="cs"/>
          <w:rtl/>
        </w:rPr>
      </w:pPr>
    </w:p>
    <w:p w14:paraId="4ACB8123" w14:textId="77777777" w:rsidR="00384F01" w:rsidRDefault="00384F01">
      <w:pPr>
        <w:rPr>
          <w:rFonts w:hint="cs"/>
          <w:rtl/>
        </w:rPr>
      </w:pPr>
      <w:r>
        <w:rPr>
          <w:rFonts w:hint="cs"/>
          <w:rtl/>
        </w:rPr>
        <w:lastRenderedPageBreak/>
        <w:t xml:space="preserve">אין ספק כי המעשים שביצע הנאשם -כפי שטוענת המתלוננת- מהווים עבירה של מעשה מגונה בכוח ותקיפה סתם, ועל כן אני מרשיעו בעבירות המיוחסות לו בכתב האישום. </w:t>
      </w:r>
    </w:p>
    <w:p w14:paraId="7C2602BD" w14:textId="77777777" w:rsidR="00384F01" w:rsidRDefault="00384F01">
      <w:pPr>
        <w:rPr>
          <w:rFonts w:hint="cs"/>
          <w:rtl/>
        </w:rPr>
      </w:pPr>
    </w:p>
    <w:p w14:paraId="5944037F" w14:textId="77777777" w:rsidR="00384F01" w:rsidRDefault="00384F01">
      <w:pPr>
        <w:rPr>
          <w:rFonts w:hint="cs"/>
          <w:b/>
          <w:bCs/>
          <w:rtl/>
        </w:rPr>
      </w:pPr>
      <w:bookmarkStart w:id="11" w:name="Decision1"/>
      <w:r>
        <w:rPr>
          <w:rFonts w:hint="cs"/>
          <w:b/>
          <w:bCs/>
          <w:rtl/>
        </w:rPr>
        <w:t>ניתנה היום כ"ג בשבט, תשס"ה (2 בפברואר 2005) במעמד הצדדים.</w:t>
      </w:r>
      <w:r>
        <w:rPr>
          <w:b/>
          <w:bCs/>
          <w:color w:val="FFFFFF"/>
          <w:sz w:val="4"/>
          <w:szCs w:val="4"/>
          <w:rtl/>
        </w:rPr>
        <w:t>נ</w:t>
      </w:r>
    </w:p>
    <w:p w14:paraId="2146FC46" w14:textId="77777777" w:rsidR="00384F01" w:rsidRDefault="00384F01">
      <w:pPr>
        <w:rPr>
          <w:rFonts w:hint="cs"/>
          <w:rtl/>
        </w:rPr>
      </w:pPr>
      <w:r>
        <w:rPr>
          <w:rFonts w:hint="cs"/>
          <w:rtl/>
        </w:rPr>
        <w:t xml:space="preserve">                                                                                                         </w:t>
      </w:r>
    </w:p>
    <w:tbl>
      <w:tblPr>
        <w:tblW w:w="0" w:type="auto"/>
        <w:tblInd w:w="6294" w:type="dxa"/>
        <w:tblBorders>
          <w:top w:val="single" w:sz="4" w:space="0" w:color="auto"/>
        </w:tblBorders>
        <w:tblLook w:val="0000" w:firstRow="0" w:lastRow="0" w:firstColumn="0" w:lastColumn="0" w:noHBand="0" w:noVBand="0"/>
      </w:tblPr>
      <w:tblGrid>
        <w:gridCol w:w="2228"/>
      </w:tblGrid>
      <w:tr w:rsidR="00384F01" w14:paraId="74FECE59" w14:textId="77777777">
        <w:tc>
          <w:tcPr>
            <w:tcW w:w="2235" w:type="dxa"/>
            <w:tcBorders>
              <w:top w:val="single" w:sz="4" w:space="0" w:color="auto"/>
              <w:left w:val="nil"/>
              <w:bottom w:val="nil"/>
              <w:right w:val="nil"/>
            </w:tcBorders>
          </w:tcPr>
          <w:p w14:paraId="3B48DACD" w14:textId="77777777" w:rsidR="00384F01" w:rsidRDefault="00384F01">
            <w:pPr>
              <w:jc w:val="center"/>
              <w:rPr>
                <w:b/>
                <w:bCs/>
              </w:rPr>
            </w:pPr>
            <w:r>
              <w:rPr>
                <w:rFonts w:hint="cs"/>
                <w:b/>
                <w:bCs/>
                <w:rtl/>
              </w:rPr>
              <w:t>ג. אזולאי, ס. נשיא</w:t>
            </w:r>
          </w:p>
        </w:tc>
      </w:tr>
      <w:bookmarkEnd w:id="11"/>
    </w:tbl>
    <w:p w14:paraId="6E3F3167" w14:textId="77777777" w:rsidR="00384F01" w:rsidRDefault="00384F01">
      <w:pPr>
        <w:pStyle w:val="a"/>
        <w:spacing w:line="360" w:lineRule="auto"/>
        <w:rPr>
          <w:rFonts w:hint="cs"/>
          <w:rtl/>
        </w:rPr>
      </w:pPr>
    </w:p>
    <w:p w14:paraId="09572D0A" w14:textId="77777777" w:rsidR="00384F01" w:rsidRDefault="00384F01">
      <w:pPr>
        <w:pStyle w:val="a"/>
        <w:spacing w:line="360" w:lineRule="auto"/>
        <w:rPr>
          <w:rFonts w:hint="cs"/>
          <w:rtl/>
        </w:rPr>
      </w:pPr>
      <w:r>
        <w:rPr>
          <w:rFonts w:hint="cs"/>
          <w:rtl/>
        </w:rPr>
        <w:t xml:space="preserve">הסניגור: מבקש דחיה לטיעון לעונש, לשמיעת עדי אופי מטעם הנאשם. </w:t>
      </w:r>
    </w:p>
    <w:p w14:paraId="70678C68" w14:textId="77777777" w:rsidR="00384F01" w:rsidRDefault="00384F01">
      <w:pPr>
        <w:pStyle w:val="a"/>
        <w:spacing w:line="360" w:lineRule="auto"/>
        <w:rPr>
          <w:rFonts w:hint="cs"/>
          <w:rtl/>
        </w:rPr>
      </w:pPr>
    </w:p>
    <w:p w14:paraId="4F825F53" w14:textId="77777777" w:rsidR="00384F01" w:rsidRDefault="00384F01">
      <w:pPr>
        <w:pStyle w:val="Title"/>
        <w:rPr>
          <w:rFonts w:hint="cs"/>
          <w:rtl/>
        </w:rPr>
      </w:pPr>
      <w:bookmarkStart w:id="12" w:name="Decision2"/>
      <w:r>
        <w:rPr>
          <w:rFonts w:hint="cs"/>
          <w:rtl/>
        </w:rPr>
        <w:t>החלטה</w:t>
      </w:r>
    </w:p>
    <w:p w14:paraId="578FE292" w14:textId="77777777" w:rsidR="00384F01" w:rsidRDefault="00384F01">
      <w:pPr>
        <w:rPr>
          <w:rFonts w:hint="cs"/>
          <w:rtl/>
        </w:rPr>
      </w:pPr>
    </w:p>
    <w:p w14:paraId="45F3D8B3" w14:textId="77777777" w:rsidR="00384F01" w:rsidRDefault="00384F01">
      <w:pPr>
        <w:rPr>
          <w:rFonts w:hint="cs"/>
          <w:rtl/>
        </w:rPr>
      </w:pPr>
      <w:r>
        <w:rPr>
          <w:rFonts w:hint="cs"/>
          <w:rtl/>
        </w:rPr>
        <w:t xml:space="preserve">לדחות לטיעון לעונש לתאריך  13/2/05  שעה:  12:00 </w:t>
      </w:r>
    </w:p>
    <w:p w14:paraId="36CD26D1" w14:textId="77777777" w:rsidR="00384F01" w:rsidRDefault="00384F01">
      <w:pPr>
        <w:rPr>
          <w:rFonts w:hint="cs"/>
          <w:b/>
          <w:bCs/>
          <w:rtl/>
        </w:rPr>
      </w:pPr>
    </w:p>
    <w:p w14:paraId="7756E6F4" w14:textId="77777777" w:rsidR="00384F01" w:rsidRDefault="00384F01">
      <w:pPr>
        <w:rPr>
          <w:rFonts w:hint="cs"/>
          <w:b/>
          <w:bCs/>
          <w:rtl/>
        </w:rPr>
      </w:pPr>
      <w:r>
        <w:rPr>
          <w:rFonts w:hint="cs"/>
          <w:b/>
          <w:bCs/>
          <w:rtl/>
        </w:rPr>
        <w:t>ניתנה היום כ"ג בשבט, תשס"ה (2 בפברואר 2005) במעמד הצדדים.</w:t>
      </w:r>
      <w:r>
        <w:rPr>
          <w:b/>
          <w:bCs/>
          <w:color w:val="FFFFFF"/>
          <w:sz w:val="4"/>
          <w:szCs w:val="4"/>
          <w:rtl/>
        </w:rPr>
        <w:t>ב</w:t>
      </w:r>
    </w:p>
    <w:p w14:paraId="5BE72656" w14:textId="77777777" w:rsidR="00384F01" w:rsidRDefault="00384F01">
      <w:pPr>
        <w:rPr>
          <w:rFonts w:hint="cs"/>
          <w:b/>
          <w:bCs/>
          <w:rtl/>
        </w:rPr>
      </w:pPr>
    </w:p>
    <w:p w14:paraId="4DB68948" w14:textId="77777777" w:rsidR="00384F01" w:rsidRDefault="00384F01">
      <w:pPr>
        <w:rPr>
          <w:rFonts w:hint="cs"/>
          <w:rtl/>
        </w:rPr>
      </w:pPr>
      <w:r>
        <w:rPr>
          <w:rFonts w:hint="cs"/>
          <w:rtl/>
        </w:rPr>
        <w:t xml:space="preserve">                                                                                                         </w:t>
      </w:r>
    </w:p>
    <w:tbl>
      <w:tblPr>
        <w:tblW w:w="0" w:type="auto"/>
        <w:tblInd w:w="6294" w:type="dxa"/>
        <w:tblBorders>
          <w:top w:val="single" w:sz="4" w:space="0" w:color="auto"/>
        </w:tblBorders>
        <w:tblLook w:val="0000" w:firstRow="0" w:lastRow="0" w:firstColumn="0" w:lastColumn="0" w:noHBand="0" w:noVBand="0"/>
      </w:tblPr>
      <w:tblGrid>
        <w:gridCol w:w="2228"/>
      </w:tblGrid>
      <w:tr w:rsidR="00384F01" w14:paraId="75E753FC" w14:textId="77777777">
        <w:tc>
          <w:tcPr>
            <w:tcW w:w="2235" w:type="dxa"/>
            <w:tcBorders>
              <w:top w:val="single" w:sz="4" w:space="0" w:color="auto"/>
              <w:left w:val="nil"/>
              <w:bottom w:val="nil"/>
              <w:right w:val="nil"/>
            </w:tcBorders>
          </w:tcPr>
          <w:p w14:paraId="6EBD7967" w14:textId="77777777" w:rsidR="00384F01" w:rsidRDefault="00384F01">
            <w:pPr>
              <w:jc w:val="center"/>
              <w:rPr>
                <w:b/>
                <w:bCs/>
              </w:rPr>
            </w:pPr>
            <w:r>
              <w:rPr>
                <w:rFonts w:hint="cs"/>
                <w:b/>
                <w:bCs/>
                <w:rtl/>
              </w:rPr>
              <w:t>ג. אזולאי, ס. נשיא</w:t>
            </w:r>
          </w:p>
        </w:tc>
      </w:tr>
    </w:tbl>
    <w:p w14:paraId="468DD638" w14:textId="77777777" w:rsidR="00384F01" w:rsidRDefault="00384F01">
      <w:pPr>
        <w:pStyle w:val="a"/>
        <w:spacing w:line="360" w:lineRule="auto"/>
        <w:rPr>
          <w:rFonts w:hint="cs"/>
          <w:rtl/>
        </w:rPr>
      </w:pPr>
      <w:r>
        <w:rPr>
          <w:rFonts w:hint="cs"/>
          <w:rtl/>
        </w:rPr>
        <w:t>מרטין</w:t>
      </w:r>
      <w:bookmarkEnd w:id="12"/>
    </w:p>
    <w:p w14:paraId="4A5FFCEF" w14:textId="77777777" w:rsidR="00384F01" w:rsidRDefault="00384F01">
      <w:pPr>
        <w:pStyle w:val="a"/>
        <w:spacing w:line="360" w:lineRule="auto"/>
        <w:rPr>
          <w:rFonts w:hint="cs"/>
          <w:rtl/>
        </w:rPr>
      </w:pPr>
      <w:r>
        <w:rPr>
          <w:rtl/>
        </w:rPr>
        <w:t>נוסח מסמך זה כפוף לשינויי ניסוח ועריכה</w:t>
      </w:r>
    </w:p>
    <w:sectPr w:rsidR="00384F01">
      <w:headerReference w:type="even" r:id="rId16"/>
      <w:headerReference w:type="default" r:id="rId17"/>
      <w:footerReference w:type="even" r:id="rId18"/>
      <w:footerReference w:type="default" r:id="rId19"/>
      <w:endnotePr>
        <w:numFmt w:val="lowerLetter"/>
      </w:endnotePr>
      <w:pgSz w:w="11906" w:h="16838"/>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14D65" w14:textId="77777777" w:rsidR="0087687F" w:rsidRDefault="0087687F">
      <w:r>
        <w:separator/>
      </w:r>
    </w:p>
  </w:endnote>
  <w:endnote w:type="continuationSeparator" w:id="0">
    <w:p w14:paraId="149E29CB" w14:textId="77777777" w:rsidR="0087687F" w:rsidRDefault="00876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5FF32" w14:textId="77777777" w:rsidR="0051626B" w:rsidRDefault="0051626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4</w:t>
    </w:r>
    <w:r>
      <w:rPr>
        <w:rFonts w:hAnsi="FrankRuehl" w:cs="FrankRuehl"/>
        <w:sz w:val="24"/>
        <w:rtl/>
      </w:rPr>
      <w:fldChar w:fldCharType="end"/>
    </w:r>
  </w:p>
  <w:p w14:paraId="647C1740" w14:textId="77777777" w:rsidR="0051626B" w:rsidRDefault="0051626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794D648" w14:textId="77777777" w:rsidR="0051626B" w:rsidRDefault="0051626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M:\00000000\05-02-03\ps-all\04 = 05-02-02-anat\OutDoc\s02003487-171.doc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7070F" w14:textId="77777777" w:rsidR="0051626B" w:rsidRDefault="0051626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531E0">
      <w:rPr>
        <w:rFonts w:hAnsi="FrankRuehl" w:cs="FrankRuehl"/>
        <w:noProof/>
        <w:sz w:val="24"/>
        <w:rtl/>
      </w:rPr>
      <w:t>2</w:t>
    </w:r>
    <w:r>
      <w:rPr>
        <w:rFonts w:hAnsi="FrankRuehl" w:cs="FrankRuehl"/>
        <w:sz w:val="24"/>
        <w:rtl/>
      </w:rPr>
      <w:fldChar w:fldCharType="end"/>
    </w:r>
  </w:p>
  <w:p w14:paraId="4706CBB3" w14:textId="77777777" w:rsidR="0051626B" w:rsidRDefault="0051626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C1789A" w14:textId="77777777" w:rsidR="0051626B" w:rsidRDefault="0051626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M:\00000000\05-02-03\ps-all\04 = 05-02-02-anat\OutDoc\s02003487-171.doc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72774" w14:textId="77777777" w:rsidR="0087687F" w:rsidRDefault="0087687F">
      <w:r>
        <w:separator/>
      </w:r>
    </w:p>
  </w:footnote>
  <w:footnote w:type="continuationSeparator" w:id="0">
    <w:p w14:paraId="76CA028B" w14:textId="77777777" w:rsidR="0087687F" w:rsidRDefault="00876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0B98F" w14:textId="77777777" w:rsidR="0051626B" w:rsidRDefault="0051626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(נצ') 3487/02</w:t>
    </w:r>
    <w:r>
      <w:rPr>
        <w:rFonts w:hAnsi="David"/>
        <w:color w:val="000000"/>
        <w:sz w:val="22"/>
        <w:szCs w:val="22"/>
        <w:rtl/>
      </w:rPr>
      <w:tab/>
      <w:t xml:space="preserve"> מדינת ישראל נ' זועבי אמג'ד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89A78" w14:textId="77777777" w:rsidR="0051626B" w:rsidRDefault="0051626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(נצ') 3487/02</w:t>
    </w:r>
    <w:r>
      <w:rPr>
        <w:rFonts w:hAnsi="David"/>
        <w:color w:val="000000"/>
        <w:sz w:val="22"/>
        <w:szCs w:val="22"/>
        <w:rtl/>
      </w:rPr>
      <w:tab/>
      <w:t xml:space="preserve"> מדינת ישראל נ' זועבי אמג'ד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384F01"/>
    <w:rsid w:val="00384F01"/>
    <w:rsid w:val="004C7D7E"/>
    <w:rsid w:val="0051626B"/>
    <w:rsid w:val="005531E0"/>
    <w:rsid w:val="0087687F"/>
    <w:rsid w:val="00B13E5F"/>
    <w:rsid w:val="00E947B4"/>
    <w:rsid w:val="00FE4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32B5D2"/>
  <w15:chartTrackingRefBased/>
  <w15:docId w15:val="{C1D5BF1C-3864-4470-9386-4EB965CE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outlineLvl w:val="4"/>
    </w:pPr>
    <w:rPr>
      <w:b/>
      <w:bCs/>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Pr>
      <w:szCs w:val="20"/>
    </w:rPr>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jc w:val="center"/>
    </w:pPr>
    <w:rPr>
      <w:b/>
      <w:bCs/>
      <w:sz w:val="30"/>
      <w:szCs w:val="28"/>
      <w:u w:val="single"/>
    </w:rPr>
  </w:style>
  <w:style w:type="paragraph" w:customStyle="1" w:styleId="a">
    <w:name w:val="רגיל"/>
    <w:pPr>
      <w:bidi/>
      <w:snapToGrid w:val="0"/>
    </w:pPr>
    <w:rPr>
      <w:rFonts w:cs="David"/>
      <w:szCs w:val="24"/>
      <w:lang w:eastAsia="he-IL"/>
    </w:rPr>
  </w:style>
  <w:style w:type="paragraph" w:customStyle="1" w:styleId="a0">
    <w:name w:val="שמות"/>
    <w:basedOn w:val="Normal"/>
    <w:pPr>
      <w:suppressLineNumbers/>
      <w:snapToGrid w:val="0"/>
    </w:pPr>
    <w:rPr>
      <w:b/>
      <w:bCs/>
      <w:sz w:val="22"/>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character" w:styleId="FootnoteReference">
    <w:name w:val="footnote reference"/>
    <w:semiHidden/>
    <w:rPr>
      <w:vertAlign w:val="superscript"/>
    </w:rPr>
  </w:style>
  <w:style w:type="character" w:styleId="PageNumber">
    <w:name w:val="page number"/>
    <w:rPr>
      <w:rFonts w:cs="David"/>
    </w:rPr>
  </w:style>
  <w:style w:type="character" w:styleId="Hyperlink">
    <w:name w:val="Hyperlink"/>
    <w:rsid w:val="004C7D7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0301/345.a.1"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345.a.1" TargetMode="External"/><Relationship Id="rId12" Type="http://schemas.openxmlformats.org/officeDocument/2006/relationships/hyperlink" Target="http://www.nevo.co.il/law/70301/348.c.1"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10" Type="http://schemas.openxmlformats.org/officeDocument/2006/relationships/hyperlink" Target="http://www.nevo.co.il/law/70301/379"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8.c.1" TargetMode="External"/><Relationship Id="rId14" Type="http://schemas.openxmlformats.org/officeDocument/2006/relationships/hyperlink" Target="http://www.nevo.co.il/law/70301/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1028</Words>
  <Characters>5862</Characters>
  <Application>Microsoft Office Word</Application>
  <DocSecurity>0</DocSecurity>
  <Lines>48</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6877</CharactersWithSpaces>
  <SharedDoc>false</SharedDoc>
  <HLinks>
    <vt:vector size="60" baseType="variant">
      <vt:variant>
        <vt:i4>7995492</vt:i4>
      </vt:variant>
      <vt:variant>
        <vt:i4>27</vt:i4>
      </vt:variant>
      <vt:variant>
        <vt:i4>0</vt:i4>
      </vt:variant>
      <vt:variant>
        <vt:i4>5</vt:i4>
      </vt:variant>
      <vt:variant>
        <vt:lpwstr>http://www.nevo.co.il/law/70301</vt:lpwstr>
      </vt:variant>
      <vt:variant>
        <vt:lpwstr/>
      </vt:variant>
      <vt:variant>
        <vt:i4>6422630</vt:i4>
      </vt:variant>
      <vt:variant>
        <vt:i4>24</vt:i4>
      </vt:variant>
      <vt:variant>
        <vt:i4>0</vt:i4>
      </vt:variant>
      <vt:variant>
        <vt:i4>5</vt:i4>
      </vt:variant>
      <vt:variant>
        <vt:lpwstr>http://www.nevo.co.il/law/70301/379</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6357053</vt:i4>
      </vt:variant>
      <vt:variant>
        <vt:i4>18</vt:i4>
      </vt:variant>
      <vt:variant>
        <vt:i4>0</vt:i4>
      </vt:variant>
      <vt:variant>
        <vt:i4>5</vt:i4>
      </vt:variant>
      <vt:variant>
        <vt:lpwstr>http://www.nevo.co.il/law/70301/348.c.1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6357053</vt:i4>
      </vt:variant>
      <vt:variant>
        <vt:i4>9</vt:i4>
      </vt:variant>
      <vt:variant>
        <vt:i4>0</vt:i4>
      </vt:variant>
      <vt:variant>
        <vt:i4>5</vt:i4>
      </vt:variant>
      <vt:variant>
        <vt:lpwstr>http://www.nevo.co.il/law/70301/348.c.1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2005-02-01T12:05:00Z</cp:lastPrinted>
  <dcterms:created xsi:type="dcterms:W3CDTF">2022-05-24T10:14:00Z</dcterms:created>
  <dcterms:modified xsi:type="dcterms:W3CDTF">2022-05-24T10:14:00Z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3487</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זועבי אמג'ד</vt:lpwstr>
  </property>
  <property fmtid="{D5CDD505-2E9C-101B-9397-08002B2CF9AE}" pid="9" name="LAWYER">
    <vt:lpwstr>אמל כראם;אבו אחמד חסן</vt:lpwstr>
  </property>
  <property fmtid="{D5CDD505-2E9C-101B-9397-08002B2CF9AE}" pid="10" name="JUDGE">
    <vt:lpwstr>ג. אזולאי</vt:lpwstr>
  </property>
  <property fmtid="{D5CDD505-2E9C-101B-9397-08002B2CF9AE}" pid="11" name="CITY">
    <vt:lpwstr>נצ'</vt:lpwstr>
  </property>
  <property fmtid="{D5CDD505-2E9C-101B-9397-08002B2CF9AE}" pid="12" name="DATE">
    <vt:lpwstr>20050202</vt:lpwstr>
  </property>
  <property fmtid="{D5CDD505-2E9C-101B-9397-08002B2CF9AE}" pid="13" name="WORDNUMPAGES">
    <vt:lpwstr>4</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LAWLISTTMP1">
    <vt:lpwstr>70301/348.c;348.c.1;345.a.1;379</vt:lpwstr>
  </property>
</Properties>
</file>