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42784" w14:textId="77777777" w:rsidR="006B0F3C" w:rsidRDefault="006B0F3C">
      <w:pPr>
        <w:spacing w:line="240" w:lineRule="auto"/>
        <w:jc w:val="center"/>
        <w:rPr>
          <w:rFonts w:hint="cs"/>
          <w:b/>
          <w:bCs/>
          <w:rtl/>
        </w:rPr>
      </w:pPr>
      <w:bookmarkStart w:id="0" w:name="LastJudge"/>
      <w:r>
        <w:rPr>
          <w:b/>
          <w:bCs/>
        </w:rPr>
        <w:t xml:space="preserve">    </w:t>
      </w:r>
    </w:p>
    <w:p w14:paraId="5FECCD3E" w14:textId="77777777" w:rsidR="006B0F3C" w:rsidRDefault="006B0F3C">
      <w:pPr>
        <w:spacing w:line="240" w:lineRule="auto"/>
        <w:jc w:val="center"/>
        <w:rPr>
          <w:b/>
          <w:bCs/>
          <w:rtl/>
        </w:rPr>
      </w:pPr>
      <w:r>
        <w:rPr>
          <w:rFonts w:hint="cs"/>
          <w:b/>
          <w:bCs/>
          <w:szCs w:val="32"/>
          <w:rtl/>
        </w:rPr>
        <w:t>בתי המשפט</w:t>
      </w:r>
      <w:r>
        <w:rPr>
          <w:rFonts w:hint="cs"/>
          <w:b/>
          <w:bCs/>
          <w:rtl/>
        </w:rPr>
        <w:t xml:space="preserve"> </w:t>
      </w:r>
    </w:p>
    <w:tbl>
      <w:tblPr>
        <w:bidiVisual/>
        <w:tblW w:w="8506" w:type="dxa"/>
        <w:tblInd w:w="5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9"/>
        <w:gridCol w:w="4848"/>
        <w:gridCol w:w="822"/>
        <w:gridCol w:w="2127"/>
      </w:tblGrid>
      <w:tr w:rsidR="006B0F3C" w14:paraId="543699C6" w14:textId="77777777" w:rsidTr="006B0F3C">
        <w:trPr>
          <w:trHeight w:val="195"/>
        </w:trPr>
        <w:tc>
          <w:tcPr>
            <w:tcW w:w="8506" w:type="dxa"/>
            <w:gridSpan w:val="4"/>
            <w:tcBorders>
              <w:top w:val="single" w:sz="4" w:space="0" w:color="auto"/>
              <w:left w:val="single" w:sz="4" w:space="0" w:color="auto"/>
              <w:bottom w:val="single" w:sz="4" w:space="0" w:color="auto"/>
              <w:right w:val="single" w:sz="4" w:space="0" w:color="auto"/>
            </w:tcBorders>
          </w:tcPr>
          <w:p w14:paraId="1A8AA708" w14:textId="77777777" w:rsidR="006B0F3C" w:rsidRDefault="006B0F3C">
            <w:pPr>
              <w:spacing w:line="240" w:lineRule="auto"/>
              <w:jc w:val="center"/>
              <w:rPr>
                <w:b/>
                <w:bCs/>
                <w:spacing w:val="110"/>
                <w:sz w:val="40"/>
                <w:szCs w:val="40"/>
              </w:rPr>
            </w:pPr>
          </w:p>
        </w:tc>
      </w:tr>
      <w:tr w:rsidR="006B0F3C" w14:paraId="79FBB939" w14:textId="77777777" w:rsidTr="006B0F3C">
        <w:trPr>
          <w:cantSplit/>
          <w:trHeight w:val="195"/>
        </w:trPr>
        <w:tc>
          <w:tcPr>
            <w:tcW w:w="5557" w:type="dxa"/>
            <w:gridSpan w:val="2"/>
            <w:vMerge w:val="restart"/>
            <w:tcBorders>
              <w:top w:val="single" w:sz="4" w:space="0" w:color="auto"/>
              <w:left w:val="single" w:sz="4" w:space="0" w:color="auto"/>
              <w:bottom w:val="single" w:sz="4" w:space="0" w:color="auto"/>
              <w:right w:val="single" w:sz="4" w:space="0" w:color="auto"/>
            </w:tcBorders>
          </w:tcPr>
          <w:p w14:paraId="4DB61FCA" w14:textId="77777777" w:rsidR="006B0F3C" w:rsidRDefault="006B0F3C">
            <w:pPr>
              <w:spacing w:line="240" w:lineRule="auto"/>
              <w:rPr>
                <w:b/>
                <w:bCs/>
                <w:sz w:val="24"/>
              </w:rPr>
            </w:pPr>
            <w:r>
              <w:rPr>
                <w:rFonts w:hint="cs"/>
                <w:b/>
                <w:bCs/>
                <w:sz w:val="24"/>
                <w:rtl/>
              </w:rPr>
              <w:t>בית משפט השלום חיפה</w:t>
            </w:r>
          </w:p>
        </w:tc>
        <w:tc>
          <w:tcPr>
            <w:tcW w:w="2949" w:type="dxa"/>
            <w:gridSpan w:val="2"/>
            <w:tcBorders>
              <w:top w:val="single" w:sz="4" w:space="0" w:color="auto"/>
              <w:left w:val="single" w:sz="4" w:space="0" w:color="auto"/>
              <w:bottom w:val="single" w:sz="4" w:space="0" w:color="auto"/>
              <w:right w:val="single" w:sz="4" w:space="0" w:color="auto"/>
            </w:tcBorders>
          </w:tcPr>
          <w:p w14:paraId="5EEE6092" w14:textId="77777777" w:rsidR="006B0F3C" w:rsidRDefault="006B0F3C">
            <w:pPr>
              <w:spacing w:line="240" w:lineRule="auto"/>
              <w:rPr>
                <w:b/>
                <w:bCs/>
                <w:sz w:val="24"/>
              </w:rPr>
            </w:pPr>
            <w:r>
              <w:rPr>
                <w:rFonts w:hint="cs"/>
                <w:b/>
                <w:bCs/>
                <w:sz w:val="24"/>
                <w:rtl/>
              </w:rPr>
              <w:t>פ  003519/02</w:t>
            </w:r>
          </w:p>
        </w:tc>
      </w:tr>
      <w:tr w:rsidR="006B0F3C" w14:paraId="3447CBFD" w14:textId="77777777" w:rsidTr="006B0F3C">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48FDA708" w14:textId="77777777" w:rsidR="006B0F3C" w:rsidRDefault="006B0F3C">
            <w:pPr>
              <w:bidi w:val="0"/>
              <w:spacing w:line="240" w:lineRule="auto"/>
              <w:jc w:val="left"/>
              <w:rPr>
                <w:b/>
                <w:bCs/>
                <w:sz w:val="24"/>
              </w:rPr>
            </w:pPr>
          </w:p>
        </w:tc>
        <w:tc>
          <w:tcPr>
            <w:tcW w:w="2949" w:type="dxa"/>
            <w:gridSpan w:val="2"/>
            <w:tcBorders>
              <w:top w:val="single" w:sz="4" w:space="0" w:color="auto"/>
              <w:left w:val="single" w:sz="4" w:space="0" w:color="auto"/>
              <w:bottom w:val="single" w:sz="4" w:space="0" w:color="auto"/>
              <w:right w:val="single" w:sz="4" w:space="0" w:color="auto"/>
            </w:tcBorders>
          </w:tcPr>
          <w:p w14:paraId="45FDCA54" w14:textId="77777777" w:rsidR="006B0F3C" w:rsidRDefault="006B0F3C">
            <w:pPr>
              <w:spacing w:line="240" w:lineRule="auto"/>
              <w:rPr>
                <w:b/>
                <w:bCs/>
                <w:sz w:val="24"/>
              </w:rPr>
            </w:pPr>
          </w:p>
        </w:tc>
      </w:tr>
      <w:tr w:rsidR="006B0F3C" w14:paraId="0D3A5035" w14:textId="77777777" w:rsidTr="006B0F3C">
        <w:trPr>
          <w:trHeight w:val="286"/>
        </w:trPr>
        <w:tc>
          <w:tcPr>
            <w:tcW w:w="709" w:type="dxa"/>
            <w:tcBorders>
              <w:top w:val="single" w:sz="4" w:space="0" w:color="auto"/>
              <w:left w:val="single" w:sz="4" w:space="0" w:color="auto"/>
              <w:bottom w:val="single" w:sz="4" w:space="0" w:color="auto"/>
              <w:right w:val="single" w:sz="4" w:space="0" w:color="auto"/>
            </w:tcBorders>
          </w:tcPr>
          <w:p w14:paraId="416969B9" w14:textId="77777777" w:rsidR="006B0F3C" w:rsidRDefault="006B0F3C">
            <w:pPr>
              <w:spacing w:line="240" w:lineRule="auto"/>
              <w:rPr>
                <w:b/>
                <w:bCs/>
                <w:sz w:val="24"/>
              </w:rPr>
            </w:pPr>
            <w:r>
              <w:rPr>
                <w:rFonts w:hint="cs"/>
                <w:b/>
                <w:bCs/>
                <w:sz w:val="24"/>
                <w:rtl/>
              </w:rPr>
              <w:t>בפני:</w:t>
            </w:r>
          </w:p>
        </w:tc>
        <w:tc>
          <w:tcPr>
            <w:tcW w:w="4848" w:type="dxa"/>
            <w:tcBorders>
              <w:top w:val="single" w:sz="4" w:space="0" w:color="auto"/>
              <w:left w:val="single" w:sz="4" w:space="0" w:color="auto"/>
              <w:bottom w:val="single" w:sz="4" w:space="0" w:color="auto"/>
              <w:right w:val="single" w:sz="4" w:space="0" w:color="auto"/>
            </w:tcBorders>
          </w:tcPr>
          <w:p w14:paraId="0409BC9F" w14:textId="77777777" w:rsidR="006B0F3C" w:rsidRDefault="006B0F3C">
            <w:pPr>
              <w:spacing w:line="240" w:lineRule="auto"/>
              <w:rPr>
                <w:b/>
                <w:bCs/>
                <w:sz w:val="24"/>
              </w:rPr>
            </w:pPr>
            <w:r>
              <w:rPr>
                <w:rFonts w:hint="cs"/>
                <w:b/>
                <w:bCs/>
                <w:sz w:val="24"/>
                <w:rtl/>
              </w:rPr>
              <w:t>כב' השופטת ניצה שרון</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495CE25" w14:textId="77777777" w:rsidR="006B0F3C" w:rsidRDefault="006B0F3C">
            <w:pPr>
              <w:spacing w:line="240" w:lineRule="auto"/>
              <w:rPr>
                <w:b/>
                <w:bCs/>
                <w:sz w:val="24"/>
              </w:rPr>
            </w:pPr>
            <w:r>
              <w:rPr>
                <w:rFonts w:hint="cs"/>
                <w:b/>
                <w:bCs/>
                <w:sz w:val="24"/>
                <w:rtl/>
              </w:rPr>
              <w:t xml:space="preserve"> תאריך:</w:t>
            </w:r>
          </w:p>
        </w:tc>
        <w:tc>
          <w:tcPr>
            <w:tcW w:w="2127" w:type="dxa"/>
            <w:tcBorders>
              <w:top w:val="single" w:sz="4" w:space="0" w:color="auto"/>
              <w:left w:val="single" w:sz="4" w:space="0" w:color="auto"/>
              <w:bottom w:val="single" w:sz="4" w:space="0" w:color="auto"/>
              <w:right w:val="single" w:sz="4" w:space="0" w:color="auto"/>
            </w:tcBorders>
          </w:tcPr>
          <w:p w14:paraId="021225A1" w14:textId="77777777" w:rsidR="006B0F3C" w:rsidRDefault="006B0F3C">
            <w:pPr>
              <w:spacing w:line="240" w:lineRule="auto"/>
              <w:rPr>
                <w:b/>
                <w:bCs/>
                <w:sz w:val="24"/>
              </w:rPr>
            </w:pPr>
            <w:r>
              <w:rPr>
                <w:rFonts w:hint="cs"/>
                <w:b/>
                <w:bCs/>
                <w:sz w:val="24"/>
                <w:rtl/>
              </w:rPr>
              <w:t>08/09/2005</w:t>
            </w:r>
          </w:p>
        </w:tc>
      </w:tr>
    </w:tbl>
    <w:p w14:paraId="1123B602" w14:textId="77777777" w:rsidR="006B0F3C" w:rsidRDefault="006B0F3C">
      <w:pPr>
        <w:pStyle w:val="Header"/>
        <w:spacing w:line="240" w:lineRule="auto"/>
        <w:jc w:val="left"/>
        <w:rPr>
          <w:rFonts w:hint="cs"/>
          <w:b/>
          <w:bCs/>
          <w:szCs w:val="20"/>
          <w:rtl/>
        </w:rPr>
      </w:pPr>
    </w:p>
    <w:p w14:paraId="220A3067" w14:textId="77777777" w:rsidR="006B0F3C" w:rsidRDefault="006B0F3C">
      <w:pPr>
        <w:pStyle w:val="Header"/>
        <w:spacing w:line="240" w:lineRule="auto"/>
        <w:jc w:val="left"/>
        <w:rPr>
          <w:rFonts w:hint="cs"/>
          <w:b/>
          <w:bCs/>
          <w:szCs w:val="20"/>
          <w:rtl/>
        </w:rPr>
      </w:pPr>
    </w:p>
    <w:p w14:paraId="7BEFA729" w14:textId="77777777" w:rsidR="006B0F3C" w:rsidRDefault="006B0F3C">
      <w:pPr>
        <w:pStyle w:val="a0"/>
        <w:spacing w:line="240" w:lineRule="auto"/>
        <w:rPr>
          <w:rFonts w:hint="cs"/>
          <w:b w:val="0"/>
          <w:bCs w:val="0"/>
          <w:rtl/>
        </w:rPr>
      </w:pPr>
    </w:p>
    <w:tbl>
      <w:tblPr>
        <w:bidiVisual/>
        <w:tblW w:w="8506" w:type="dxa"/>
        <w:tblInd w:w="56" w:type="dxa"/>
        <w:tblCellMar>
          <w:left w:w="107" w:type="dxa"/>
          <w:right w:w="107" w:type="dxa"/>
        </w:tblCellMar>
        <w:tblLook w:val="0000" w:firstRow="0" w:lastRow="0" w:firstColumn="0" w:lastColumn="0" w:noHBand="0" w:noVBand="0"/>
      </w:tblPr>
      <w:tblGrid>
        <w:gridCol w:w="1362"/>
        <w:gridCol w:w="1757"/>
        <w:gridCol w:w="3063"/>
        <w:gridCol w:w="2324"/>
      </w:tblGrid>
      <w:tr w:rsidR="006B0F3C" w14:paraId="20828ECE" w14:textId="77777777" w:rsidTr="006B0F3C">
        <w:tc>
          <w:tcPr>
            <w:tcW w:w="1362" w:type="dxa"/>
          </w:tcPr>
          <w:p w14:paraId="33ECB9E2" w14:textId="77777777" w:rsidR="006B0F3C" w:rsidRDefault="006B0F3C">
            <w:pPr>
              <w:spacing w:line="240" w:lineRule="auto"/>
              <w:rPr>
                <w:b/>
                <w:bCs/>
              </w:rPr>
            </w:pPr>
            <w:bookmarkStart w:id="1" w:name="FirstAppellant"/>
            <w:r>
              <w:rPr>
                <w:rFonts w:hint="cs"/>
                <w:b/>
                <w:bCs/>
                <w:rtl/>
              </w:rPr>
              <w:t>בעניין:</w:t>
            </w:r>
          </w:p>
        </w:tc>
        <w:tc>
          <w:tcPr>
            <w:tcW w:w="4820" w:type="dxa"/>
            <w:gridSpan w:val="2"/>
          </w:tcPr>
          <w:p w14:paraId="1BA3D737" w14:textId="77777777" w:rsidR="006B0F3C" w:rsidRDefault="006B0F3C">
            <w:pPr>
              <w:spacing w:line="240" w:lineRule="auto"/>
              <w:rPr>
                <w:b/>
                <w:bCs/>
              </w:rPr>
            </w:pPr>
            <w:r>
              <w:rPr>
                <w:rFonts w:hint="cs"/>
                <w:b/>
                <w:bCs/>
                <w:rtl/>
              </w:rPr>
              <w:t>מדינת ישראל</w:t>
            </w:r>
          </w:p>
        </w:tc>
        <w:tc>
          <w:tcPr>
            <w:tcW w:w="2324" w:type="dxa"/>
          </w:tcPr>
          <w:p w14:paraId="778410B9" w14:textId="77777777" w:rsidR="006B0F3C" w:rsidRDefault="006B0F3C">
            <w:pPr>
              <w:spacing w:line="240" w:lineRule="auto"/>
              <w:rPr>
                <w:b/>
                <w:bCs/>
              </w:rPr>
            </w:pPr>
          </w:p>
        </w:tc>
      </w:tr>
      <w:bookmarkEnd w:id="1"/>
      <w:tr w:rsidR="006B0F3C" w14:paraId="44DFEFD8" w14:textId="77777777" w:rsidTr="006B0F3C">
        <w:tc>
          <w:tcPr>
            <w:tcW w:w="1362" w:type="dxa"/>
          </w:tcPr>
          <w:p w14:paraId="4BAD4994" w14:textId="77777777" w:rsidR="006B0F3C" w:rsidRDefault="006B0F3C">
            <w:pPr>
              <w:pStyle w:val="a0"/>
              <w:spacing w:line="240" w:lineRule="auto"/>
              <w:rPr>
                <w:szCs w:val="26"/>
              </w:rPr>
            </w:pPr>
          </w:p>
        </w:tc>
        <w:tc>
          <w:tcPr>
            <w:tcW w:w="1757" w:type="dxa"/>
          </w:tcPr>
          <w:p w14:paraId="51EC9D50" w14:textId="77777777" w:rsidR="006B0F3C" w:rsidRDefault="006B0F3C">
            <w:pPr>
              <w:pStyle w:val="a0"/>
              <w:spacing w:line="240" w:lineRule="auto"/>
            </w:pPr>
          </w:p>
        </w:tc>
        <w:tc>
          <w:tcPr>
            <w:tcW w:w="3063" w:type="dxa"/>
          </w:tcPr>
          <w:p w14:paraId="7D5BEB23" w14:textId="77777777" w:rsidR="006B0F3C" w:rsidRDefault="006B0F3C">
            <w:pPr>
              <w:pStyle w:val="a0"/>
              <w:spacing w:line="240" w:lineRule="auto"/>
            </w:pPr>
          </w:p>
        </w:tc>
        <w:tc>
          <w:tcPr>
            <w:tcW w:w="2324" w:type="dxa"/>
          </w:tcPr>
          <w:p w14:paraId="4A589F31" w14:textId="77777777" w:rsidR="006B0F3C" w:rsidRDefault="006B0F3C">
            <w:pPr>
              <w:pStyle w:val="a0"/>
              <w:spacing w:line="240" w:lineRule="auto"/>
            </w:pPr>
            <w:r>
              <w:rPr>
                <w:rFonts w:hint="cs"/>
                <w:rtl/>
              </w:rPr>
              <w:t>המאשימה</w:t>
            </w:r>
          </w:p>
        </w:tc>
      </w:tr>
      <w:tr w:rsidR="006B0F3C" w14:paraId="607B2260" w14:textId="77777777" w:rsidTr="006B0F3C">
        <w:tc>
          <w:tcPr>
            <w:tcW w:w="1362" w:type="dxa"/>
          </w:tcPr>
          <w:p w14:paraId="5E011186" w14:textId="77777777" w:rsidR="006B0F3C" w:rsidRDefault="006B0F3C">
            <w:pPr>
              <w:pStyle w:val="a0"/>
              <w:spacing w:line="240" w:lineRule="auto"/>
            </w:pPr>
          </w:p>
        </w:tc>
        <w:tc>
          <w:tcPr>
            <w:tcW w:w="4820" w:type="dxa"/>
            <w:gridSpan w:val="2"/>
          </w:tcPr>
          <w:p w14:paraId="6A0A3CA3" w14:textId="77777777" w:rsidR="006B0F3C" w:rsidRDefault="006B0F3C">
            <w:pPr>
              <w:pStyle w:val="a0"/>
              <w:spacing w:line="240" w:lineRule="auto"/>
              <w:jc w:val="center"/>
              <w:rPr>
                <w:sz w:val="26"/>
                <w:szCs w:val="28"/>
              </w:rPr>
            </w:pPr>
          </w:p>
          <w:p w14:paraId="25C515D4" w14:textId="77777777" w:rsidR="006B0F3C" w:rsidRDefault="006B0F3C">
            <w:pPr>
              <w:pStyle w:val="a0"/>
              <w:spacing w:line="240" w:lineRule="auto"/>
              <w:jc w:val="center"/>
              <w:rPr>
                <w:rFonts w:hint="cs"/>
                <w:sz w:val="26"/>
                <w:szCs w:val="28"/>
                <w:rtl/>
              </w:rPr>
            </w:pPr>
            <w:r>
              <w:rPr>
                <w:rFonts w:hint="cs"/>
                <w:sz w:val="26"/>
                <w:szCs w:val="28"/>
                <w:rtl/>
              </w:rPr>
              <w:t xml:space="preserve">- נ ג ד - </w:t>
            </w:r>
          </w:p>
          <w:p w14:paraId="14E32CFA" w14:textId="77777777" w:rsidR="006B0F3C" w:rsidRDefault="006B0F3C">
            <w:pPr>
              <w:pStyle w:val="a0"/>
              <w:spacing w:line="240" w:lineRule="auto"/>
              <w:jc w:val="center"/>
            </w:pPr>
          </w:p>
        </w:tc>
        <w:tc>
          <w:tcPr>
            <w:tcW w:w="2324" w:type="dxa"/>
          </w:tcPr>
          <w:p w14:paraId="6A4126D1" w14:textId="77777777" w:rsidR="006B0F3C" w:rsidRDefault="006B0F3C">
            <w:pPr>
              <w:pStyle w:val="a0"/>
              <w:spacing w:line="240" w:lineRule="auto"/>
            </w:pPr>
          </w:p>
        </w:tc>
      </w:tr>
      <w:tr w:rsidR="006B0F3C" w14:paraId="6242ED94" w14:textId="77777777" w:rsidTr="006B0F3C">
        <w:tc>
          <w:tcPr>
            <w:tcW w:w="1362" w:type="dxa"/>
          </w:tcPr>
          <w:p w14:paraId="6EE29FC7" w14:textId="77777777" w:rsidR="006B0F3C" w:rsidRDefault="006B0F3C">
            <w:pPr>
              <w:pStyle w:val="a0"/>
              <w:spacing w:line="240" w:lineRule="auto"/>
              <w:rPr>
                <w:szCs w:val="26"/>
              </w:rPr>
            </w:pPr>
            <w:bookmarkStart w:id="2" w:name="שם_ב" w:colFirst="1" w:colLast="1"/>
          </w:p>
        </w:tc>
        <w:tc>
          <w:tcPr>
            <w:tcW w:w="4820" w:type="dxa"/>
            <w:gridSpan w:val="2"/>
          </w:tcPr>
          <w:p w14:paraId="07188C82" w14:textId="77777777" w:rsidR="006B0F3C" w:rsidRDefault="006B0F3C">
            <w:pPr>
              <w:pStyle w:val="a0"/>
              <w:spacing w:line="240" w:lineRule="auto"/>
            </w:pPr>
            <w:r>
              <w:rPr>
                <w:rFonts w:hint="cs"/>
                <w:rtl/>
              </w:rPr>
              <w:t>שאול רווה</w:t>
            </w:r>
          </w:p>
        </w:tc>
        <w:tc>
          <w:tcPr>
            <w:tcW w:w="2324" w:type="dxa"/>
          </w:tcPr>
          <w:p w14:paraId="53D30A67" w14:textId="77777777" w:rsidR="006B0F3C" w:rsidRDefault="006B0F3C">
            <w:pPr>
              <w:pStyle w:val="a0"/>
              <w:spacing w:line="240" w:lineRule="auto"/>
            </w:pPr>
          </w:p>
        </w:tc>
      </w:tr>
      <w:bookmarkEnd w:id="2"/>
      <w:tr w:rsidR="006B0F3C" w14:paraId="6752535B" w14:textId="77777777" w:rsidTr="006B0F3C">
        <w:tc>
          <w:tcPr>
            <w:tcW w:w="1362" w:type="dxa"/>
          </w:tcPr>
          <w:p w14:paraId="3CA130A4" w14:textId="77777777" w:rsidR="006B0F3C" w:rsidRDefault="006B0F3C">
            <w:pPr>
              <w:pStyle w:val="a0"/>
              <w:spacing w:line="240" w:lineRule="auto"/>
              <w:rPr>
                <w:szCs w:val="26"/>
              </w:rPr>
            </w:pPr>
          </w:p>
        </w:tc>
        <w:tc>
          <w:tcPr>
            <w:tcW w:w="1757" w:type="dxa"/>
          </w:tcPr>
          <w:p w14:paraId="0ED3D04F" w14:textId="77777777" w:rsidR="006B0F3C" w:rsidRDefault="006B0F3C">
            <w:pPr>
              <w:pStyle w:val="a0"/>
              <w:spacing w:line="240" w:lineRule="auto"/>
            </w:pPr>
          </w:p>
        </w:tc>
        <w:tc>
          <w:tcPr>
            <w:tcW w:w="3063" w:type="dxa"/>
          </w:tcPr>
          <w:p w14:paraId="6EEB1A2C" w14:textId="77777777" w:rsidR="006B0F3C" w:rsidRDefault="006B0F3C">
            <w:pPr>
              <w:pStyle w:val="a0"/>
              <w:spacing w:line="240" w:lineRule="auto"/>
            </w:pPr>
          </w:p>
        </w:tc>
        <w:tc>
          <w:tcPr>
            <w:tcW w:w="2324" w:type="dxa"/>
          </w:tcPr>
          <w:p w14:paraId="4C580205" w14:textId="77777777" w:rsidR="006B0F3C" w:rsidRDefault="006B0F3C">
            <w:pPr>
              <w:pStyle w:val="a0"/>
              <w:spacing w:line="240" w:lineRule="auto"/>
            </w:pPr>
            <w:r>
              <w:rPr>
                <w:rFonts w:hint="cs"/>
                <w:rtl/>
              </w:rPr>
              <w:t>הנאשם</w:t>
            </w:r>
          </w:p>
        </w:tc>
      </w:tr>
    </w:tbl>
    <w:p w14:paraId="5C54A638" w14:textId="77777777" w:rsidR="006B0F3C" w:rsidRDefault="006B0F3C">
      <w:pPr>
        <w:pStyle w:val="a0"/>
        <w:spacing w:line="240" w:lineRule="auto"/>
        <w:rPr>
          <w:rFonts w:hint="cs"/>
          <w:b w:val="0"/>
          <w:bCs w:val="0"/>
          <w:rtl/>
        </w:rPr>
      </w:pPr>
    </w:p>
    <w:tbl>
      <w:tblPr>
        <w:bidiVisual/>
        <w:tblW w:w="8506" w:type="dxa"/>
        <w:tblInd w:w="56" w:type="dxa"/>
        <w:tblCellMar>
          <w:left w:w="107" w:type="dxa"/>
          <w:right w:w="107" w:type="dxa"/>
        </w:tblCellMar>
        <w:tblLook w:val="0000" w:firstRow="0" w:lastRow="0" w:firstColumn="0" w:lastColumn="0" w:noHBand="0" w:noVBand="0"/>
      </w:tblPr>
      <w:tblGrid>
        <w:gridCol w:w="1276"/>
        <w:gridCol w:w="7230"/>
      </w:tblGrid>
      <w:tr w:rsidR="006B0F3C" w14:paraId="10CD92E8" w14:textId="77777777" w:rsidTr="006B0F3C">
        <w:tc>
          <w:tcPr>
            <w:tcW w:w="1276" w:type="dxa"/>
          </w:tcPr>
          <w:p w14:paraId="36799C38" w14:textId="77777777" w:rsidR="006B0F3C" w:rsidRDefault="006B0F3C">
            <w:pPr>
              <w:pStyle w:val="a0"/>
              <w:spacing w:line="240" w:lineRule="auto"/>
              <w:rPr>
                <w:sz w:val="24"/>
              </w:rPr>
            </w:pPr>
            <w:bookmarkStart w:id="3" w:name="FirstLawyer"/>
            <w:r>
              <w:rPr>
                <w:rFonts w:hint="cs"/>
                <w:sz w:val="24"/>
                <w:rtl/>
              </w:rPr>
              <w:t>נוכחים:</w:t>
            </w:r>
          </w:p>
        </w:tc>
        <w:tc>
          <w:tcPr>
            <w:tcW w:w="7230" w:type="dxa"/>
          </w:tcPr>
          <w:p w14:paraId="726ADD11" w14:textId="77777777" w:rsidR="006B0F3C" w:rsidRDefault="006B0F3C">
            <w:pPr>
              <w:pStyle w:val="a0"/>
              <w:spacing w:line="240" w:lineRule="auto"/>
            </w:pPr>
            <w:r>
              <w:rPr>
                <w:rFonts w:hint="cs"/>
                <w:rtl/>
              </w:rPr>
              <w:t>ב"כ המאשימה - רס"ב גדבאן</w:t>
            </w:r>
          </w:p>
          <w:p w14:paraId="08AFD562" w14:textId="77777777" w:rsidR="006B0F3C" w:rsidRDefault="006B0F3C">
            <w:pPr>
              <w:pStyle w:val="a0"/>
              <w:spacing w:line="240" w:lineRule="auto"/>
              <w:rPr>
                <w:rFonts w:hint="cs"/>
                <w:rtl/>
              </w:rPr>
            </w:pPr>
            <w:r>
              <w:rPr>
                <w:rFonts w:hint="cs"/>
                <w:rtl/>
              </w:rPr>
              <w:t>ב"כ הנאשם - עו"ד שלומוביץ (ממשרד עו"ד אולמן)</w:t>
            </w:r>
          </w:p>
          <w:p w14:paraId="5C99BBFC" w14:textId="77777777" w:rsidR="006B0F3C" w:rsidRDefault="006B0F3C">
            <w:pPr>
              <w:pStyle w:val="a0"/>
              <w:spacing w:line="240" w:lineRule="auto"/>
            </w:pPr>
            <w:r>
              <w:rPr>
                <w:rFonts w:hint="cs"/>
                <w:rtl/>
              </w:rPr>
              <w:t>הנאשם - בעצמו</w:t>
            </w:r>
          </w:p>
        </w:tc>
      </w:tr>
    </w:tbl>
    <w:p w14:paraId="39899863" w14:textId="77777777" w:rsidR="00EE30DB" w:rsidRDefault="00EE30DB">
      <w:pPr>
        <w:rPr>
          <w:rtl/>
        </w:rPr>
      </w:pPr>
      <w:bookmarkStart w:id="4" w:name="LawTable"/>
      <w:bookmarkEnd w:id="3"/>
      <w:bookmarkEnd w:id="4"/>
    </w:p>
    <w:p w14:paraId="6EA7DA17" w14:textId="77777777" w:rsidR="00EE30DB" w:rsidRPr="00EE30DB" w:rsidRDefault="00EE30DB" w:rsidP="00EE30DB">
      <w:pPr>
        <w:spacing w:after="120" w:line="240" w:lineRule="exact"/>
        <w:ind w:left="283" w:hanging="283"/>
        <w:rPr>
          <w:rFonts w:ascii="FrankRuehl" w:hAnsi="FrankRuehl" w:cs="FrankRuehl"/>
          <w:sz w:val="24"/>
          <w:rtl/>
        </w:rPr>
      </w:pPr>
    </w:p>
    <w:p w14:paraId="3866932D" w14:textId="77777777" w:rsidR="00EE30DB" w:rsidRPr="00EE30DB" w:rsidRDefault="00EE30DB" w:rsidP="00EE30DB">
      <w:pPr>
        <w:spacing w:after="120" w:line="240" w:lineRule="exact"/>
        <w:ind w:left="283" w:hanging="283"/>
        <w:rPr>
          <w:rFonts w:ascii="FrankRuehl" w:hAnsi="FrankRuehl" w:cs="FrankRuehl"/>
          <w:sz w:val="24"/>
          <w:rtl/>
        </w:rPr>
      </w:pPr>
      <w:r w:rsidRPr="00EE30DB">
        <w:rPr>
          <w:rFonts w:ascii="FrankRuehl" w:hAnsi="FrankRuehl" w:cs="FrankRuehl"/>
          <w:sz w:val="24"/>
          <w:rtl/>
        </w:rPr>
        <w:t xml:space="preserve">חקיקה שאוזכרה: </w:t>
      </w:r>
    </w:p>
    <w:p w14:paraId="5228F1B3" w14:textId="77777777" w:rsidR="00EE30DB" w:rsidRPr="00EE30DB" w:rsidRDefault="00EE30DB" w:rsidP="00EE30DB">
      <w:pPr>
        <w:spacing w:after="120" w:line="240" w:lineRule="exact"/>
        <w:ind w:left="283" w:hanging="283"/>
        <w:rPr>
          <w:rFonts w:ascii="FrankRuehl" w:hAnsi="FrankRuehl" w:cs="FrankRuehl"/>
          <w:color w:val="0000FF"/>
          <w:sz w:val="24"/>
          <w:u w:val="single"/>
          <w:rtl/>
        </w:rPr>
      </w:pPr>
      <w:hyperlink r:id="rId6" w:history="1">
        <w:r w:rsidRPr="00EE30DB">
          <w:rPr>
            <w:rStyle w:val="Hyperlink"/>
            <w:rFonts w:ascii="FrankRuehl" w:hAnsi="FrankRuehl" w:cs="FrankRuehl"/>
            <w:sz w:val="24"/>
            <w:rtl/>
          </w:rPr>
          <w:t>חוק למניעת הטרדה מינית, תשנ"ח-1998</w:t>
        </w:r>
      </w:hyperlink>
      <w:r w:rsidRPr="00EE30DB">
        <w:rPr>
          <w:rFonts w:ascii="FrankRuehl" w:hAnsi="FrankRuehl" w:cs="FrankRuehl"/>
          <w:color w:val="0000FF"/>
          <w:sz w:val="24"/>
          <w:u w:val="single"/>
          <w:rtl/>
        </w:rPr>
        <w:t xml:space="preserve">: סע'  </w:t>
      </w:r>
      <w:hyperlink r:id="rId7" w:history="1">
        <w:r w:rsidRPr="00EE30DB">
          <w:rPr>
            <w:rStyle w:val="Hyperlink"/>
            <w:rFonts w:ascii="FrankRuehl" w:hAnsi="FrankRuehl" w:cs="FrankRuehl"/>
            <w:sz w:val="24"/>
          </w:rPr>
          <w:t>4</w:t>
        </w:r>
      </w:hyperlink>
      <w:r w:rsidRPr="00EE30DB">
        <w:rPr>
          <w:rFonts w:ascii="FrankRuehl" w:hAnsi="FrankRuehl" w:cs="FrankRuehl"/>
          <w:color w:val="0000FF"/>
          <w:sz w:val="24"/>
          <w:u w:val="single"/>
          <w:rtl/>
        </w:rPr>
        <w:t xml:space="preserve">, </w:t>
      </w:r>
      <w:hyperlink r:id="rId8" w:history="1">
        <w:r w:rsidRPr="00EE30DB">
          <w:rPr>
            <w:rStyle w:val="Hyperlink"/>
            <w:rFonts w:ascii="FrankRuehl" w:hAnsi="FrankRuehl" w:cs="FrankRuehl"/>
            <w:sz w:val="24"/>
          </w:rPr>
          <w:t>5(</w:t>
        </w:r>
        <w:r w:rsidRPr="00EE30DB">
          <w:rPr>
            <w:rStyle w:val="Hyperlink"/>
            <w:rFonts w:ascii="FrankRuehl" w:hAnsi="FrankRuehl" w:cs="FrankRuehl"/>
            <w:sz w:val="24"/>
            <w:rtl/>
          </w:rPr>
          <w:t>א</w:t>
        </w:r>
        <w:r w:rsidRPr="00EE30DB">
          <w:rPr>
            <w:rStyle w:val="Hyperlink"/>
            <w:rFonts w:ascii="FrankRuehl" w:hAnsi="FrankRuehl" w:cs="FrankRuehl"/>
            <w:sz w:val="24"/>
          </w:rPr>
          <w:t>)</w:t>
        </w:r>
      </w:hyperlink>
      <w:r w:rsidRPr="00EE30DB">
        <w:rPr>
          <w:rFonts w:ascii="FrankRuehl" w:hAnsi="FrankRuehl" w:cs="FrankRuehl"/>
          <w:color w:val="0000FF"/>
          <w:sz w:val="24"/>
          <w:u w:val="single"/>
          <w:rtl/>
        </w:rPr>
        <w:t xml:space="preserve">, </w:t>
      </w:r>
      <w:hyperlink r:id="rId9" w:history="1">
        <w:r w:rsidRPr="00EE30DB">
          <w:rPr>
            <w:rStyle w:val="Hyperlink"/>
            <w:rFonts w:ascii="FrankRuehl" w:hAnsi="FrankRuehl" w:cs="FrankRuehl"/>
            <w:sz w:val="24"/>
          </w:rPr>
          <w:t>5(</w:t>
        </w:r>
        <w:r w:rsidRPr="00EE30DB">
          <w:rPr>
            <w:rStyle w:val="Hyperlink"/>
            <w:rFonts w:ascii="FrankRuehl" w:hAnsi="FrankRuehl" w:cs="FrankRuehl"/>
            <w:sz w:val="24"/>
            <w:rtl/>
          </w:rPr>
          <w:t>ב</w:t>
        </w:r>
        <w:r w:rsidRPr="00EE30DB">
          <w:rPr>
            <w:rStyle w:val="Hyperlink"/>
            <w:rFonts w:ascii="FrankRuehl" w:hAnsi="FrankRuehl" w:cs="FrankRuehl"/>
            <w:sz w:val="24"/>
          </w:rPr>
          <w:t>)</w:t>
        </w:r>
      </w:hyperlink>
      <w:r w:rsidRPr="00EE30DB">
        <w:rPr>
          <w:rFonts w:ascii="FrankRuehl" w:hAnsi="FrankRuehl" w:cs="FrankRuehl"/>
          <w:color w:val="0000FF"/>
          <w:sz w:val="24"/>
          <w:u w:val="single"/>
          <w:rtl/>
        </w:rPr>
        <w:t xml:space="preserve">, </w:t>
      </w:r>
      <w:hyperlink r:id="rId10" w:history="1">
        <w:r w:rsidRPr="00EE30DB">
          <w:rPr>
            <w:rStyle w:val="Hyperlink"/>
            <w:rFonts w:ascii="FrankRuehl" w:hAnsi="FrankRuehl" w:cs="FrankRuehl"/>
            <w:sz w:val="24"/>
          </w:rPr>
          <w:t>5(</w:t>
        </w:r>
        <w:r w:rsidRPr="00EE30DB">
          <w:rPr>
            <w:rStyle w:val="Hyperlink"/>
            <w:rFonts w:ascii="FrankRuehl" w:hAnsi="FrankRuehl" w:cs="FrankRuehl"/>
            <w:sz w:val="24"/>
            <w:rtl/>
          </w:rPr>
          <w:t>ג</w:t>
        </w:r>
        <w:r w:rsidRPr="00EE30DB">
          <w:rPr>
            <w:rStyle w:val="Hyperlink"/>
            <w:rFonts w:ascii="FrankRuehl" w:hAnsi="FrankRuehl" w:cs="FrankRuehl"/>
            <w:sz w:val="24"/>
          </w:rPr>
          <w:t>)</w:t>
        </w:r>
      </w:hyperlink>
    </w:p>
    <w:p w14:paraId="07CD3D64" w14:textId="77777777" w:rsidR="00EE30DB" w:rsidRPr="00EE30DB" w:rsidRDefault="00EE30DB" w:rsidP="00EE30DB">
      <w:pPr>
        <w:spacing w:after="120" w:line="240" w:lineRule="exact"/>
        <w:ind w:left="283" w:hanging="283"/>
        <w:rPr>
          <w:rFonts w:ascii="FrankRuehl" w:hAnsi="FrankRuehl" w:cs="FrankRuehl"/>
          <w:color w:val="0000FF"/>
          <w:sz w:val="24"/>
          <w:u w:val="single"/>
          <w:rtl/>
        </w:rPr>
      </w:pPr>
      <w:hyperlink r:id="rId11" w:history="1">
        <w:r w:rsidRPr="00EE30DB">
          <w:rPr>
            <w:rStyle w:val="Hyperlink"/>
            <w:rFonts w:ascii="FrankRuehl" w:hAnsi="FrankRuehl" w:cs="FrankRuehl"/>
            <w:sz w:val="24"/>
            <w:rtl/>
          </w:rPr>
          <w:t>חוק העונשין, תשל"ז-1977</w:t>
        </w:r>
      </w:hyperlink>
      <w:r w:rsidRPr="00EE30DB">
        <w:rPr>
          <w:rFonts w:ascii="FrankRuehl" w:hAnsi="FrankRuehl" w:cs="FrankRuehl"/>
          <w:color w:val="0000FF"/>
          <w:sz w:val="24"/>
          <w:u w:val="single"/>
          <w:rtl/>
        </w:rPr>
        <w:t xml:space="preserve">: סע'  </w:t>
      </w:r>
      <w:hyperlink r:id="rId12" w:history="1">
        <w:r w:rsidRPr="00EE30DB">
          <w:rPr>
            <w:rStyle w:val="Hyperlink"/>
            <w:rFonts w:ascii="FrankRuehl" w:hAnsi="FrankRuehl" w:cs="FrankRuehl"/>
            <w:sz w:val="24"/>
          </w:rPr>
          <w:t>25</w:t>
        </w:r>
      </w:hyperlink>
      <w:r w:rsidRPr="00EE30DB">
        <w:rPr>
          <w:rFonts w:ascii="FrankRuehl" w:hAnsi="FrankRuehl" w:cs="FrankRuehl"/>
          <w:color w:val="0000FF"/>
          <w:sz w:val="24"/>
          <w:u w:val="single"/>
          <w:rtl/>
        </w:rPr>
        <w:t xml:space="preserve">, </w:t>
      </w:r>
      <w:hyperlink r:id="rId13" w:history="1">
        <w:r w:rsidRPr="00EE30DB">
          <w:rPr>
            <w:rStyle w:val="Hyperlink"/>
            <w:rFonts w:ascii="FrankRuehl" w:hAnsi="FrankRuehl" w:cs="FrankRuehl"/>
            <w:sz w:val="24"/>
          </w:rPr>
          <w:t>348(</w:t>
        </w:r>
        <w:r w:rsidRPr="00EE30DB">
          <w:rPr>
            <w:rStyle w:val="Hyperlink"/>
            <w:rFonts w:ascii="FrankRuehl" w:hAnsi="FrankRuehl" w:cs="FrankRuehl"/>
            <w:sz w:val="24"/>
            <w:rtl/>
          </w:rPr>
          <w:t>ג</w:t>
        </w:r>
        <w:r w:rsidRPr="00EE30DB">
          <w:rPr>
            <w:rStyle w:val="Hyperlink"/>
            <w:rFonts w:ascii="FrankRuehl" w:hAnsi="FrankRuehl" w:cs="FrankRuehl"/>
            <w:sz w:val="24"/>
          </w:rPr>
          <w:t>)</w:t>
        </w:r>
      </w:hyperlink>
      <w:r w:rsidRPr="00EE30DB">
        <w:rPr>
          <w:rFonts w:ascii="FrankRuehl" w:hAnsi="FrankRuehl" w:cs="FrankRuehl"/>
          <w:color w:val="0000FF"/>
          <w:sz w:val="24"/>
          <w:u w:val="single"/>
          <w:rtl/>
        </w:rPr>
        <w:t xml:space="preserve">, </w:t>
      </w:r>
      <w:hyperlink r:id="rId14" w:history="1">
        <w:r w:rsidRPr="00EE30DB">
          <w:rPr>
            <w:rStyle w:val="Hyperlink"/>
            <w:rFonts w:ascii="FrankRuehl" w:hAnsi="FrankRuehl" w:cs="FrankRuehl"/>
            <w:sz w:val="24"/>
          </w:rPr>
          <w:t>34</w:t>
        </w:r>
        <w:r w:rsidRPr="00EE30DB">
          <w:rPr>
            <w:rStyle w:val="Hyperlink"/>
            <w:rFonts w:ascii="FrankRuehl" w:hAnsi="FrankRuehl" w:cs="FrankRuehl"/>
            <w:sz w:val="24"/>
            <w:rtl/>
          </w:rPr>
          <w:t>כב</w:t>
        </w:r>
        <w:r w:rsidRPr="00EE30DB">
          <w:rPr>
            <w:rStyle w:val="Hyperlink"/>
            <w:rFonts w:ascii="FrankRuehl" w:hAnsi="FrankRuehl" w:cs="FrankRuehl"/>
            <w:sz w:val="24"/>
          </w:rPr>
          <w:t>'</w:t>
        </w:r>
      </w:hyperlink>
    </w:p>
    <w:p w14:paraId="67B8E53D" w14:textId="77777777" w:rsidR="00EE30DB" w:rsidRPr="00EE30DB" w:rsidRDefault="00EE30DB" w:rsidP="00EE30DB">
      <w:pPr>
        <w:spacing w:after="120" w:line="240" w:lineRule="exact"/>
        <w:ind w:left="283" w:hanging="283"/>
        <w:rPr>
          <w:rFonts w:ascii="FrankRuehl" w:hAnsi="FrankRuehl" w:cs="FrankRuehl"/>
          <w:color w:val="0000FF"/>
          <w:sz w:val="24"/>
          <w:u w:val="single"/>
          <w:rtl/>
        </w:rPr>
      </w:pPr>
      <w:hyperlink r:id="rId15" w:history="1">
        <w:r w:rsidRPr="00EE30DB">
          <w:rPr>
            <w:rStyle w:val="Hyperlink"/>
            <w:rFonts w:ascii="FrankRuehl" w:hAnsi="FrankRuehl" w:cs="FrankRuehl"/>
            <w:sz w:val="24"/>
            <w:rtl/>
          </w:rPr>
          <w:t>פקודת הראיות [נוסח חדש], תשל"א-1971</w:t>
        </w:r>
      </w:hyperlink>
      <w:r w:rsidRPr="00EE30DB">
        <w:rPr>
          <w:rFonts w:ascii="FrankRuehl" w:hAnsi="FrankRuehl" w:cs="FrankRuehl"/>
          <w:color w:val="0000FF"/>
          <w:sz w:val="24"/>
          <w:u w:val="single"/>
          <w:rtl/>
        </w:rPr>
        <w:t xml:space="preserve">: סע'  </w:t>
      </w:r>
      <w:hyperlink r:id="rId16" w:history="1">
        <w:r w:rsidRPr="00EE30DB">
          <w:rPr>
            <w:rStyle w:val="Hyperlink"/>
            <w:rFonts w:ascii="FrankRuehl" w:hAnsi="FrankRuehl" w:cs="FrankRuehl"/>
            <w:sz w:val="24"/>
          </w:rPr>
          <w:t>53</w:t>
        </w:r>
      </w:hyperlink>
      <w:r w:rsidRPr="00EE30DB">
        <w:rPr>
          <w:rFonts w:ascii="FrankRuehl" w:hAnsi="FrankRuehl" w:cs="FrankRuehl"/>
          <w:color w:val="0000FF"/>
          <w:sz w:val="24"/>
          <w:u w:val="single"/>
          <w:rtl/>
        </w:rPr>
        <w:t xml:space="preserve">, </w:t>
      </w:r>
      <w:hyperlink r:id="rId17" w:history="1">
        <w:r w:rsidRPr="00EE30DB">
          <w:rPr>
            <w:rStyle w:val="Hyperlink"/>
            <w:rFonts w:ascii="FrankRuehl" w:hAnsi="FrankRuehl" w:cs="FrankRuehl"/>
            <w:sz w:val="24"/>
          </w:rPr>
          <w:t>54</w:t>
        </w:r>
        <w:r w:rsidRPr="00EE30DB">
          <w:rPr>
            <w:rStyle w:val="Hyperlink"/>
            <w:rFonts w:ascii="FrankRuehl" w:hAnsi="FrankRuehl" w:cs="FrankRuehl"/>
            <w:sz w:val="24"/>
            <w:rtl/>
          </w:rPr>
          <w:t>א'(ב)</w:t>
        </w:r>
      </w:hyperlink>
    </w:p>
    <w:p w14:paraId="3B3F530A" w14:textId="77777777" w:rsidR="00EE30DB" w:rsidRPr="00EE30DB" w:rsidRDefault="00EE30DB" w:rsidP="00EE30DB">
      <w:pPr>
        <w:spacing w:after="120" w:line="240" w:lineRule="exact"/>
        <w:ind w:left="283" w:hanging="283"/>
        <w:rPr>
          <w:rFonts w:ascii="FrankRuehl" w:hAnsi="FrankRuehl" w:cs="FrankRuehl"/>
          <w:sz w:val="24"/>
          <w:rtl/>
        </w:rPr>
      </w:pPr>
    </w:p>
    <w:p w14:paraId="07618678" w14:textId="77777777" w:rsidR="00EE30DB" w:rsidRPr="00EE30DB" w:rsidRDefault="00EE30DB">
      <w:pPr>
        <w:rPr>
          <w:rtl/>
        </w:rPr>
      </w:pPr>
      <w:bookmarkStart w:id="5" w:name="LawTable_End"/>
      <w:bookmarkEnd w:id="5"/>
    </w:p>
    <w:p w14:paraId="43706948" w14:textId="77777777" w:rsidR="00EE30DB" w:rsidRPr="00EE30DB" w:rsidRDefault="00EE30DB">
      <w:pPr>
        <w:rPr>
          <w:rtl/>
        </w:rPr>
      </w:pPr>
    </w:p>
    <w:p w14:paraId="4A83D821" w14:textId="77777777" w:rsidR="006B0F3C" w:rsidRPr="00EE30DB" w:rsidRDefault="006B0F3C">
      <w:pPr>
        <w:rPr>
          <w:rFonts w:hint="cs"/>
          <w:rtl/>
        </w:rPr>
      </w:pPr>
    </w:p>
    <w:p w14:paraId="3F07562F" w14:textId="77777777" w:rsidR="00CA62C4" w:rsidRPr="00CA62C4" w:rsidRDefault="00CA62C4">
      <w:pPr>
        <w:jc w:val="center"/>
        <w:rPr>
          <w:sz w:val="32"/>
          <w:szCs w:val="32"/>
          <w:rtl/>
        </w:rPr>
      </w:pPr>
      <w:bookmarkStart w:id="6" w:name="סוג_מסמך"/>
    </w:p>
    <w:p w14:paraId="17822E01" w14:textId="77777777" w:rsidR="00CA62C4" w:rsidRPr="00CA62C4" w:rsidRDefault="00CA62C4">
      <w:pPr>
        <w:jc w:val="center"/>
        <w:rPr>
          <w:b/>
          <w:bCs/>
          <w:sz w:val="32"/>
          <w:szCs w:val="32"/>
          <w:rtl/>
        </w:rPr>
      </w:pPr>
    </w:p>
    <w:p w14:paraId="782BA989" w14:textId="77777777" w:rsidR="006B0F3C" w:rsidRPr="00CA62C4" w:rsidRDefault="006B0F3C">
      <w:pPr>
        <w:jc w:val="center"/>
        <w:rPr>
          <w:b/>
          <w:bCs/>
          <w:sz w:val="32"/>
          <w:szCs w:val="32"/>
          <w:rtl/>
        </w:rPr>
      </w:pPr>
    </w:p>
    <w:p w14:paraId="3E13F06B" w14:textId="77777777" w:rsidR="006B0F3C" w:rsidRDefault="006B0F3C">
      <w:pPr>
        <w:jc w:val="center"/>
        <w:rPr>
          <w:b/>
          <w:bCs/>
          <w:sz w:val="32"/>
          <w:szCs w:val="32"/>
          <w:u w:val="single"/>
          <w:rtl/>
        </w:rPr>
      </w:pPr>
      <w:bookmarkStart w:id="7" w:name="PsakDin"/>
      <w:bookmarkEnd w:id="0"/>
      <w:r>
        <w:rPr>
          <w:b/>
          <w:bCs/>
          <w:sz w:val="32"/>
          <w:szCs w:val="32"/>
          <w:u w:val="single"/>
          <w:rtl/>
        </w:rPr>
        <w:t>הכרעת דין</w:t>
      </w:r>
    </w:p>
    <w:bookmarkEnd w:id="7"/>
    <w:p w14:paraId="1DFB1842" w14:textId="77777777" w:rsidR="006B0F3C" w:rsidRDefault="006B0F3C">
      <w:pPr>
        <w:rPr>
          <w:rFonts w:hint="cs"/>
          <w:rtl/>
        </w:rPr>
      </w:pPr>
    </w:p>
    <w:bookmarkEnd w:id="6"/>
    <w:p w14:paraId="44DE5838" w14:textId="77777777" w:rsidR="006B0F3C" w:rsidRDefault="006B0F3C">
      <w:pPr>
        <w:rPr>
          <w:rFonts w:hint="cs"/>
          <w:b/>
          <w:bCs/>
          <w:u w:val="single"/>
          <w:rtl/>
        </w:rPr>
      </w:pPr>
      <w:r>
        <w:rPr>
          <w:rFonts w:hint="cs"/>
          <w:b/>
          <w:bCs/>
          <w:u w:val="single"/>
          <w:rtl/>
        </w:rPr>
        <w:t>המבוא:</w:t>
      </w:r>
    </w:p>
    <w:p w14:paraId="20EB37AF" w14:textId="77777777" w:rsidR="006B0F3C" w:rsidRDefault="006B0F3C">
      <w:pPr>
        <w:pStyle w:val="a5"/>
        <w:rPr>
          <w:rFonts w:hint="cs"/>
          <w:rtl/>
        </w:rPr>
      </w:pPr>
      <w:r>
        <w:rPr>
          <w:rFonts w:hint="cs"/>
          <w:rtl/>
        </w:rPr>
        <w:t>בראשית דבריי, אני מודיעה כי אני מזכה את הנאשם שלמה רווה, מחמת הספק, מכל האשמות שיוחסו לו בכתב האישום.</w:t>
      </w:r>
    </w:p>
    <w:p w14:paraId="7AC3F828" w14:textId="77777777" w:rsidR="006B0F3C" w:rsidRDefault="006B0F3C">
      <w:pPr>
        <w:rPr>
          <w:rFonts w:hint="cs"/>
          <w:rtl/>
        </w:rPr>
      </w:pPr>
    </w:p>
    <w:p w14:paraId="4B141097" w14:textId="77777777" w:rsidR="006B0F3C" w:rsidRDefault="006B0F3C">
      <w:pPr>
        <w:rPr>
          <w:rtl/>
        </w:rPr>
      </w:pPr>
      <w:bookmarkStart w:id="8" w:name="ABSTRACT_START"/>
      <w:bookmarkEnd w:id="8"/>
      <w:r>
        <w:rPr>
          <w:rFonts w:hint="cs"/>
          <w:rtl/>
        </w:rPr>
        <w:t xml:space="preserve">כנגד הנאשם הוגש כתב אישום המייחס לו עבירות בשני אישומים נפרדים: </w:t>
      </w:r>
    </w:p>
    <w:p w14:paraId="5BCD46A6" w14:textId="77777777" w:rsidR="006B0F3C" w:rsidRDefault="006B0F3C">
      <w:pPr>
        <w:rPr>
          <w:rFonts w:hint="cs"/>
          <w:rtl/>
        </w:rPr>
      </w:pPr>
      <w:r>
        <w:rPr>
          <w:rFonts w:hint="cs"/>
          <w:rtl/>
        </w:rPr>
        <w:t>בעבירות של הטרדה מינית והתנכלות.</w:t>
      </w:r>
    </w:p>
    <w:p w14:paraId="6D1C2751" w14:textId="77777777" w:rsidR="006B0F3C" w:rsidRDefault="006B0F3C">
      <w:pPr>
        <w:rPr>
          <w:rFonts w:hint="cs"/>
          <w:rtl/>
        </w:rPr>
      </w:pPr>
      <w:r>
        <w:rPr>
          <w:rFonts w:hint="cs"/>
          <w:rtl/>
        </w:rPr>
        <w:t>ומעשה מגונה וניסיון למעשה כזה</w:t>
      </w:r>
      <w:bookmarkStart w:id="9" w:name="ABSTRACT_END"/>
      <w:bookmarkEnd w:id="9"/>
      <w:r>
        <w:rPr>
          <w:rFonts w:hint="cs"/>
          <w:rtl/>
        </w:rPr>
        <w:t xml:space="preserve">. </w:t>
      </w:r>
    </w:p>
    <w:p w14:paraId="6C1D4689" w14:textId="77777777" w:rsidR="006B0F3C" w:rsidRDefault="006B0F3C">
      <w:pPr>
        <w:rPr>
          <w:rFonts w:hint="cs"/>
          <w:b/>
          <w:bCs/>
          <w:rtl/>
        </w:rPr>
      </w:pPr>
    </w:p>
    <w:p w14:paraId="3A27D634" w14:textId="77777777" w:rsidR="006B0F3C" w:rsidRDefault="006B0F3C">
      <w:pPr>
        <w:rPr>
          <w:rFonts w:hint="cs"/>
          <w:b/>
          <w:bCs/>
          <w:rtl/>
        </w:rPr>
      </w:pPr>
      <w:r>
        <w:rPr>
          <w:rFonts w:hint="cs"/>
          <w:b/>
          <w:bCs/>
          <w:rtl/>
        </w:rPr>
        <w:t>באישום הראשון העבירות הינן:</w:t>
      </w:r>
    </w:p>
    <w:p w14:paraId="25515A0A" w14:textId="77777777" w:rsidR="006B0F3C" w:rsidRDefault="006B0F3C">
      <w:pPr>
        <w:ind w:left="720" w:hanging="720"/>
        <w:rPr>
          <w:rFonts w:hint="cs"/>
          <w:rtl/>
        </w:rPr>
      </w:pPr>
      <w:r>
        <w:rPr>
          <w:rFonts w:hint="cs"/>
          <w:rtl/>
        </w:rPr>
        <w:t xml:space="preserve">1. </w:t>
      </w:r>
      <w:r>
        <w:rPr>
          <w:rFonts w:hint="cs"/>
          <w:rtl/>
        </w:rPr>
        <w:tab/>
        <w:t xml:space="preserve">איסור הטרדה מינית והתנכלות - לפי </w:t>
      </w:r>
      <w:hyperlink r:id="rId18" w:history="1">
        <w:r w:rsidR="00CA62C4" w:rsidRPr="00CA62C4">
          <w:rPr>
            <w:rStyle w:val="Hyperlink"/>
            <w:rFonts w:hint="eastAsia"/>
            <w:color w:val="0000FF"/>
            <w:rtl/>
          </w:rPr>
          <w:t>סעיף</w:t>
        </w:r>
        <w:r w:rsidR="00CA62C4" w:rsidRPr="00CA62C4">
          <w:rPr>
            <w:rStyle w:val="Hyperlink"/>
            <w:color w:val="0000FF"/>
            <w:rtl/>
          </w:rPr>
          <w:t xml:space="preserve"> 4</w:t>
        </w:r>
      </w:hyperlink>
      <w:r>
        <w:rPr>
          <w:rFonts w:hint="cs"/>
          <w:rtl/>
        </w:rPr>
        <w:t xml:space="preserve"> + </w:t>
      </w:r>
      <w:hyperlink r:id="rId19" w:history="1">
        <w:r w:rsidR="00CA62C4" w:rsidRPr="00CA62C4">
          <w:rPr>
            <w:rStyle w:val="Hyperlink"/>
            <w:color w:val="0000FF"/>
            <w:rtl/>
          </w:rPr>
          <w:t>5(א)</w:t>
        </w:r>
      </w:hyperlink>
      <w:r>
        <w:rPr>
          <w:rFonts w:hint="cs"/>
          <w:rtl/>
        </w:rPr>
        <w:t xml:space="preserve"> ל</w:t>
      </w:r>
      <w:hyperlink r:id="rId20" w:history="1">
        <w:r w:rsidR="00CA62C4" w:rsidRPr="00CA62C4">
          <w:rPr>
            <w:rStyle w:val="Hyperlink"/>
            <w:rFonts w:hint="eastAsia"/>
            <w:color w:val="0000FF"/>
            <w:rtl/>
          </w:rPr>
          <w:t>חוק</w:t>
        </w:r>
        <w:r w:rsidR="00CA62C4" w:rsidRPr="00CA62C4">
          <w:rPr>
            <w:rStyle w:val="Hyperlink"/>
            <w:color w:val="0000FF"/>
            <w:rtl/>
          </w:rPr>
          <w:t xml:space="preserve"> למניעת הטרדה מינית</w:t>
        </w:r>
      </w:hyperlink>
      <w:r>
        <w:rPr>
          <w:rFonts w:hint="cs"/>
          <w:rtl/>
        </w:rPr>
        <w:t xml:space="preserve"> התשנ"ח-1998.</w:t>
      </w:r>
      <w:r>
        <w:rPr>
          <w:color w:val="FFFFFF"/>
          <w:sz w:val="4"/>
          <w:szCs w:val="4"/>
          <w:rtl/>
        </w:rPr>
        <w:t>ב</w:t>
      </w:r>
    </w:p>
    <w:p w14:paraId="3CF8009C" w14:textId="77777777" w:rsidR="006B0F3C" w:rsidRDefault="006B0F3C">
      <w:pPr>
        <w:ind w:left="720" w:hanging="720"/>
        <w:rPr>
          <w:rFonts w:hint="cs"/>
          <w:rtl/>
        </w:rPr>
      </w:pPr>
      <w:r>
        <w:rPr>
          <w:rFonts w:hint="cs"/>
          <w:rtl/>
        </w:rPr>
        <w:t xml:space="preserve">2. </w:t>
      </w:r>
      <w:r>
        <w:rPr>
          <w:rFonts w:hint="cs"/>
          <w:rtl/>
        </w:rPr>
        <w:tab/>
        <w:t xml:space="preserve">איסור הטרדה מינית והתנכלות - לפי </w:t>
      </w:r>
      <w:hyperlink r:id="rId21" w:history="1">
        <w:r w:rsidR="00CA62C4" w:rsidRPr="00CA62C4">
          <w:rPr>
            <w:rStyle w:val="Hyperlink"/>
            <w:rFonts w:hint="eastAsia"/>
            <w:color w:val="0000FF"/>
            <w:rtl/>
          </w:rPr>
          <w:t>סעיף</w:t>
        </w:r>
        <w:r w:rsidR="00CA62C4" w:rsidRPr="00CA62C4">
          <w:rPr>
            <w:rStyle w:val="Hyperlink"/>
            <w:color w:val="0000FF"/>
            <w:rtl/>
          </w:rPr>
          <w:t xml:space="preserve"> 4</w:t>
        </w:r>
      </w:hyperlink>
      <w:r>
        <w:rPr>
          <w:rFonts w:hint="cs"/>
          <w:rtl/>
        </w:rPr>
        <w:t xml:space="preserve"> + </w:t>
      </w:r>
      <w:hyperlink r:id="rId22" w:history="1">
        <w:r w:rsidR="00CA62C4" w:rsidRPr="00CA62C4">
          <w:rPr>
            <w:rStyle w:val="Hyperlink"/>
            <w:color w:val="0000FF"/>
            <w:rtl/>
          </w:rPr>
          <w:t>5(ב)</w:t>
        </w:r>
      </w:hyperlink>
      <w:r>
        <w:rPr>
          <w:rFonts w:hint="cs"/>
          <w:rtl/>
        </w:rPr>
        <w:t xml:space="preserve"> ל</w:t>
      </w:r>
      <w:hyperlink r:id="rId23" w:history="1">
        <w:r w:rsidR="00CA62C4" w:rsidRPr="00CA62C4">
          <w:rPr>
            <w:rStyle w:val="Hyperlink"/>
            <w:rFonts w:hint="eastAsia"/>
            <w:color w:val="0000FF"/>
            <w:rtl/>
          </w:rPr>
          <w:t>חוק</w:t>
        </w:r>
        <w:r w:rsidR="00CA62C4" w:rsidRPr="00CA62C4">
          <w:rPr>
            <w:rStyle w:val="Hyperlink"/>
            <w:color w:val="0000FF"/>
            <w:rtl/>
          </w:rPr>
          <w:t xml:space="preserve"> למניעת הטרדה מינית</w:t>
        </w:r>
      </w:hyperlink>
      <w:r>
        <w:rPr>
          <w:rFonts w:hint="cs"/>
          <w:rtl/>
        </w:rPr>
        <w:t xml:space="preserve"> התשנ"ח-1998.</w:t>
      </w:r>
      <w:r>
        <w:rPr>
          <w:color w:val="FFFFFF"/>
          <w:sz w:val="4"/>
          <w:szCs w:val="4"/>
          <w:rtl/>
        </w:rPr>
        <w:t>ו</w:t>
      </w:r>
    </w:p>
    <w:p w14:paraId="113C2562" w14:textId="77777777" w:rsidR="006B0F3C" w:rsidRDefault="006B0F3C">
      <w:pPr>
        <w:ind w:left="720" w:hanging="720"/>
        <w:rPr>
          <w:rFonts w:hint="cs"/>
          <w:rtl/>
        </w:rPr>
      </w:pPr>
      <w:r>
        <w:rPr>
          <w:rFonts w:hint="cs"/>
          <w:rtl/>
        </w:rPr>
        <w:t xml:space="preserve">3. </w:t>
      </w:r>
      <w:r>
        <w:rPr>
          <w:rFonts w:hint="cs"/>
          <w:rtl/>
        </w:rPr>
        <w:tab/>
        <w:t xml:space="preserve">איסור הטרדה מינית והתנכלות - לפי </w:t>
      </w:r>
      <w:hyperlink r:id="rId24" w:history="1">
        <w:r w:rsidR="00CA62C4" w:rsidRPr="00CA62C4">
          <w:rPr>
            <w:rStyle w:val="Hyperlink"/>
            <w:rFonts w:hint="eastAsia"/>
            <w:color w:val="0000FF"/>
            <w:rtl/>
          </w:rPr>
          <w:t>סעיף</w:t>
        </w:r>
        <w:r w:rsidR="00CA62C4" w:rsidRPr="00CA62C4">
          <w:rPr>
            <w:rStyle w:val="Hyperlink"/>
            <w:color w:val="0000FF"/>
            <w:rtl/>
          </w:rPr>
          <w:t xml:space="preserve"> 4</w:t>
        </w:r>
      </w:hyperlink>
      <w:r>
        <w:rPr>
          <w:rFonts w:hint="cs"/>
          <w:rtl/>
        </w:rPr>
        <w:t xml:space="preserve"> + </w:t>
      </w:r>
      <w:hyperlink r:id="rId25" w:history="1">
        <w:r w:rsidR="00CA62C4" w:rsidRPr="00CA62C4">
          <w:rPr>
            <w:rStyle w:val="Hyperlink"/>
            <w:color w:val="0000FF"/>
            <w:rtl/>
          </w:rPr>
          <w:t>5(ג)</w:t>
        </w:r>
      </w:hyperlink>
      <w:r>
        <w:rPr>
          <w:rFonts w:hint="cs"/>
          <w:rtl/>
        </w:rPr>
        <w:t xml:space="preserve"> ל</w:t>
      </w:r>
      <w:hyperlink r:id="rId26" w:history="1">
        <w:r w:rsidR="00CA62C4" w:rsidRPr="00CA62C4">
          <w:rPr>
            <w:rStyle w:val="Hyperlink"/>
            <w:rFonts w:hint="eastAsia"/>
            <w:color w:val="0000FF"/>
            <w:rtl/>
          </w:rPr>
          <w:t>חוק</w:t>
        </w:r>
        <w:r w:rsidR="00CA62C4" w:rsidRPr="00CA62C4">
          <w:rPr>
            <w:rStyle w:val="Hyperlink"/>
            <w:color w:val="0000FF"/>
            <w:rtl/>
          </w:rPr>
          <w:t xml:space="preserve"> למניעת הטרדה מינית</w:t>
        </w:r>
      </w:hyperlink>
      <w:r>
        <w:rPr>
          <w:rFonts w:hint="cs"/>
          <w:rtl/>
        </w:rPr>
        <w:t xml:space="preserve">  התשנ"ח - 1998.</w:t>
      </w:r>
      <w:r>
        <w:rPr>
          <w:color w:val="FFFFFF"/>
          <w:sz w:val="4"/>
          <w:szCs w:val="4"/>
          <w:rtl/>
        </w:rPr>
        <w:t>נ</w:t>
      </w:r>
    </w:p>
    <w:p w14:paraId="4B72E9BB" w14:textId="77777777" w:rsidR="006B0F3C" w:rsidRDefault="006B0F3C">
      <w:pPr>
        <w:rPr>
          <w:rFonts w:hint="cs"/>
          <w:rtl/>
        </w:rPr>
      </w:pPr>
      <w:r>
        <w:rPr>
          <w:rFonts w:hint="cs"/>
          <w:rtl/>
        </w:rPr>
        <w:t xml:space="preserve">4. </w:t>
      </w:r>
      <w:r>
        <w:rPr>
          <w:rFonts w:hint="cs"/>
          <w:rtl/>
        </w:rPr>
        <w:tab/>
        <w:t xml:space="preserve">מעשה מגונה - לפי </w:t>
      </w:r>
      <w:hyperlink r:id="rId27" w:history="1">
        <w:r w:rsidR="00CA62C4" w:rsidRPr="00CA62C4">
          <w:rPr>
            <w:rStyle w:val="Hyperlink"/>
            <w:rFonts w:hint="eastAsia"/>
            <w:color w:val="0000FF"/>
            <w:rtl/>
          </w:rPr>
          <w:t>סעיף</w:t>
        </w:r>
        <w:r w:rsidR="00CA62C4" w:rsidRPr="00CA62C4">
          <w:rPr>
            <w:rStyle w:val="Hyperlink"/>
            <w:color w:val="0000FF"/>
            <w:rtl/>
          </w:rPr>
          <w:t xml:space="preserve"> 348(ג)</w:t>
        </w:r>
      </w:hyperlink>
      <w:r>
        <w:rPr>
          <w:rFonts w:hint="cs"/>
          <w:rtl/>
        </w:rPr>
        <w:t xml:space="preserve"> ל</w:t>
      </w:r>
      <w:hyperlink r:id="rId28" w:history="1">
        <w:r w:rsidR="00CA62C4" w:rsidRPr="00CA62C4">
          <w:rPr>
            <w:rStyle w:val="Hyperlink"/>
            <w:rFonts w:hint="eastAsia"/>
            <w:color w:val="0000FF"/>
            <w:rtl/>
          </w:rPr>
          <w:t>חוק</w:t>
        </w:r>
        <w:r w:rsidR="00CA62C4" w:rsidRPr="00CA62C4">
          <w:rPr>
            <w:rStyle w:val="Hyperlink"/>
            <w:color w:val="0000FF"/>
            <w:rtl/>
          </w:rPr>
          <w:t xml:space="preserve"> העונשין</w:t>
        </w:r>
      </w:hyperlink>
      <w:r>
        <w:rPr>
          <w:rFonts w:hint="cs"/>
          <w:rtl/>
        </w:rPr>
        <w:t xml:space="preserve"> התשל"ז-1977.</w:t>
      </w:r>
      <w:r>
        <w:rPr>
          <w:color w:val="FFFFFF"/>
          <w:sz w:val="4"/>
          <w:szCs w:val="4"/>
          <w:rtl/>
        </w:rPr>
        <w:t>ב</w:t>
      </w:r>
    </w:p>
    <w:p w14:paraId="127D8F91" w14:textId="77777777" w:rsidR="006B0F3C" w:rsidRDefault="006B0F3C">
      <w:pPr>
        <w:rPr>
          <w:rFonts w:hint="cs"/>
          <w:rtl/>
        </w:rPr>
      </w:pPr>
      <w:r>
        <w:rPr>
          <w:rFonts w:hint="cs"/>
          <w:rtl/>
        </w:rPr>
        <w:t xml:space="preserve">5. </w:t>
      </w:r>
      <w:r>
        <w:rPr>
          <w:rFonts w:hint="cs"/>
          <w:rtl/>
        </w:rPr>
        <w:tab/>
        <w:t xml:space="preserve">ניסיון למעשה מגונה - לפי </w:t>
      </w:r>
      <w:hyperlink r:id="rId29" w:history="1">
        <w:r w:rsidR="00CA62C4" w:rsidRPr="00CA62C4">
          <w:rPr>
            <w:rStyle w:val="Hyperlink"/>
            <w:rFonts w:hint="eastAsia"/>
            <w:color w:val="0000FF"/>
            <w:rtl/>
          </w:rPr>
          <w:t>סעיף</w:t>
        </w:r>
        <w:r w:rsidR="00CA62C4" w:rsidRPr="00CA62C4">
          <w:rPr>
            <w:rStyle w:val="Hyperlink"/>
            <w:color w:val="0000FF"/>
            <w:rtl/>
          </w:rPr>
          <w:t xml:space="preserve"> 348(ג)</w:t>
        </w:r>
      </w:hyperlink>
      <w:r>
        <w:rPr>
          <w:rFonts w:hint="cs"/>
          <w:rtl/>
        </w:rPr>
        <w:t xml:space="preserve"> + </w:t>
      </w:r>
      <w:hyperlink r:id="rId30" w:history="1">
        <w:r w:rsidR="00CA62C4" w:rsidRPr="00CA62C4">
          <w:rPr>
            <w:rStyle w:val="Hyperlink"/>
            <w:color w:val="0000FF"/>
            <w:rtl/>
          </w:rPr>
          <w:t>25</w:t>
        </w:r>
      </w:hyperlink>
      <w:r>
        <w:rPr>
          <w:rFonts w:hint="cs"/>
          <w:rtl/>
        </w:rPr>
        <w:t xml:space="preserve"> ל</w:t>
      </w:r>
      <w:hyperlink r:id="rId31" w:history="1">
        <w:r w:rsidR="00CA62C4" w:rsidRPr="00CA62C4">
          <w:rPr>
            <w:rStyle w:val="Hyperlink"/>
            <w:rFonts w:hint="eastAsia"/>
            <w:color w:val="0000FF"/>
            <w:rtl/>
          </w:rPr>
          <w:t>חוק</w:t>
        </w:r>
        <w:r w:rsidR="00CA62C4" w:rsidRPr="00CA62C4">
          <w:rPr>
            <w:rStyle w:val="Hyperlink"/>
            <w:color w:val="0000FF"/>
            <w:rtl/>
          </w:rPr>
          <w:t xml:space="preserve"> העונשין</w:t>
        </w:r>
      </w:hyperlink>
      <w:r>
        <w:rPr>
          <w:rFonts w:hint="cs"/>
          <w:rtl/>
        </w:rPr>
        <w:t xml:space="preserve"> התשל"ז-1977.</w:t>
      </w:r>
      <w:r>
        <w:rPr>
          <w:color w:val="FFFFFF"/>
          <w:sz w:val="4"/>
          <w:szCs w:val="4"/>
          <w:rtl/>
        </w:rPr>
        <w:t>ו</w:t>
      </w:r>
    </w:p>
    <w:p w14:paraId="75F95EFA" w14:textId="77777777" w:rsidR="006B0F3C" w:rsidRDefault="006B0F3C">
      <w:pPr>
        <w:rPr>
          <w:rFonts w:hint="cs"/>
          <w:rtl/>
        </w:rPr>
      </w:pPr>
    </w:p>
    <w:p w14:paraId="7ABD8A96" w14:textId="77777777" w:rsidR="006B0F3C" w:rsidRDefault="006B0F3C">
      <w:pPr>
        <w:rPr>
          <w:rFonts w:hint="cs"/>
          <w:rtl/>
        </w:rPr>
      </w:pPr>
    </w:p>
    <w:p w14:paraId="547AA0BD" w14:textId="77777777" w:rsidR="006B0F3C" w:rsidRDefault="006B0F3C">
      <w:pPr>
        <w:rPr>
          <w:rFonts w:hint="cs"/>
          <w:rtl/>
        </w:rPr>
      </w:pPr>
    </w:p>
    <w:p w14:paraId="7F75636C" w14:textId="77777777" w:rsidR="006B0F3C" w:rsidRDefault="006B0F3C">
      <w:pPr>
        <w:rPr>
          <w:rFonts w:hint="cs"/>
          <w:b/>
          <w:bCs/>
          <w:rtl/>
        </w:rPr>
      </w:pPr>
      <w:r>
        <w:rPr>
          <w:rFonts w:hint="cs"/>
          <w:b/>
          <w:bCs/>
          <w:rtl/>
        </w:rPr>
        <w:t>באישום השני העבירות הינן:</w:t>
      </w:r>
    </w:p>
    <w:p w14:paraId="55743499" w14:textId="77777777" w:rsidR="006B0F3C" w:rsidRDefault="006B0F3C">
      <w:pPr>
        <w:ind w:left="720" w:hanging="720"/>
        <w:rPr>
          <w:rFonts w:hint="cs"/>
          <w:rtl/>
        </w:rPr>
      </w:pPr>
      <w:r>
        <w:rPr>
          <w:rFonts w:hint="cs"/>
          <w:rtl/>
        </w:rPr>
        <w:t xml:space="preserve">1. </w:t>
      </w:r>
      <w:r>
        <w:rPr>
          <w:rFonts w:hint="cs"/>
          <w:rtl/>
        </w:rPr>
        <w:tab/>
        <w:t xml:space="preserve">איסור הטרדה מינית והתנכלות - לפי </w:t>
      </w:r>
      <w:hyperlink r:id="rId32" w:history="1">
        <w:r w:rsidR="00CA62C4" w:rsidRPr="00CA62C4">
          <w:rPr>
            <w:rStyle w:val="Hyperlink"/>
            <w:rFonts w:hint="eastAsia"/>
            <w:color w:val="0000FF"/>
            <w:rtl/>
          </w:rPr>
          <w:t>סעיף</w:t>
        </w:r>
        <w:r w:rsidR="00CA62C4" w:rsidRPr="00CA62C4">
          <w:rPr>
            <w:rStyle w:val="Hyperlink"/>
            <w:color w:val="0000FF"/>
            <w:rtl/>
          </w:rPr>
          <w:t xml:space="preserve"> 4</w:t>
        </w:r>
      </w:hyperlink>
      <w:r>
        <w:rPr>
          <w:rFonts w:hint="cs"/>
          <w:rtl/>
        </w:rPr>
        <w:t xml:space="preserve"> + </w:t>
      </w:r>
      <w:hyperlink r:id="rId33" w:history="1">
        <w:r w:rsidR="00CA62C4" w:rsidRPr="00CA62C4">
          <w:rPr>
            <w:rStyle w:val="Hyperlink"/>
            <w:color w:val="0000FF"/>
            <w:rtl/>
          </w:rPr>
          <w:t>5(א)</w:t>
        </w:r>
      </w:hyperlink>
      <w:r>
        <w:rPr>
          <w:rFonts w:hint="cs"/>
          <w:rtl/>
        </w:rPr>
        <w:t xml:space="preserve"> ל</w:t>
      </w:r>
      <w:hyperlink r:id="rId34" w:history="1">
        <w:r w:rsidR="00CA62C4" w:rsidRPr="00CA62C4">
          <w:rPr>
            <w:rStyle w:val="Hyperlink"/>
            <w:rFonts w:hint="eastAsia"/>
            <w:color w:val="0000FF"/>
            <w:rtl/>
          </w:rPr>
          <w:t>חוק</w:t>
        </w:r>
        <w:r w:rsidR="00CA62C4" w:rsidRPr="00CA62C4">
          <w:rPr>
            <w:rStyle w:val="Hyperlink"/>
            <w:color w:val="0000FF"/>
            <w:rtl/>
          </w:rPr>
          <w:t xml:space="preserve"> למניעת הטרדה מינית</w:t>
        </w:r>
      </w:hyperlink>
      <w:r>
        <w:rPr>
          <w:rFonts w:hint="cs"/>
          <w:rtl/>
        </w:rPr>
        <w:t xml:space="preserve"> התשנ"ח-1998.</w:t>
      </w:r>
      <w:r>
        <w:rPr>
          <w:color w:val="FFFFFF"/>
          <w:sz w:val="4"/>
          <w:szCs w:val="4"/>
          <w:rtl/>
        </w:rPr>
        <w:t>נ</w:t>
      </w:r>
    </w:p>
    <w:p w14:paraId="6612AFEA" w14:textId="77777777" w:rsidR="006B0F3C" w:rsidRDefault="006B0F3C">
      <w:pPr>
        <w:ind w:left="720" w:hanging="720"/>
        <w:rPr>
          <w:rFonts w:hint="cs"/>
          <w:rtl/>
        </w:rPr>
      </w:pPr>
      <w:r>
        <w:rPr>
          <w:rFonts w:hint="cs"/>
          <w:rtl/>
        </w:rPr>
        <w:t xml:space="preserve">2. </w:t>
      </w:r>
      <w:r>
        <w:rPr>
          <w:rFonts w:hint="cs"/>
          <w:rtl/>
        </w:rPr>
        <w:tab/>
        <w:t xml:space="preserve">איסור הטרדה מינית והתנכלות - לפי </w:t>
      </w:r>
      <w:hyperlink r:id="rId35" w:history="1">
        <w:r w:rsidR="00CA62C4" w:rsidRPr="00CA62C4">
          <w:rPr>
            <w:rStyle w:val="Hyperlink"/>
            <w:rFonts w:hint="eastAsia"/>
            <w:color w:val="0000FF"/>
            <w:rtl/>
          </w:rPr>
          <w:t>סעיף</w:t>
        </w:r>
        <w:r w:rsidR="00CA62C4" w:rsidRPr="00CA62C4">
          <w:rPr>
            <w:rStyle w:val="Hyperlink"/>
            <w:color w:val="0000FF"/>
            <w:rtl/>
          </w:rPr>
          <w:t xml:space="preserve"> 4</w:t>
        </w:r>
      </w:hyperlink>
      <w:r>
        <w:rPr>
          <w:rFonts w:hint="cs"/>
          <w:rtl/>
        </w:rPr>
        <w:t xml:space="preserve"> + </w:t>
      </w:r>
      <w:hyperlink r:id="rId36" w:history="1">
        <w:r w:rsidR="00CA62C4" w:rsidRPr="00CA62C4">
          <w:rPr>
            <w:rStyle w:val="Hyperlink"/>
            <w:color w:val="0000FF"/>
            <w:rtl/>
          </w:rPr>
          <w:t>5(ב)</w:t>
        </w:r>
      </w:hyperlink>
      <w:r>
        <w:rPr>
          <w:rFonts w:hint="cs"/>
          <w:rtl/>
        </w:rPr>
        <w:t xml:space="preserve"> ל</w:t>
      </w:r>
      <w:hyperlink r:id="rId37" w:history="1">
        <w:r w:rsidR="00CA62C4" w:rsidRPr="00CA62C4">
          <w:rPr>
            <w:rStyle w:val="Hyperlink"/>
            <w:rFonts w:hint="eastAsia"/>
            <w:color w:val="0000FF"/>
            <w:rtl/>
          </w:rPr>
          <w:t>חוק</w:t>
        </w:r>
        <w:r w:rsidR="00CA62C4" w:rsidRPr="00CA62C4">
          <w:rPr>
            <w:rStyle w:val="Hyperlink"/>
            <w:color w:val="0000FF"/>
            <w:rtl/>
          </w:rPr>
          <w:t xml:space="preserve"> למניעת הטרדה מינית</w:t>
        </w:r>
      </w:hyperlink>
      <w:r>
        <w:rPr>
          <w:rFonts w:hint="cs"/>
          <w:rtl/>
        </w:rPr>
        <w:t xml:space="preserve"> התשנ"ח-1998.</w:t>
      </w:r>
      <w:r>
        <w:rPr>
          <w:color w:val="FFFFFF"/>
          <w:sz w:val="4"/>
          <w:szCs w:val="4"/>
          <w:rtl/>
        </w:rPr>
        <w:t>ב</w:t>
      </w:r>
    </w:p>
    <w:p w14:paraId="75F39825" w14:textId="77777777" w:rsidR="006B0F3C" w:rsidRDefault="006B0F3C">
      <w:pPr>
        <w:rPr>
          <w:rFonts w:hint="cs"/>
          <w:rtl/>
        </w:rPr>
      </w:pPr>
      <w:r>
        <w:rPr>
          <w:rFonts w:hint="cs"/>
          <w:rtl/>
        </w:rPr>
        <w:t>3.</w:t>
      </w:r>
      <w:r>
        <w:rPr>
          <w:rFonts w:hint="cs"/>
          <w:rtl/>
        </w:rPr>
        <w:tab/>
        <w:t xml:space="preserve">מעשה מגונה - לפי </w:t>
      </w:r>
      <w:hyperlink r:id="rId38" w:history="1">
        <w:r w:rsidR="00CA62C4" w:rsidRPr="00CA62C4">
          <w:rPr>
            <w:rStyle w:val="Hyperlink"/>
            <w:rFonts w:hint="eastAsia"/>
            <w:color w:val="0000FF"/>
            <w:rtl/>
          </w:rPr>
          <w:t>סעיף</w:t>
        </w:r>
        <w:r w:rsidR="00CA62C4" w:rsidRPr="00CA62C4">
          <w:rPr>
            <w:rStyle w:val="Hyperlink"/>
            <w:color w:val="0000FF"/>
            <w:rtl/>
          </w:rPr>
          <w:t xml:space="preserve"> 348 (ג)</w:t>
        </w:r>
      </w:hyperlink>
      <w:r>
        <w:rPr>
          <w:rFonts w:hint="cs"/>
          <w:rtl/>
        </w:rPr>
        <w:t xml:space="preserve"> ל</w:t>
      </w:r>
      <w:hyperlink r:id="rId39" w:history="1">
        <w:r w:rsidR="00CA62C4" w:rsidRPr="00CA62C4">
          <w:rPr>
            <w:rStyle w:val="Hyperlink"/>
            <w:rFonts w:hint="eastAsia"/>
            <w:color w:val="0000FF"/>
            <w:rtl/>
          </w:rPr>
          <w:t>חוק</w:t>
        </w:r>
        <w:r w:rsidR="00CA62C4" w:rsidRPr="00CA62C4">
          <w:rPr>
            <w:rStyle w:val="Hyperlink"/>
            <w:color w:val="0000FF"/>
            <w:rtl/>
          </w:rPr>
          <w:t xml:space="preserve"> העונשין</w:t>
        </w:r>
      </w:hyperlink>
      <w:r>
        <w:rPr>
          <w:rFonts w:hint="cs"/>
          <w:rtl/>
        </w:rPr>
        <w:t xml:space="preserve"> התשל"ז-1977.</w:t>
      </w:r>
      <w:r>
        <w:rPr>
          <w:color w:val="FFFFFF"/>
          <w:sz w:val="4"/>
          <w:szCs w:val="4"/>
          <w:rtl/>
        </w:rPr>
        <w:t>ו</w:t>
      </w:r>
    </w:p>
    <w:p w14:paraId="1D20B21D" w14:textId="77777777" w:rsidR="006B0F3C" w:rsidRDefault="006B0F3C">
      <w:pPr>
        <w:rPr>
          <w:rFonts w:hint="cs"/>
          <w:rtl/>
        </w:rPr>
      </w:pPr>
    </w:p>
    <w:p w14:paraId="0A5DC0F4" w14:textId="77777777" w:rsidR="006B0F3C" w:rsidRDefault="006B0F3C">
      <w:pPr>
        <w:rPr>
          <w:rFonts w:hint="cs"/>
          <w:rtl/>
        </w:rPr>
      </w:pPr>
      <w:r>
        <w:rPr>
          <w:rFonts w:hint="cs"/>
          <w:rtl/>
        </w:rPr>
        <w:t>בשני המקרים מבוססים האישומים על תלונות שהגישו שתי מתלוננות (תרז וג'יהאן).</w:t>
      </w:r>
      <w:r>
        <w:rPr>
          <w:color w:val="FFFFFF"/>
          <w:sz w:val="4"/>
          <w:szCs w:val="4"/>
          <w:rtl/>
        </w:rPr>
        <w:t>נ</w:t>
      </w:r>
    </w:p>
    <w:p w14:paraId="49C00FE1" w14:textId="77777777" w:rsidR="006B0F3C" w:rsidRDefault="006B0F3C">
      <w:pPr>
        <w:rPr>
          <w:rFonts w:hint="cs"/>
          <w:rtl/>
        </w:rPr>
      </w:pPr>
      <w:r>
        <w:rPr>
          <w:rFonts w:hint="cs"/>
          <w:rtl/>
        </w:rPr>
        <w:t xml:space="preserve">בתקופות הרלוונטיות עבד הנאשם כאח ראשי וכמנהל העבודה של המתלוננות, בבית האבות "בן יהודה" שברחוב דרך הים 174 ו-179 בחיפה (להלן: "בית האבות"). </w:t>
      </w:r>
    </w:p>
    <w:p w14:paraId="682E1044" w14:textId="77777777" w:rsidR="006B0F3C" w:rsidRDefault="006B0F3C">
      <w:pPr>
        <w:rPr>
          <w:rFonts w:hint="cs"/>
          <w:rtl/>
        </w:rPr>
      </w:pPr>
      <w:r>
        <w:rPr>
          <w:rFonts w:hint="cs"/>
          <w:rtl/>
        </w:rPr>
        <w:t xml:space="preserve">בבית האבות מתלוננת 1 (תרז) שימשה כמטפלת ומתלוננת 2 (ג'יהאן) שימשה ככוח עזר. </w:t>
      </w:r>
    </w:p>
    <w:p w14:paraId="4A32DF43" w14:textId="77777777" w:rsidR="006B0F3C" w:rsidRDefault="006B0F3C">
      <w:pPr>
        <w:rPr>
          <w:rFonts w:hint="cs"/>
          <w:rtl/>
        </w:rPr>
      </w:pPr>
    </w:p>
    <w:p w14:paraId="1CABF006" w14:textId="77777777" w:rsidR="006B0F3C" w:rsidRDefault="006B0F3C">
      <w:pPr>
        <w:rPr>
          <w:rFonts w:hint="cs"/>
          <w:rtl/>
        </w:rPr>
      </w:pPr>
      <w:r>
        <w:rPr>
          <w:rFonts w:hint="cs"/>
          <w:rtl/>
        </w:rPr>
        <w:t>כתב האישום מציין: מעשים מיניים שביצע הנאשם בעובדות אשר היו כפופות למרותו. הנאשם הכחיש את הנטען כלפיו, וטען שהמתלוננות מעלילות עליו עלילה, ומבקשות לנקום בו בשל העובדה שהוא גרם לפיטוריהן.</w:t>
      </w:r>
      <w:r>
        <w:rPr>
          <w:color w:val="FFFFFF"/>
          <w:sz w:val="4"/>
          <w:szCs w:val="4"/>
          <w:rtl/>
        </w:rPr>
        <w:t>ב</w:t>
      </w:r>
    </w:p>
    <w:p w14:paraId="0B23D220" w14:textId="77777777" w:rsidR="006B0F3C" w:rsidRDefault="006B0F3C">
      <w:pPr>
        <w:rPr>
          <w:rFonts w:hint="cs"/>
          <w:rtl/>
        </w:rPr>
      </w:pPr>
    </w:p>
    <w:p w14:paraId="7840D516" w14:textId="77777777" w:rsidR="006B0F3C" w:rsidRDefault="006B0F3C">
      <w:pPr>
        <w:pStyle w:val="Heading4"/>
        <w:rPr>
          <w:rFonts w:hint="cs"/>
          <w:rtl/>
        </w:rPr>
      </w:pPr>
      <w:r>
        <w:rPr>
          <w:rFonts w:hint="cs"/>
          <w:rtl/>
        </w:rPr>
        <w:lastRenderedPageBreak/>
        <w:t>העובדות עפ"י כתב האישום:</w:t>
      </w:r>
    </w:p>
    <w:p w14:paraId="6A3BA76C" w14:textId="77777777" w:rsidR="006B0F3C" w:rsidRDefault="006B0F3C">
      <w:pPr>
        <w:pStyle w:val="Heading5"/>
        <w:rPr>
          <w:rFonts w:hint="cs"/>
          <w:b w:val="0"/>
          <w:bCs w:val="0"/>
          <w:u w:val="none"/>
          <w:rtl/>
        </w:rPr>
      </w:pPr>
      <w:r>
        <w:rPr>
          <w:rFonts w:hint="cs"/>
          <w:u w:val="none"/>
          <w:rtl/>
        </w:rPr>
        <w:t xml:space="preserve">אישום ראשון - </w:t>
      </w:r>
      <w:r>
        <w:rPr>
          <w:rFonts w:hint="cs"/>
          <w:b w:val="0"/>
          <w:bCs w:val="0"/>
          <w:u w:val="none"/>
          <w:rtl/>
        </w:rPr>
        <w:t>בחודשים מאי עד אוגוסט 2000, במועדים שונים בבית האבות, נהג הנאשם להטריד באופן מיני את המתלוננת 1 (להלן: "תרז"), בכך שהניח ידו על גופה, חיבק אותה ונשק לה בניגוד לרצונה והיה אומר לה "אני חייב לראות אותך" וכל זאת ללא הסכמת המתלוננת.</w:t>
      </w:r>
      <w:r>
        <w:rPr>
          <w:b w:val="0"/>
          <w:bCs w:val="0"/>
          <w:color w:val="FFFFFF"/>
          <w:sz w:val="4"/>
          <w:szCs w:val="4"/>
          <w:u w:val="none"/>
          <w:rtl/>
        </w:rPr>
        <w:t>ו</w:t>
      </w:r>
    </w:p>
    <w:p w14:paraId="0D92D2F2" w14:textId="77777777" w:rsidR="006B0F3C" w:rsidRDefault="006B0F3C">
      <w:pPr>
        <w:rPr>
          <w:rFonts w:hint="cs"/>
          <w:rtl/>
        </w:rPr>
      </w:pPr>
      <w:r>
        <w:rPr>
          <w:rFonts w:hint="cs"/>
          <w:rtl/>
        </w:rPr>
        <w:t>במהלך תקופה זו ועל רקע סירובה של המתלוננת להצעותיו, היה מתנכל לה בכך שהיה משבץ אותה למשמרות לא רווחיות.</w:t>
      </w:r>
      <w:r>
        <w:rPr>
          <w:color w:val="FFFFFF"/>
          <w:sz w:val="4"/>
          <w:szCs w:val="4"/>
          <w:rtl/>
        </w:rPr>
        <w:t>נ</w:t>
      </w:r>
    </w:p>
    <w:p w14:paraId="54B3594A" w14:textId="77777777" w:rsidR="006B0F3C" w:rsidRDefault="006B0F3C">
      <w:pPr>
        <w:rPr>
          <w:rFonts w:hint="cs"/>
          <w:rtl/>
        </w:rPr>
      </w:pPr>
    </w:p>
    <w:p w14:paraId="7F7561BE" w14:textId="77777777" w:rsidR="006B0F3C" w:rsidRDefault="006B0F3C">
      <w:pPr>
        <w:rPr>
          <w:rFonts w:hint="cs"/>
          <w:rtl/>
        </w:rPr>
      </w:pPr>
      <w:r>
        <w:rPr>
          <w:rFonts w:hint="cs"/>
          <w:rtl/>
        </w:rPr>
        <w:t xml:space="preserve">בחודש יוני 2000, בתאריך שאינו ידוע במדוייק, קרא הנאשם לתרז כדי שתתבונן בסידור העבודה, ובו בזמן הניח ידיו על החזה של המתלוננת  בניגוד לרצונה, בהיותה לבושה. </w:t>
      </w:r>
    </w:p>
    <w:p w14:paraId="5533AB83" w14:textId="77777777" w:rsidR="006B0F3C" w:rsidRDefault="006B0F3C">
      <w:pPr>
        <w:rPr>
          <w:rFonts w:hint="cs"/>
          <w:rtl/>
        </w:rPr>
      </w:pPr>
      <w:r>
        <w:rPr>
          <w:rFonts w:hint="cs"/>
          <w:rtl/>
        </w:rPr>
        <w:t>כעבור מספר ימים במסדרון המחלקה, משך הנאשם במותן מכנסיה של תרז, בנסותו להכניס ידו אל תוך מכנסיה.</w:t>
      </w:r>
      <w:r>
        <w:rPr>
          <w:color w:val="FFFFFF"/>
          <w:sz w:val="4"/>
          <w:szCs w:val="4"/>
          <w:rtl/>
        </w:rPr>
        <w:t>ב</w:t>
      </w:r>
    </w:p>
    <w:p w14:paraId="3A47933D" w14:textId="77777777" w:rsidR="006B0F3C" w:rsidRDefault="006B0F3C">
      <w:pPr>
        <w:rPr>
          <w:rFonts w:hint="cs"/>
          <w:rtl/>
        </w:rPr>
      </w:pPr>
    </w:p>
    <w:p w14:paraId="66E84C0C" w14:textId="77777777" w:rsidR="006B0F3C" w:rsidRDefault="006B0F3C">
      <w:pPr>
        <w:rPr>
          <w:rFonts w:hint="cs"/>
          <w:rtl/>
        </w:rPr>
      </w:pPr>
    </w:p>
    <w:p w14:paraId="78BA4DBC" w14:textId="77777777" w:rsidR="006B0F3C" w:rsidRDefault="006B0F3C">
      <w:pPr>
        <w:rPr>
          <w:rFonts w:hint="cs"/>
          <w:rtl/>
        </w:rPr>
      </w:pPr>
    </w:p>
    <w:p w14:paraId="1E451C49" w14:textId="77777777" w:rsidR="006B0F3C" w:rsidRDefault="006B0F3C">
      <w:pPr>
        <w:pStyle w:val="Heading6"/>
        <w:rPr>
          <w:rFonts w:hint="cs"/>
          <w:b w:val="0"/>
          <w:bCs w:val="0"/>
          <w:u w:val="none"/>
          <w:rtl/>
        </w:rPr>
      </w:pPr>
      <w:r>
        <w:rPr>
          <w:rFonts w:hint="cs"/>
          <w:u w:val="none"/>
          <w:rtl/>
        </w:rPr>
        <w:t xml:space="preserve">אישום שני - </w:t>
      </w:r>
      <w:r>
        <w:rPr>
          <w:rFonts w:hint="cs"/>
          <w:b w:val="0"/>
          <w:bCs w:val="0"/>
          <w:u w:val="none"/>
          <w:rtl/>
        </w:rPr>
        <w:t>במהלך החודשים ינואר עד מרץ 2000, במועדים שונים, נהג הנאשם להטריד את המתלוננת 2 (להלן: "ג'יהאן") באופן מיני, בכך שהציע לה לשכב איתו ונגע בכל חלקי גופה, וכל זאת בניגוד לרצונה של ג'יהאן.</w:t>
      </w:r>
      <w:r>
        <w:rPr>
          <w:b w:val="0"/>
          <w:bCs w:val="0"/>
          <w:color w:val="FFFFFF"/>
          <w:sz w:val="4"/>
          <w:szCs w:val="4"/>
          <w:u w:val="none"/>
          <w:rtl/>
        </w:rPr>
        <w:t>ו</w:t>
      </w:r>
    </w:p>
    <w:p w14:paraId="5C5AE114" w14:textId="77777777" w:rsidR="006B0F3C" w:rsidRDefault="006B0F3C">
      <w:pPr>
        <w:rPr>
          <w:rFonts w:hint="cs"/>
          <w:rtl/>
        </w:rPr>
      </w:pPr>
      <w:r>
        <w:rPr>
          <w:rFonts w:hint="cs"/>
          <w:rtl/>
        </w:rPr>
        <w:t>במהלך תקופה זו במועד שאינו ידוע במדוייק, אחז הנאשם בחוזקה בחזה של ג'יהאן, בלא הסכמתה.</w:t>
      </w:r>
      <w:r>
        <w:rPr>
          <w:color w:val="FFFFFF"/>
          <w:sz w:val="4"/>
          <w:szCs w:val="4"/>
          <w:rtl/>
        </w:rPr>
        <w:t>נ</w:t>
      </w:r>
    </w:p>
    <w:p w14:paraId="25799DD3" w14:textId="77777777" w:rsidR="006B0F3C" w:rsidRDefault="006B0F3C">
      <w:pPr>
        <w:rPr>
          <w:rFonts w:hint="cs"/>
          <w:rtl/>
        </w:rPr>
      </w:pPr>
      <w:r>
        <w:rPr>
          <w:rFonts w:hint="cs"/>
          <w:rtl/>
        </w:rPr>
        <w:t>הנאשם התנכל למתלוננת וכן פיטר אותה לאחר שלא נענתה לדרישותיו שהיו בעלות אופי מיני.</w:t>
      </w:r>
      <w:r>
        <w:rPr>
          <w:color w:val="FFFFFF"/>
          <w:sz w:val="4"/>
          <w:szCs w:val="4"/>
          <w:rtl/>
        </w:rPr>
        <w:t>ב</w:t>
      </w:r>
    </w:p>
    <w:p w14:paraId="45A86E29" w14:textId="77777777" w:rsidR="006B0F3C" w:rsidRDefault="006B0F3C">
      <w:pPr>
        <w:rPr>
          <w:rFonts w:hint="cs"/>
          <w:u w:val="single"/>
          <w:rtl/>
        </w:rPr>
      </w:pPr>
    </w:p>
    <w:p w14:paraId="6996F1CF" w14:textId="77777777" w:rsidR="006B0F3C" w:rsidRDefault="006B0F3C">
      <w:pPr>
        <w:rPr>
          <w:rFonts w:hint="cs"/>
          <w:b/>
          <w:bCs/>
          <w:u w:val="single"/>
          <w:rtl/>
        </w:rPr>
      </w:pPr>
      <w:r>
        <w:rPr>
          <w:rFonts w:hint="cs"/>
          <w:b/>
          <w:bCs/>
          <w:u w:val="single"/>
          <w:rtl/>
        </w:rPr>
        <w:t>הראיות:</w:t>
      </w:r>
    </w:p>
    <w:p w14:paraId="5EC78703" w14:textId="77777777" w:rsidR="006B0F3C" w:rsidRDefault="006B0F3C">
      <w:pPr>
        <w:pStyle w:val="BodyText"/>
        <w:rPr>
          <w:rFonts w:hint="cs"/>
          <w:rtl/>
        </w:rPr>
      </w:pPr>
      <w:r>
        <w:rPr>
          <w:rFonts w:hint="cs"/>
          <w:rtl/>
        </w:rPr>
        <w:t xml:space="preserve">התביעה לשם הוכחת העובדות בכתב האישום הביאה למתן עדות את: 2 המתלוננות, הגב' נירית כהן שהינה מנהלת בית האבות, מפקח גולן תמיר שגבה את הודעות הנאשם במשטרה והגישן (ת/1 ו-ת/2), ומירב שחר פישר שעבדה בבית האבות כעובדת סוציאלית במשך שנתיים. </w:t>
      </w:r>
    </w:p>
    <w:p w14:paraId="27935EC0" w14:textId="77777777" w:rsidR="006B0F3C" w:rsidRDefault="006B0F3C">
      <w:pPr>
        <w:rPr>
          <w:rFonts w:hint="cs"/>
          <w:rtl/>
        </w:rPr>
      </w:pPr>
      <w:r>
        <w:rPr>
          <w:rFonts w:hint="cs"/>
          <w:rtl/>
        </w:rPr>
        <w:t>כמו כן, הוגשו 5 מוצגים מטעמה.</w:t>
      </w:r>
      <w:r>
        <w:rPr>
          <w:color w:val="FFFFFF"/>
          <w:sz w:val="4"/>
          <w:szCs w:val="4"/>
          <w:rtl/>
        </w:rPr>
        <w:t>ו</w:t>
      </w:r>
    </w:p>
    <w:p w14:paraId="5BA6AB5D" w14:textId="77777777" w:rsidR="006B0F3C" w:rsidRDefault="006B0F3C">
      <w:pPr>
        <w:rPr>
          <w:rFonts w:hint="cs"/>
          <w:rtl/>
        </w:rPr>
      </w:pPr>
    </w:p>
    <w:p w14:paraId="2408F0CB" w14:textId="77777777" w:rsidR="006B0F3C" w:rsidRDefault="006B0F3C">
      <w:pPr>
        <w:rPr>
          <w:rFonts w:hint="cs"/>
          <w:rtl/>
        </w:rPr>
      </w:pPr>
      <w:r>
        <w:rPr>
          <w:rFonts w:hint="cs"/>
          <w:rtl/>
        </w:rPr>
        <w:t xml:space="preserve">הסניגוריה העידה את קלרה קרנקוס שבמועדים הרלוונטיים עבדה כאחות אחראית בבית האבות, את בדיעה זידאן שהיתה כוח עזר בבית האבות ואת ראדה יאסין שעבדה בבית האבות בזמנים הרלוונטים כאחות מעשית. </w:t>
      </w:r>
    </w:p>
    <w:p w14:paraId="060A65B4" w14:textId="77777777" w:rsidR="006B0F3C" w:rsidRDefault="006B0F3C">
      <w:pPr>
        <w:rPr>
          <w:rFonts w:hint="cs"/>
          <w:rtl/>
        </w:rPr>
      </w:pPr>
      <w:r>
        <w:rPr>
          <w:rFonts w:hint="cs"/>
          <w:rtl/>
        </w:rPr>
        <w:t xml:space="preserve">כמו כן, הציגה 14 מוצגים. </w:t>
      </w:r>
    </w:p>
    <w:p w14:paraId="57EC6894" w14:textId="77777777" w:rsidR="006B0F3C" w:rsidRDefault="006B0F3C">
      <w:pPr>
        <w:rPr>
          <w:rFonts w:hint="cs"/>
          <w:rtl/>
        </w:rPr>
      </w:pPr>
    </w:p>
    <w:p w14:paraId="2374ECD4" w14:textId="77777777" w:rsidR="006B0F3C" w:rsidRDefault="006B0F3C">
      <w:pPr>
        <w:rPr>
          <w:rFonts w:hint="cs"/>
          <w:b/>
          <w:bCs/>
          <w:u w:val="single"/>
          <w:rtl/>
        </w:rPr>
      </w:pPr>
      <w:r>
        <w:rPr>
          <w:rFonts w:hint="cs"/>
          <w:b/>
          <w:bCs/>
          <w:u w:val="single"/>
          <w:rtl/>
        </w:rPr>
        <w:t>פרשת התביעה:</w:t>
      </w:r>
    </w:p>
    <w:p w14:paraId="57AE4C8B" w14:textId="77777777" w:rsidR="006B0F3C" w:rsidRDefault="006B0F3C">
      <w:pPr>
        <w:pStyle w:val="Heading7"/>
        <w:rPr>
          <w:rFonts w:hint="cs"/>
          <w:b w:val="0"/>
          <w:bCs w:val="0"/>
          <w:u w:val="none"/>
          <w:rtl/>
        </w:rPr>
      </w:pPr>
      <w:r>
        <w:rPr>
          <w:rFonts w:hint="cs"/>
          <w:b w:val="0"/>
          <w:bCs w:val="0"/>
          <w:u w:val="none"/>
          <w:rtl/>
        </w:rPr>
        <w:t>העובדות באישום הראשון מתבססות בעיקר על תלונת מתלוננת 1 - תרז במשטרה ולהלן דבריה בביהמ"ש:</w:t>
      </w:r>
    </w:p>
    <w:p w14:paraId="54BB4DEE" w14:textId="77777777" w:rsidR="006B0F3C" w:rsidRDefault="006B0F3C">
      <w:pPr>
        <w:pStyle w:val="a5"/>
        <w:rPr>
          <w:rFonts w:hint="cs"/>
          <w:rtl/>
        </w:rPr>
      </w:pPr>
    </w:p>
    <w:p w14:paraId="30A990B5" w14:textId="77777777" w:rsidR="006B0F3C" w:rsidRDefault="006B0F3C">
      <w:pPr>
        <w:pStyle w:val="a1"/>
        <w:rPr>
          <w:rFonts w:hint="cs"/>
          <w:rtl/>
        </w:rPr>
      </w:pPr>
      <w:r>
        <w:rPr>
          <w:rFonts w:hint="cs"/>
          <w:rtl/>
        </w:rPr>
        <w:lastRenderedPageBreak/>
        <w:t>"אחרי פורים הוא כן התחיל להטריד אותי מינית, איפה שעבדתי הוא היה בא אליי למחלקה והיה בא מנשק אותי, מבקש נשיקות והיה הולך אחרי מחדר לחדר.</w:t>
      </w:r>
      <w:r>
        <w:rPr>
          <w:color w:val="FFFFFF"/>
          <w:sz w:val="4"/>
          <w:szCs w:val="4"/>
          <w:rtl/>
        </w:rPr>
        <w:t>נ</w:t>
      </w:r>
    </w:p>
    <w:p w14:paraId="74214325" w14:textId="77777777" w:rsidR="006B0F3C" w:rsidRDefault="006B0F3C">
      <w:pPr>
        <w:pStyle w:val="a1"/>
        <w:rPr>
          <w:rFonts w:hint="cs"/>
          <w:rtl/>
        </w:rPr>
      </w:pPr>
      <w:r>
        <w:rPr>
          <w:rFonts w:hint="cs"/>
          <w:rtl/>
        </w:rPr>
        <w:t>פעם נכנסתי אצלו לחדר, אמר לי לבוא לראות סידור עבודה, הייתי עם החלוק והוא שם ידיים על החזה (העדה מדגימה עם הנחת ידיה על החזה)....".</w:t>
      </w:r>
      <w:r>
        <w:rPr>
          <w:color w:val="FFFFFF"/>
          <w:sz w:val="4"/>
          <w:szCs w:val="4"/>
          <w:rtl/>
        </w:rPr>
        <w:t>ב</w:t>
      </w:r>
    </w:p>
    <w:p w14:paraId="3B19E903" w14:textId="77777777" w:rsidR="006B0F3C" w:rsidRDefault="006B0F3C">
      <w:pPr>
        <w:ind w:firstLine="567"/>
        <w:rPr>
          <w:rFonts w:hint="cs"/>
          <w:rtl/>
        </w:rPr>
      </w:pPr>
      <w:r>
        <w:rPr>
          <w:rFonts w:hint="cs"/>
          <w:rtl/>
        </w:rPr>
        <w:t>(פרוט' עמ' 8 ש' 8-5).</w:t>
      </w:r>
      <w:r>
        <w:rPr>
          <w:color w:val="FFFFFF"/>
          <w:sz w:val="4"/>
          <w:szCs w:val="4"/>
          <w:rtl/>
        </w:rPr>
        <w:t>ו</w:t>
      </w:r>
    </w:p>
    <w:p w14:paraId="6C0CFA9E" w14:textId="77777777" w:rsidR="006B0F3C" w:rsidRDefault="006B0F3C">
      <w:pPr>
        <w:pStyle w:val="a1"/>
        <w:rPr>
          <w:rFonts w:hint="cs"/>
          <w:rtl/>
        </w:rPr>
      </w:pPr>
    </w:p>
    <w:p w14:paraId="48F77A21" w14:textId="77777777" w:rsidR="006B0F3C" w:rsidRDefault="006B0F3C">
      <w:pPr>
        <w:pStyle w:val="a1"/>
        <w:rPr>
          <w:rFonts w:hint="cs"/>
          <w:b w:val="0"/>
          <w:bCs w:val="0"/>
          <w:rtl/>
        </w:rPr>
      </w:pPr>
      <w:r>
        <w:rPr>
          <w:rFonts w:hint="cs"/>
          <w:rtl/>
        </w:rPr>
        <w:t xml:space="preserve">"הוא בא אחרי, אני הייתי עם מכנסי גומי והוא משך את הגומי ורצה להכניס את היד שלו בפנים (העדה מדגימה) ואני התנגדתי ותפסתי את המכנסיים בשתי הידיים (העדה מדגימה)" </w:t>
      </w:r>
      <w:r>
        <w:rPr>
          <w:rFonts w:hint="cs"/>
          <w:b w:val="0"/>
          <w:bCs w:val="0"/>
          <w:rtl/>
        </w:rPr>
        <w:t>(פרוט' עמ' 8 ש' 15-13).</w:t>
      </w:r>
      <w:r>
        <w:rPr>
          <w:b w:val="0"/>
          <w:bCs w:val="0"/>
          <w:color w:val="FFFFFF"/>
          <w:sz w:val="4"/>
          <w:szCs w:val="4"/>
          <w:rtl/>
        </w:rPr>
        <w:t>נ</w:t>
      </w:r>
    </w:p>
    <w:p w14:paraId="59153235" w14:textId="77777777" w:rsidR="006B0F3C" w:rsidRDefault="006B0F3C">
      <w:pPr>
        <w:pStyle w:val="a1"/>
        <w:rPr>
          <w:rFonts w:hint="cs"/>
          <w:rtl/>
        </w:rPr>
      </w:pPr>
    </w:p>
    <w:p w14:paraId="1D33FC83" w14:textId="77777777" w:rsidR="006B0F3C" w:rsidRDefault="006B0F3C">
      <w:pPr>
        <w:pStyle w:val="a1"/>
        <w:rPr>
          <w:rFonts w:hint="cs"/>
          <w:rtl/>
        </w:rPr>
      </w:pPr>
    </w:p>
    <w:p w14:paraId="6E6AFE96" w14:textId="77777777" w:rsidR="006B0F3C" w:rsidRDefault="006B0F3C">
      <w:pPr>
        <w:pStyle w:val="a1"/>
        <w:rPr>
          <w:rFonts w:hint="cs"/>
          <w:rtl/>
        </w:rPr>
      </w:pPr>
    </w:p>
    <w:p w14:paraId="19B5A7E5" w14:textId="77777777" w:rsidR="006B0F3C" w:rsidRDefault="006B0F3C">
      <w:pPr>
        <w:pStyle w:val="a1"/>
        <w:rPr>
          <w:rFonts w:hint="cs"/>
          <w:rtl/>
        </w:rPr>
      </w:pPr>
    </w:p>
    <w:p w14:paraId="68F6C924" w14:textId="77777777" w:rsidR="006B0F3C" w:rsidRDefault="006B0F3C">
      <w:pPr>
        <w:pStyle w:val="a1"/>
        <w:rPr>
          <w:rFonts w:hint="cs"/>
          <w:b w:val="0"/>
          <w:bCs w:val="0"/>
          <w:rtl/>
        </w:rPr>
      </w:pPr>
      <w:r>
        <w:rPr>
          <w:rFonts w:hint="cs"/>
          <w:rtl/>
        </w:rPr>
        <w:t xml:space="preserve">"הנאשם אמר מידי פעם שהוא רוצה לפגוש אותי, הוא דיבר על איזה מקום שאני לא זוכרת, ולא התעניינתי בזה, הוא התקשר אליי הביתה ודיבר עם הבן שלי ... 6-5 פעמים שאני צריכה להיות בעבודה, למרות שלא הייתי צריכה להיות באותו יום בעבודה. למחרת הנאשם תפס אותי בעבודה ואמר שבגלל שאני לא עניתי לו בטלפון ולא באתי לפגוש אותו במקום שאמר לי לחכות לו, הוא משנה לי את סידור העבודה והוריד לי משמרות..." </w:t>
      </w:r>
      <w:r>
        <w:rPr>
          <w:rFonts w:hint="cs"/>
          <w:b w:val="0"/>
          <w:bCs w:val="0"/>
          <w:rtl/>
        </w:rPr>
        <w:t>(פרוט' עמ' 8 ש' 21-16).</w:t>
      </w:r>
      <w:r>
        <w:rPr>
          <w:b w:val="0"/>
          <w:bCs w:val="0"/>
          <w:color w:val="FFFFFF"/>
          <w:sz w:val="4"/>
          <w:szCs w:val="4"/>
          <w:rtl/>
        </w:rPr>
        <w:t>ב</w:t>
      </w:r>
    </w:p>
    <w:p w14:paraId="5E8F58D2" w14:textId="77777777" w:rsidR="006B0F3C" w:rsidRDefault="006B0F3C">
      <w:pPr>
        <w:pStyle w:val="a1"/>
        <w:rPr>
          <w:rFonts w:hint="cs"/>
          <w:rtl/>
        </w:rPr>
      </w:pPr>
    </w:p>
    <w:p w14:paraId="3C4F5BF6" w14:textId="77777777" w:rsidR="006B0F3C" w:rsidRDefault="006B0F3C">
      <w:pPr>
        <w:pStyle w:val="a1"/>
        <w:rPr>
          <w:rFonts w:hint="cs"/>
          <w:rtl/>
        </w:rPr>
      </w:pPr>
    </w:p>
    <w:p w14:paraId="4B87C6E1" w14:textId="77777777" w:rsidR="006B0F3C" w:rsidRDefault="006B0F3C">
      <w:pPr>
        <w:pStyle w:val="Heading8"/>
        <w:rPr>
          <w:rFonts w:hint="cs"/>
          <w:b w:val="0"/>
          <w:bCs w:val="0"/>
          <w:u w:val="none"/>
          <w:rtl/>
        </w:rPr>
      </w:pPr>
      <w:r>
        <w:rPr>
          <w:rFonts w:hint="cs"/>
          <w:b w:val="0"/>
          <w:bCs w:val="0"/>
          <w:u w:val="none"/>
          <w:rtl/>
        </w:rPr>
        <w:t>העובדות באישום השני מתבססות על תלונת מתלוננת 2 - ג'יהאן במשטרה ולהלן דבריה בביהמ"ש:</w:t>
      </w:r>
    </w:p>
    <w:p w14:paraId="32E58FC3" w14:textId="77777777" w:rsidR="006B0F3C" w:rsidRDefault="006B0F3C">
      <w:pPr>
        <w:rPr>
          <w:rFonts w:hint="cs"/>
          <w:rtl/>
        </w:rPr>
      </w:pPr>
    </w:p>
    <w:p w14:paraId="2BC90681" w14:textId="77777777" w:rsidR="006B0F3C" w:rsidRDefault="006B0F3C">
      <w:pPr>
        <w:pStyle w:val="a1"/>
        <w:rPr>
          <w:rFonts w:hint="cs"/>
          <w:b w:val="0"/>
          <w:bCs w:val="0"/>
          <w:rtl/>
        </w:rPr>
      </w:pPr>
      <w:r>
        <w:rPr>
          <w:rFonts w:hint="cs"/>
          <w:rtl/>
        </w:rPr>
        <w:t xml:space="preserve">"..הנאשם היה מחבק אותי ואני חשבתי שהוא כמו אבא ושאין לו כוונה רעה. באיזה יום הוא התחיל איתי ואמר לי בערבית "מילה מקריבה מילה מבריחה". </w:t>
      </w:r>
      <w:r>
        <w:rPr>
          <w:rFonts w:hint="cs"/>
          <w:b w:val="0"/>
          <w:bCs w:val="0"/>
          <w:rtl/>
        </w:rPr>
        <w:t xml:space="preserve">(פרוט' עמ' 53 ש' 20-18). </w:t>
      </w:r>
    </w:p>
    <w:p w14:paraId="5A0B5475" w14:textId="77777777" w:rsidR="006B0F3C" w:rsidRDefault="006B0F3C">
      <w:pPr>
        <w:pStyle w:val="a1"/>
        <w:rPr>
          <w:rFonts w:hint="cs"/>
          <w:u w:val="single"/>
          <w:rtl/>
        </w:rPr>
      </w:pPr>
    </w:p>
    <w:p w14:paraId="7FB40549" w14:textId="77777777" w:rsidR="006B0F3C" w:rsidRDefault="006B0F3C">
      <w:pPr>
        <w:pStyle w:val="a1"/>
        <w:rPr>
          <w:rFonts w:hint="cs"/>
          <w:u w:val="single"/>
          <w:rtl/>
        </w:rPr>
      </w:pPr>
    </w:p>
    <w:p w14:paraId="383BBA3B" w14:textId="77777777" w:rsidR="006B0F3C" w:rsidRDefault="006B0F3C">
      <w:pPr>
        <w:pStyle w:val="a1"/>
        <w:rPr>
          <w:b w:val="0"/>
          <w:bCs w:val="0"/>
          <w:rtl/>
        </w:rPr>
      </w:pPr>
      <w:r>
        <w:rPr>
          <w:rFonts w:hint="cs"/>
          <w:rtl/>
        </w:rPr>
        <w:t xml:space="preserve">"הוא כל הזמן היה מחבק אותי, הוא שם פעם את היד שלו על הציצי אבל לא חשבתי שזה בכוונה רעה" </w:t>
      </w:r>
      <w:r>
        <w:rPr>
          <w:rFonts w:hint="cs"/>
          <w:b w:val="0"/>
          <w:bCs w:val="0"/>
          <w:rtl/>
        </w:rPr>
        <w:t>(פרוט' עמ' 54 ש' 15-14).</w:t>
      </w:r>
      <w:r>
        <w:rPr>
          <w:b w:val="0"/>
          <w:bCs w:val="0"/>
          <w:color w:val="FFFFFF"/>
          <w:sz w:val="4"/>
          <w:szCs w:val="4"/>
          <w:rtl/>
        </w:rPr>
        <w:t>ו</w:t>
      </w:r>
    </w:p>
    <w:p w14:paraId="666434E2" w14:textId="77777777" w:rsidR="006B0F3C" w:rsidRDefault="006B0F3C">
      <w:pPr>
        <w:pStyle w:val="a1"/>
        <w:rPr>
          <w:rFonts w:hint="cs"/>
          <w:rtl/>
        </w:rPr>
      </w:pPr>
    </w:p>
    <w:p w14:paraId="2D4DBEEF" w14:textId="77777777" w:rsidR="006B0F3C" w:rsidRDefault="006B0F3C">
      <w:pPr>
        <w:pStyle w:val="a1"/>
        <w:rPr>
          <w:rFonts w:hint="cs"/>
          <w:rtl/>
        </w:rPr>
      </w:pPr>
    </w:p>
    <w:p w14:paraId="1AA2A1D4" w14:textId="77777777" w:rsidR="006B0F3C" w:rsidRDefault="006B0F3C">
      <w:pPr>
        <w:pStyle w:val="a1"/>
        <w:rPr>
          <w:rFonts w:hint="cs"/>
          <w:rtl/>
        </w:rPr>
      </w:pPr>
      <w:r>
        <w:rPr>
          <w:rFonts w:hint="cs"/>
          <w:rtl/>
        </w:rPr>
        <w:t xml:space="preserve">"..אמר לי שאין לי רשיון, עבדתי באותה תקופה בערב, הוא אמר לי שהוא יבוא לאסוף אותי ונלך לאיזה חדר בבית מלון. יותר מזה אני לא זוכרת". </w:t>
      </w:r>
    </w:p>
    <w:p w14:paraId="6C271509" w14:textId="77777777" w:rsidR="006B0F3C" w:rsidRDefault="006B0F3C">
      <w:pPr>
        <w:ind w:firstLine="567"/>
        <w:rPr>
          <w:rFonts w:hint="cs"/>
          <w:rtl/>
        </w:rPr>
      </w:pPr>
      <w:r>
        <w:rPr>
          <w:rFonts w:hint="cs"/>
          <w:rtl/>
        </w:rPr>
        <w:t>(פרוט' עמ' 54 ש' 24-21).</w:t>
      </w:r>
      <w:r>
        <w:rPr>
          <w:color w:val="FFFFFF"/>
          <w:sz w:val="4"/>
          <w:szCs w:val="4"/>
          <w:rtl/>
        </w:rPr>
        <w:t>נ</w:t>
      </w:r>
    </w:p>
    <w:p w14:paraId="325EDE00" w14:textId="77777777" w:rsidR="006B0F3C" w:rsidRDefault="006B0F3C">
      <w:pPr>
        <w:rPr>
          <w:rFonts w:hint="cs"/>
          <w:rtl/>
        </w:rPr>
      </w:pPr>
    </w:p>
    <w:p w14:paraId="7C7776D8" w14:textId="77777777" w:rsidR="006B0F3C" w:rsidRDefault="006B0F3C">
      <w:pPr>
        <w:pStyle w:val="a1"/>
        <w:rPr>
          <w:rFonts w:hint="cs"/>
          <w:rtl/>
        </w:rPr>
      </w:pPr>
      <w:r>
        <w:rPr>
          <w:rFonts w:hint="cs"/>
          <w:rtl/>
        </w:rPr>
        <w:t xml:space="preserve">" ש: איך הוא נגע לך בחזה?  </w:t>
      </w:r>
    </w:p>
    <w:p w14:paraId="0E173C4D" w14:textId="77777777" w:rsidR="006B0F3C" w:rsidRDefault="006B0F3C">
      <w:pPr>
        <w:pStyle w:val="a1"/>
        <w:rPr>
          <w:rFonts w:hint="cs"/>
          <w:rtl/>
        </w:rPr>
      </w:pPr>
      <w:r>
        <w:rPr>
          <w:rFonts w:hint="cs"/>
          <w:rtl/>
        </w:rPr>
        <w:t xml:space="preserve">  </w:t>
      </w:r>
      <w:r>
        <w:rPr>
          <w:rFonts w:hint="cs"/>
          <w:rtl/>
        </w:rPr>
        <w:tab/>
        <w:t>ת: ליטף לי את החזה, דחפתי את ידו וחשבתי שלא היתה לו כוונה בכלל.</w:t>
      </w:r>
      <w:r>
        <w:rPr>
          <w:color w:val="FFFFFF"/>
          <w:sz w:val="4"/>
          <w:szCs w:val="4"/>
          <w:rtl/>
        </w:rPr>
        <w:t>ב</w:t>
      </w:r>
    </w:p>
    <w:p w14:paraId="2C7104F4" w14:textId="77777777" w:rsidR="006B0F3C" w:rsidRDefault="006B0F3C">
      <w:pPr>
        <w:pStyle w:val="a1"/>
        <w:ind w:firstLine="153"/>
        <w:rPr>
          <w:rFonts w:hint="cs"/>
          <w:rtl/>
        </w:rPr>
      </w:pPr>
      <w:r>
        <w:rPr>
          <w:rFonts w:hint="cs"/>
          <w:rtl/>
        </w:rPr>
        <w:t>ש: הוא עשה את זה בכוח או שזה היה רגיל?</w:t>
      </w:r>
    </w:p>
    <w:p w14:paraId="06D7DA36" w14:textId="77777777" w:rsidR="006B0F3C" w:rsidRDefault="006B0F3C">
      <w:pPr>
        <w:pStyle w:val="a1"/>
        <w:ind w:left="720"/>
        <w:rPr>
          <w:rFonts w:hint="cs"/>
          <w:b w:val="0"/>
          <w:bCs w:val="0"/>
          <w:rtl/>
        </w:rPr>
      </w:pPr>
      <w:r>
        <w:rPr>
          <w:rFonts w:hint="cs"/>
          <w:rtl/>
        </w:rPr>
        <w:t xml:space="preserve">ת: כשהוא חיבק אותי כשהוא בא מאחורנית ושם את ידו על הציצי, אז ירד לי </w:t>
      </w:r>
      <w:r>
        <w:rPr>
          <w:rFonts w:hint="cs"/>
          <w:rtl/>
        </w:rPr>
        <w:br/>
        <w:t xml:space="preserve">      האסימון" (העדה מדגימה)" </w:t>
      </w:r>
      <w:r>
        <w:rPr>
          <w:rFonts w:hint="cs"/>
          <w:b w:val="0"/>
          <w:bCs w:val="0"/>
          <w:rtl/>
        </w:rPr>
        <w:t>(פרוט' עמ' 60 ש' 7-3).</w:t>
      </w:r>
      <w:r>
        <w:rPr>
          <w:b w:val="0"/>
          <w:bCs w:val="0"/>
          <w:color w:val="FFFFFF"/>
          <w:sz w:val="4"/>
          <w:szCs w:val="4"/>
          <w:rtl/>
        </w:rPr>
        <w:t>ו</w:t>
      </w:r>
    </w:p>
    <w:p w14:paraId="21DB0DBB" w14:textId="77777777" w:rsidR="006B0F3C" w:rsidRDefault="006B0F3C">
      <w:pPr>
        <w:pStyle w:val="a1"/>
        <w:rPr>
          <w:rFonts w:hint="cs"/>
          <w:rtl/>
        </w:rPr>
      </w:pPr>
    </w:p>
    <w:p w14:paraId="6BAA76AE" w14:textId="77777777" w:rsidR="006B0F3C" w:rsidRDefault="006B0F3C">
      <w:pPr>
        <w:rPr>
          <w:rFonts w:hint="cs"/>
          <w:rtl/>
        </w:rPr>
      </w:pPr>
    </w:p>
    <w:p w14:paraId="0597D073" w14:textId="77777777" w:rsidR="006B0F3C" w:rsidRDefault="006B0F3C">
      <w:pPr>
        <w:rPr>
          <w:rFonts w:hint="cs"/>
          <w:rtl/>
        </w:rPr>
      </w:pPr>
      <w:r>
        <w:rPr>
          <w:rFonts w:hint="cs"/>
          <w:rtl/>
        </w:rPr>
        <w:t xml:space="preserve">בנוסף, הביאה התביעה להעיד את המנהלת של בית האבות גב' נירית כהן כדי שתעיד על פרוטוקולים שערכה בעקבות פגישה עם תרז (ת/3 ו-ת/4). </w:t>
      </w:r>
    </w:p>
    <w:p w14:paraId="2C247A29" w14:textId="77777777" w:rsidR="006B0F3C" w:rsidRDefault="006B0F3C">
      <w:pPr>
        <w:rPr>
          <w:rFonts w:hint="cs"/>
          <w:rtl/>
        </w:rPr>
      </w:pPr>
    </w:p>
    <w:p w14:paraId="0E6F3B15" w14:textId="77777777" w:rsidR="006B0F3C" w:rsidRDefault="006B0F3C">
      <w:pPr>
        <w:rPr>
          <w:rFonts w:hint="cs"/>
          <w:rtl/>
        </w:rPr>
      </w:pPr>
      <w:r>
        <w:rPr>
          <w:rFonts w:hint="cs"/>
          <w:rtl/>
        </w:rPr>
        <w:t xml:space="preserve">לאחר שתרז התלוננה כי האח הראשי מטריד אותה מינית, הפגישה נערכה במשרדה של המנהלת בבית האבות ובשיחה שהתקיימה תרז אמרה כי ההטרדה המינית נעשית באופן מילולי. </w:t>
      </w:r>
    </w:p>
    <w:p w14:paraId="5C3A5358" w14:textId="77777777" w:rsidR="006B0F3C" w:rsidRDefault="006B0F3C">
      <w:pPr>
        <w:rPr>
          <w:rFonts w:hint="cs"/>
          <w:rtl/>
        </w:rPr>
      </w:pPr>
    </w:p>
    <w:p w14:paraId="449C3215" w14:textId="77777777" w:rsidR="006B0F3C" w:rsidRDefault="006B0F3C">
      <w:pPr>
        <w:rPr>
          <w:rFonts w:hint="cs"/>
          <w:rtl/>
        </w:rPr>
      </w:pPr>
    </w:p>
    <w:p w14:paraId="373A24AC" w14:textId="77777777" w:rsidR="006B0F3C" w:rsidRDefault="006B0F3C">
      <w:pPr>
        <w:rPr>
          <w:rFonts w:hint="cs"/>
          <w:rtl/>
        </w:rPr>
      </w:pPr>
      <w:r>
        <w:rPr>
          <w:rFonts w:hint="cs"/>
          <w:rtl/>
        </w:rPr>
        <w:t xml:space="preserve">עוד העידה התביעה את הגב' מירב שחר פישר שהיתה באותה עת עובדת סוציאלית בבית האבות על שיחות טלפוניות שהיו לה עם תרז, אשר התמקדו יותר בשיחות על היחס של נירית כהן (כמנהלת) אליה מאשר על התלונה נגד הנאשם. </w:t>
      </w:r>
    </w:p>
    <w:p w14:paraId="4C9DBA8B" w14:textId="77777777" w:rsidR="006B0F3C" w:rsidRDefault="006B0F3C">
      <w:pPr>
        <w:rPr>
          <w:rFonts w:hint="cs"/>
          <w:b/>
          <w:bCs/>
          <w:rtl/>
        </w:rPr>
      </w:pPr>
      <w:r>
        <w:rPr>
          <w:rFonts w:hint="cs"/>
          <w:rtl/>
        </w:rPr>
        <w:t xml:space="preserve">ואמרה באחת השיחות כי </w:t>
      </w:r>
      <w:r>
        <w:rPr>
          <w:rFonts w:hint="cs"/>
          <w:b/>
          <w:bCs/>
          <w:rtl/>
        </w:rPr>
        <w:t>"אם לנירית היו מכניסים את היד לשד היא לא היתה שותקת".</w:t>
      </w:r>
      <w:r>
        <w:rPr>
          <w:b/>
          <w:bCs/>
          <w:color w:val="FFFFFF"/>
          <w:sz w:val="4"/>
          <w:szCs w:val="4"/>
          <w:rtl/>
        </w:rPr>
        <w:t>נ</w:t>
      </w:r>
    </w:p>
    <w:p w14:paraId="5A0A3B17" w14:textId="77777777" w:rsidR="006B0F3C" w:rsidRDefault="006B0F3C">
      <w:pPr>
        <w:rPr>
          <w:rFonts w:hint="cs"/>
          <w:rtl/>
        </w:rPr>
      </w:pPr>
      <w:r>
        <w:rPr>
          <w:rFonts w:hint="cs"/>
          <w:rtl/>
        </w:rPr>
        <w:t xml:space="preserve">את גי'האן העדה לא הכירה. </w:t>
      </w:r>
    </w:p>
    <w:p w14:paraId="5589BDF7" w14:textId="77777777" w:rsidR="006B0F3C" w:rsidRDefault="006B0F3C">
      <w:pPr>
        <w:rPr>
          <w:rFonts w:hint="cs"/>
          <w:rtl/>
        </w:rPr>
      </w:pPr>
    </w:p>
    <w:p w14:paraId="20499A0E" w14:textId="77777777" w:rsidR="006B0F3C" w:rsidRDefault="006B0F3C">
      <w:pPr>
        <w:rPr>
          <w:rFonts w:hint="cs"/>
          <w:rtl/>
        </w:rPr>
      </w:pPr>
      <w:r>
        <w:rPr>
          <w:rFonts w:hint="cs"/>
          <w:rtl/>
        </w:rPr>
        <w:t xml:space="preserve">בנוסף, לראיות שהביאה התביעה לביסוס האשמה כנגד הנאשם, התביעה ביקשה גם לחזק את הראיות בכך שהפנתה לעדויות המתלוננות, אשר לטענתה אינן קשורות האחת לשניה, אינן חברות, האחת צעירה והשניה מבוגרת יותר, וגם בתוך בית האבות עבדו במחלקות שונות. </w:t>
      </w:r>
    </w:p>
    <w:p w14:paraId="42A7BF16" w14:textId="77777777" w:rsidR="006B0F3C" w:rsidRDefault="006B0F3C">
      <w:pPr>
        <w:rPr>
          <w:rFonts w:hint="cs"/>
          <w:rtl/>
        </w:rPr>
      </w:pPr>
      <w:r>
        <w:rPr>
          <w:rFonts w:hint="cs"/>
          <w:rtl/>
        </w:rPr>
        <w:t>התביעה ביקשה שעדות המקרה הראשון תהווה חיזוק למקרה השני, ולהיפך שעדות המתלוננת השניה תהווה חיזוק לדברי המתלוננת הראשונה.</w:t>
      </w:r>
      <w:r>
        <w:rPr>
          <w:color w:val="FFFFFF"/>
          <w:sz w:val="4"/>
          <w:szCs w:val="4"/>
          <w:rtl/>
        </w:rPr>
        <w:t>ב</w:t>
      </w:r>
    </w:p>
    <w:p w14:paraId="385A8B14" w14:textId="77777777" w:rsidR="006B0F3C" w:rsidRDefault="006B0F3C">
      <w:pPr>
        <w:rPr>
          <w:rFonts w:hint="cs"/>
          <w:rtl/>
        </w:rPr>
      </w:pPr>
    </w:p>
    <w:p w14:paraId="0496612D" w14:textId="77777777" w:rsidR="006B0F3C" w:rsidRDefault="006B0F3C">
      <w:pPr>
        <w:rPr>
          <w:rFonts w:hint="cs"/>
          <w:b/>
          <w:bCs/>
          <w:u w:val="single"/>
          <w:rtl/>
        </w:rPr>
      </w:pPr>
      <w:r>
        <w:rPr>
          <w:rFonts w:hint="cs"/>
          <w:b/>
          <w:bCs/>
          <w:u w:val="single"/>
          <w:rtl/>
        </w:rPr>
        <w:t>פרשת ההגנה:</w:t>
      </w:r>
    </w:p>
    <w:p w14:paraId="181AA5D6" w14:textId="77777777" w:rsidR="006B0F3C" w:rsidRDefault="006B0F3C">
      <w:pPr>
        <w:pStyle w:val="BodyText2"/>
        <w:rPr>
          <w:rFonts w:hint="cs"/>
          <w:rtl/>
        </w:rPr>
      </w:pPr>
      <w:r>
        <w:rPr>
          <w:rFonts w:hint="cs"/>
          <w:rtl/>
        </w:rPr>
        <w:t xml:space="preserve">ההגנה בנוסף להעדתה את הנאשם אשר טען כי תרז רקמה כנגדו מזימה וניסתה להפלילו בשל העובדה שהוא בעבר פיטר את בעלה מבלי שידע את הקשר שלו לתרז מעבודתו במשמרת לילה בבי"ח בטירת הכרמל כי נרדם בזמן העבודה וגם פיטר את תרז ממקום עבודתה הקודם "בחמדת אבות" וגרם לפיטוריה מבית האבות, עובדות שאין הנאשם מכחיש ולדבריו הן היו כורח המציאות, מאחר והיו לתרז העדרויות רבות בלתי מוסברות מהעבודה. </w:t>
      </w:r>
    </w:p>
    <w:p w14:paraId="5158B5D8" w14:textId="77777777" w:rsidR="006B0F3C" w:rsidRDefault="006B0F3C">
      <w:pPr>
        <w:rPr>
          <w:rFonts w:hint="cs"/>
          <w:rtl/>
        </w:rPr>
      </w:pPr>
    </w:p>
    <w:p w14:paraId="5344F4A9" w14:textId="77777777" w:rsidR="006B0F3C" w:rsidRDefault="006B0F3C">
      <w:pPr>
        <w:rPr>
          <w:rFonts w:hint="cs"/>
          <w:rtl/>
        </w:rPr>
      </w:pPr>
      <w:r>
        <w:rPr>
          <w:rFonts w:hint="cs"/>
          <w:rtl/>
        </w:rPr>
        <w:t xml:space="preserve">ההגנה הביאה לעדות עוד 3 עובדות מבית האבות אשר העידו על תיפקודם של הנאשם, תרז וג'יהאן בעבודה. </w:t>
      </w:r>
    </w:p>
    <w:p w14:paraId="176AE564" w14:textId="77777777" w:rsidR="006B0F3C" w:rsidRDefault="006B0F3C">
      <w:pPr>
        <w:rPr>
          <w:rFonts w:hint="cs"/>
          <w:rtl/>
        </w:rPr>
      </w:pPr>
      <w:r>
        <w:rPr>
          <w:rFonts w:hint="cs"/>
          <w:rtl/>
        </w:rPr>
        <w:t xml:space="preserve"> </w:t>
      </w:r>
    </w:p>
    <w:p w14:paraId="7AEEF9AD" w14:textId="77777777" w:rsidR="006B0F3C" w:rsidRDefault="006B0F3C">
      <w:pPr>
        <w:rPr>
          <w:rFonts w:hint="cs"/>
          <w:rtl/>
        </w:rPr>
      </w:pPr>
      <w:r>
        <w:rPr>
          <w:rFonts w:hint="cs"/>
          <w:rtl/>
        </w:rPr>
        <w:t xml:space="preserve">באשר לתרז - לגירסת ההגנה, לטענותיה של תרז נגד הנאשם אין כל ראיה שתתמוך בהן וכל אשר בפניננו זו עדותה של תרז בלבד, כאשר מנגד עדים אחרים מבית האבות (גם מבין עדי התביעה) מציגים את תרז כדמות בעייתית אשר הרבתה להעדר מן העבודה ללא הסבר ובכך גרמה לתקלות מרובות. </w:t>
      </w:r>
    </w:p>
    <w:p w14:paraId="3CED6592" w14:textId="77777777" w:rsidR="006B0F3C" w:rsidRDefault="006B0F3C">
      <w:pPr>
        <w:rPr>
          <w:rFonts w:hint="cs"/>
          <w:rtl/>
        </w:rPr>
      </w:pPr>
    </w:p>
    <w:p w14:paraId="7A5E7876" w14:textId="77777777" w:rsidR="006B0F3C" w:rsidRDefault="006B0F3C">
      <w:pPr>
        <w:rPr>
          <w:rFonts w:hint="cs"/>
          <w:rtl/>
        </w:rPr>
      </w:pPr>
      <w:r>
        <w:rPr>
          <w:rFonts w:hint="cs"/>
          <w:rtl/>
        </w:rPr>
        <w:t xml:space="preserve">הנאשם אשר לדבריו הכיר את תרז ממקום עבודתו הקודם "חמדת אבות" ודאג לפיטורה בשל הבעייתיות בהתנהגותה, נפגש עמה בבית האבות הנוכחי כשהחל לעבוד שם ודרש את פיטוריה בהכירו אותה מעבודתם המשותפת, אך הגב' נירית כהן ביקשה ממנו ליתן לה הזדמנות נוספת כפי שגם היא נתנה לה. </w:t>
      </w:r>
    </w:p>
    <w:p w14:paraId="154052B0" w14:textId="77777777" w:rsidR="006B0F3C" w:rsidRDefault="006B0F3C">
      <w:pPr>
        <w:rPr>
          <w:rFonts w:hint="cs"/>
          <w:rtl/>
        </w:rPr>
      </w:pPr>
      <w:r>
        <w:rPr>
          <w:rFonts w:hint="cs"/>
          <w:rtl/>
        </w:rPr>
        <w:t>לדבריו, לאחר כשנה ורבע של עבודה משותפת בבית האבות, החלה תרז בהתנהגותה הבעייתית, לאחר לעבודה, לזלזל בעבודה, לא להופיע כלל מבלי שתודיע, היתה מאחרת להסעות המאורגנות בשבתות וחגים.</w:t>
      </w:r>
      <w:r>
        <w:rPr>
          <w:color w:val="FFFFFF"/>
          <w:sz w:val="4"/>
          <w:szCs w:val="4"/>
          <w:rtl/>
        </w:rPr>
        <w:t>ו</w:t>
      </w:r>
    </w:p>
    <w:p w14:paraId="5FB0DB50" w14:textId="77777777" w:rsidR="006B0F3C" w:rsidRDefault="006B0F3C">
      <w:pPr>
        <w:rPr>
          <w:rFonts w:hint="cs"/>
          <w:rtl/>
        </w:rPr>
      </w:pPr>
      <w:r>
        <w:rPr>
          <w:rFonts w:hint="cs"/>
          <w:rtl/>
        </w:rPr>
        <w:t xml:space="preserve">תרז נקראה לשיחה משותפת עם הנאשם והמנהלת והוחלט לצמצם את היקף משרתה ממשרת מלאה למשרת חצי משמרת. בטרם נעשה דבר זה תרז הוזמנה 3 פעמים לשיחות בהן הותרעה על התנהגותה. </w:t>
      </w:r>
    </w:p>
    <w:p w14:paraId="1EDA80CE" w14:textId="77777777" w:rsidR="006B0F3C" w:rsidRDefault="006B0F3C">
      <w:pPr>
        <w:rPr>
          <w:rFonts w:hint="cs"/>
          <w:rtl/>
        </w:rPr>
      </w:pPr>
    </w:p>
    <w:p w14:paraId="3F8C122A" w14:textId="77777777" w:rsidR="006B0F3C" w:rsidRDefault="006B0F3C">
      <w:pPr>
        <w:rPr>
          <w:rFonts w:hint="cs"/>
          <w:rtl/>
        </w:rPr>
      </w:pPr>
      <w:r>
        <w:rPr>
          <w:rFonts w:hint="cs"/>
          <w:rtl/>
        </w:rPr>
        <w:t xml:space="preserve">באשר לג'יהאן - לדברי הנאשם, היא עבדה במקום רק 3 חודשים ועברה בתקופה זו 3 מחלקות, מאחר ולא היו מרוצים ממנה, היא זלזלה בעבודה, פגעה בזקנים ובמטופלים, דיברה אליהם בגסות, לא הגיבה לצילצולי פעמון האזעקה, איחרה לעבודה ונעדרה מהמחלקה. </w:t>
      </w:r>
    </w:p>
    <w:p w14:paraId="7BA198FD" w14:textId="77777777" w:rsidR="006B0F3C" w:rsidRDefault="006B0F3C">
      <w:pPr>
        <w:rPr>
          <w:rFonts w:hint="cs"/>
          <w:rtl/>
        </w:rPr>
      </w:pPr>
    </w:p>
    <w:p w14:paraId="017729E9" w14:textId="77777777" w:rsidR="006B0F3C" w:rsidRDefault="006B0F3C">
      <w:pPr>
        <w:rPr>
          <w:rFonts w:hint="cs"/>
          <w:rtl/>
        </w:rPr>
      </w:pPr>
      <w:r>
        <w:rPr>
          <w:rFonts w:hint="cs"/>
          <w:rtl/>
        </w:rPr>
        <w:t xml:space="preserve">הנאשם מכחיש מכל וכל את הטענה כי נגע לתרז וג'יהאן בחזה וטוען כי הוא עובד בשעות היום ודלת חדרו תמיד פתוחה, מאחר והוא משגיח על הנעשה במחלקה מתוך חדרו. </w:t>
      </w:r>
    </w:p>
    <w:p w14:paraId="538F76D5" w14:textId="77777777" w:rsidR="006B0F3C" w:rsidRDefault="006B0F3C">
      <w:pPr>
        <w:rPr>
          <w:rFonts w:hint="cs"/>
          <w:rtl/>
        </w:rPr>
      </w:pPr>
      <w:r>
        <w:rPr>
          <w:rFonts w:hint="cs"/>
          <w:rtl/>
        </w:rPr>
        <w:t xml:space="preserve">שתיהן לטענתו ניחנו בקול רם ביותר ואם היה עושה להן מעשה כטענתן, הרי וודאי שהיו מרימות קול ואחרים היו שומעים זאת. </w:t>
      </w:r>
    </w:p>
    <w:p w14:paraId="41CEA325" w14:textId="77777777" w:rsidR="006B0F3C" w:rsidRDefault="006B0F3C">
      <w:pPr>
        <w:rPr>
          <w:rFonts w:hint="cs"/>
          <w:rtl/>
        </w:rPr>
      </w:pPr>
    </w:p>
    <w:p w14:paraId="2F55989C" w14:textId="77777777" w:rsidR="006B0F3C" w:rsidRDefault="006B0F3C">
      <w:pPr>
        <w:rPr>
          <w:rFonts w:hint="cs"/>
          <w:rtl/>
        </w:rPr>
      </w:pPr>
      <w:r>
        <w:rPr>
          <w:rFonts w:hint="cs"/>
          <w:rtl/>
        </w:rPr>
        <w:t xml:space="preserve">לדעתו, תרז גררה את ג'יהאן להתלונן עליו. למרות שכביכול המעשים שעשה בג'יהאן נעשו 8 חודשים קודם לכן. </w:t>
      </w:r>
    </w:p>
    <w:p w14:paraId="01CC6E2B" w14:textId="77777777" w:rsidR="006B0F3C" w:rsidRDefault="006B0F3C">
      <w:pPr>
        <w:rPr>
          <w:rFonts w:hint="cs"/>
          <w:rtl/>
        </w:rPr>
      </w:pPr>
      <w:r>
        <w:rPr>
          <w:rFonts w:hint="cs"/>
          <w:rtl/>
        </w:rPr>
        <w:t xml:space="preserve">ג'יהאן פוטרה מעבודתה בגלל קשר שקיימה עם בעלה של אחת המטופלות. </w:t>
      </w:r>
    </w:p>
    <w:p w14:paraId="1AAB24C4" w14:textId="77777777" w:rsidR="006B0F3C" w:rsidRDefault="006B0F3C">
      <w:pPr>
        <w:rPr>
          <w:rFonts w:hint="cs"/>
          <w:rtl/>
        </w:rPr>
      </w:pPr>
    </w:p>
    <w:p w14:paraId="32AE2F13" w14:textId="77777777" w:rsidR="006B0F3C" w:rsidRDefault="006B0F3C">
      <w:pPr>
        <w:rPr>
          <w:rFonts w:hint="cs"/>
          <w:rtl/>
        </w:rPr>
      </w:pPr>
      <w:r>
        <w:rPr>
          <w:rFonts w:hint="cs"/>
          <w:rtl/>
        </w:rPr>
        <w:t xml:space="preserve">הנאשם בתוקף תפקידו כאח ראשי בבית האבות היה אחראי על כוח האדם במקום, על הרמה המקצועית, הקשר עם משפחות המטופלים, על הדרכת העובדים והיה ממליץ בפני המנהלת על קבלת עובדים או פיטוריהם. </w:t>
      </w:r>
    </w:p>
    <w:p w14:paraId="5F50BB66" w14:textId="77777777" w:rsidR="006B0F3C" w:rsidRDefault="006B0F3C">
      <w:pPr>
        <w:rPr>
          <w:rFonts w:hint="cs"/>
          <w:rtl/>
        </w:rPr>
      </w:pPr>
    </w:p>
    <w:p w14:paraId="37322D8B" w14:textId="77777777" w:rsidR="006B0F3C" w:rsidRDefault="006B0F3C">
      <w:pPr>
        <w:rPr>
          <w:rFonts w:hint="cs"/>
          <w:rtl/>
        </w:rPr>
      </w:pPr>
      <w:r>
        <w:rPr>
          <w:rFonts w:hint="cs"/>
          <w:rtl/>
        </w:rPr>
        <w:t>מלבד הנאשם העידו מטעם הסניגוריה 3 עובדות מבית האבות אשר בזמנים הרלוונטיים עבדו במקום.</w:t>
      </w:r>
      <w:r>
        <w:rPr>
          <w:color w:val="FFFFFF"/>
          <w:sz w:val="4"/>
          <w:szCs w:val="4"/>
          <w:rtl/>
        </w:rPr>
        <w:t>נ</w:t>
      </w:r>
    </w:p>
    <w:p w14:paraId="1B0A0025" w14:textId="77777777" w:rsidR="006B0F3C" w:rsidRDefault="006B0F3C">
      <w:pPr>
        <w:rPr>
          <w:rFonts w:hint="cs"/>
          <w:rtl/>
        </w:rPr>
      </w:pPr>
      <w:r>
        <w:rPr>
          <w:rFonts w:hint="cs"/>
          <w:rtl/>
        </w:rPr>
        <w:t xml:space="preserve">כל אותן עובדות הכירו את הנאשם, את תרז וחלקן את ג'יהאן. </w:t>
      </w:r>
    </w:p>
    <w:p w14:paraId="69B44C54" w14:textId="77777777" w:rsidR="006B0F3C" w:rsidRDefault="006B0F3C">
      <w:pPr>
        <w:rPr>
          <w:rFonts w:hint="cs"/>
          <w:rtl/>
        </w:rPr>
      </w:pPr>
      <w:r>
        <w:rPr>
          <w:rFonts w:hint="cs"/>
          <w:rtl/>
        </w:rPr>
        <w:t>הגב' קלרה קורקוס, אחות אחראית בבית האבות, ציינה בעדותה את תיפקודו הטוב של הנאשם ואת העזרה התמידית שנתן לה ולעומת זאת על תרז דעתה היתה שלילית.</w:t>
      </w:r>
      <w:r>
        <w:rPr>
          <w:color w:val="FFFFFF"/>
          <w:sz w:val="4"/>
          <w:szCs w:val="4"/>
          <w:rtl/>
        </w:rPr>
        <w:t>ב</w:t>
      </w:r>
    </w:p>
    <w:p w14:paraId="44E117E5" w14:textId="77777777" w:rsidR="006B0F3C" w:rsidRDefault="006B0F3C">
      <w:pPr>
        <w:rPr>
          <w:rFonts w:hint="cs"/>
          <w:rtl/>
        </w:rPr>
      </w:pPr>
    </w:p>
    <w:p w14:paraId="0A5E7CD1" w14:textId="77777777" w:rsidR="006B0F3C" w:rsidRDefault="006B0F3C">
      <w:pPr>
        <w:rPr>
          <w:rFonts w:hint="cs"/>
          <w:rtl/>
        </w:rPr>
      </w:pPr>
    </w:p>
    <w:p w14:paraId="65E7227C" w14:textId="77777777" w:rsidR="006B0F3C" w:rsidRDefault="006B0F3C">
      <w:pPr>
        <w:rPr>
          <w:rFonts w:hint="cs"/>
          <w:rtl/>
        </w:rPr>
      </w:pPr>
      <w:r>
        <w:rPr>
          <w:rFonts w:hint="cs"/>
          <w:rtl/>
        </w:rPr>
        <w:t>באשר להתנהגותה של תרז (עבדה עמה כשנה וחצי) אמרה:</w:t>
      </w:r>
    </w:p>
    <w:p w14:paraId="6F22D09A" w14:textId="77777777" w:rsidR="006B0F3C" w:rsidRDefault="006B0F3C">
      <w:pPr>
        <w:rPr>
          <w:rFonts w:hint="cs"/>
          <w:rtl/>
        </w:rPr>
      </w:pPr>
    </w:p>
    <w:p w14:paraId="25A990D1" w14:textId="77777777" w:rsidR="006B0F3C" w:rsidRDefault="006B0F3C">
      <w:pPr>
        <w:pStyle w:val="a1"/>
        <w:rPr>
          <w:rFonts w:hint="cs"/>
          <w:b w:val="0"/>
          <w:bCs w:val="0"/>
          <w:rtl/>
        </w:rPr>
      </w:pPr>
      <w:r>
        <w:rPr>
          <w:rFonts w:hint="cs"/>
          <w:rtl/>
        </w:rPr>
        <w:t xml:space="preserve">"מה שאני זוכרת היא ידעה את העבודה שלה, כל הצוות היה סובל ממנה בגלל שתמיד עשתה פנצ'רים. העבודה הסיעודית כל כך קשה ואם עושים פנצ'רים זה מפריע בעבודה, צריך להזמין מישהו אחר, זה לא הולך כמו עם כל הצוות במקום. אם אין משמעת בעבודה אז זה גרוע, אנחנו סבלנו מזה </w:t>
      </w:r>
      <w:r>
        <w:rPr>
          <w:rFonts w:hint="cs"/>
          <w:b w:val="0"/>
          <w:bCs w:val="0"/>
          <w:rtl/>
        </w:rPr>
        <w:t>(פרוט' עמ' 89 ש' 2-5).</w:t>
      </w:r>
      <w:r>
        <w:rPr>
          <w:b w:val="0"/>
          <w:bCs w:val="0"/>
          <w:color w:val="FFFFFF"/>
          <w:sz w:val="4"/>
          <w:szCs w:val="4"/>
          <w:rtl/>
        </w:rPr>
        <w:t>ו</w:t>
      </w:r>
    </w:p>
    <w:p w14:paraId="752578EA" w14:textId="77777777" w:rsidR="006B0F3C" w:rsidRDefault="006B0F3C">
      <w:pPr>
        <w:rPr>
          <w:rFonts w:hint="cs"/>
          <w:rtl/>
        </w:rPr>
      </w:pPr>
    </w:p>
    <w:p w14:paraId="399CA4CA" w14:textId="77777777" w:rsidR="006B0F3C" w:rsidRDefault="006B0F3C">
      <w:pPr>
        <w:rPr>
          <w:rFonts w:hint="cs"/>
          <w:rtl/>
        </w:rPr>
      </w:pPr>
      <w:r>
        <w:rPr>
          <w:rFonts w:hint="cs"/>
          <w:rtl/>
        </w:rPr>
        <w:t>ובהמשך:</w:t>
      </w:r>
    </w:p>
    <w:p w14:paraId="496AB5EB" w14:textId="77777777" w:rsidR="006B0F3C" w:rsidRDefault="006B0F3C">
      <w:pPr>
        <w:rPr>
          <w:rFonts w:hint="cs"/>
          <w:rtl/>
        </w:rPr>
      </w:pPr>
    </w:p>
    <w:p w14:paraId="1DD1DEBA" w14:textId="77777777" w:rsidR="006B0F3C" w:rsidRDefault="006B0F3C">
      <w:pPr>
        <w:pStyle w:val="a1"/>
        <w:rPr>
          <w:rFonts w:hint="cs"/>
          <w:b w:val="0"/>
          <w:bCs w:val="0"/>
          <w:rtl/>
        </w:rPr>
      </w:pPr>
      <w:r>
        <w:rPr>
          <w:rFonts w:hint="cs"/>
          <w:rtl/>
        </w:rPr>
        <w:t xml:space="preserve">"כל הפנצ'רים וכל ההתנהגות, אנו מאוד סבלנו במחלקה ואי אפשר היה להמשיך לעבוד ככה ונתנו לה צ'אנס כדי לשפר את עבודתה אך היא לא השתמשה בצ'אנס הזה" </w:t>
      </w:r>
      <w:r>
        <w:rPr>
          <w:rFonts w:hint="cs"/>
          <w:b w:val="0"/>
          <w:bCs w:val="0"/>
          <w:rtl/>
        </w:rPr>
        <w:t>(פרוט' עמ' 89 ש' 9-10).</w:t>
      </w:r>
      <w:r>
        <w:rPr>
          <w:b w:val="0"/>
          <w:bCs w:val="0"/>
          <w:color w:val="FFFFFF"/>
          <w:sz w:val="4"/>
          <w:szCs w:val="4"/>
          <w:rtl/>
        </w:rPr>
        <w:t>נ</w:t>
      </w:r>
    </w:p>
    <w:p w14:paraId="175A3DB2" w14:textId="77777777" w:rsidR="006B0F3C" w:rsidRDefault="006B0F3C">
      <w:pPr>
        <w:pStyle w:val="a1"/>
        <w:rPr>
          <w:rFonts w:hint="cs"/>
          <w:rtl/>
        </w:rPr>
      </w:pPr>
    </w:p>
    <w:p w14:paraId="7BFD8B02" w14:textId="77777777" w:rsidR="006B0F3C" w:rsidRDefault="006B0F3C">
      <w:pPr>
        <w:pStyle w:val="a1"/>
        <w:rPr>
          <w:rFonts w:hint="cs"/>
          <w:rtl/>
        </w:rPr>
      </w:pPr>
    </w:p>
    <w:p w14:paraId="48CAD884" w14:textId="77777777" w:rsidR="006B0F3C" w:rsidRDefault="006B0F3C">
      <w:pPr>
        <w:rPr>
          <w:rFonts w:hint="cs"/>
          <w:rtl/>
        </w:rPr>
      </w:pPr>
      <w:r>
        <w:rPr>
          <w:rFonts w:hint="cs"/>
          <w:rtl/>
        </w:rPr>
        <w:t xml:space="preserve">עד שבסופו של דבר תרז פוטרה על ידי המנהלת.  </w:t>
      </w:r>
    </w:p>
    <w:p w14:paraId="28E1257C" w14:textId="77777777" w:rsidR="006B0F3C" w:rsidRDefault="006B0F3C">
      <w:pPr>
        <w:rPr>
          <w:rFonts w:hint="cs"/>
          <w:rtl/>
        </w:rPr>
      </w:pPr>
      <w:r>
        <w:rPr>
          <w:rFonts w:hint="cs"/>
          <w:rtl/>
        </w:rPr>
        <w:t xml:space="preserve">העדה טענה שהמחלקה הינה פתוחה ורואים את הכל בה. </w:t>
      </w:r>
    </w:p>
    <w:p w14:paraId="6067BE3E" w14:textId="77777777" w:rsidR="006B0F3C" w:rsidRDefault="006B0F3C">
      <w:pPr>
        <w:rPr>
          <w:rFonts w:hint="cs"/>
          <w:rtl/>
        </w:rPr>
      </w:pPr>
    </w:p>
    <w:p w14:paraId="06FA3335" w14:textId="77777777" w:rsidR="006B0F3C" w:rsidRDefault="006B0F3C">
      <w:pPr>
        <w:rPr>
          <w:rFonts w:hint="cs"/>
          <w:rtl/>
        </w:rPr>
      </w:pPr>
      <w:r>
        <w:rPr>
          <w:rFonts w:hint="cs"/>
          <w:rtl/>
        </w:rPr>
        <w:t xml:space="preserve">את ג'יהאן היא לא הכירה. על התלונות נגד הנאשם שמעה עוד לפני מספר שנים. </w:t>
      </w:r>
    </w:p>
    <w:p w14:paraId="478B3432" w14:textId="77777777" w:rsidR="006B0F3C" w:rsidRDefault="006B0F3C">
      <w:pPr>
        <w:rPr>
          <w:rFonts w:hint="cs"/>
          <w:rtl/>
        </w:rPr>
      </w:pPr>
    </w:p>
    <w:p w14:paraId="425E47FE" w14:textId="77777777" w:rsidR="006B0F3C" w:rsidRDefault="006B0F3C">
      <w:pPr>
        <w:rPr>
          <w:rFonts w:hint="cs"/>
          <w:rtl/>
        </w:rPr>
      </w:pPr>
      <w:r>
        <w:rPr>
          <w:rFonts w:hint="cs"/>
          <w:rtl/>
        </w:rPr>
        <w:t xml:space="preserve">הגב' בדיעה זידאן עבדה ככוח עזר בבית האבות, הכירה את הנאשם כאדם טוב וכמי שעזר לעובדים רבים. </w:t>
      </w:r>
    </w:p>
    <w:p w14:paraId="35FCAF58" w14:textId="77777777" w:rsidR="006B0F3C" w:rsidRDefault="006B0F3C">
      <w:pPr>
        <w:rPr>
          <w:rFonts w:hint="cs"/>
          <w:rtl/>
        </w:rPr>
      </w:pPr>
    </w:p>
    <w:p w14:paraId="39DF952A" w14:textId="77777777" w:rsidR="006B0F3C" w:rsidRDefault="006B0F3C">
      <w:pPr>
        <w:rPr>
          <w:rFonts w:hint="cs"/>
          <w:rtl/>
        </w:rPr>
      </w:pPr>
      <w:r>
        <w:rPr>
          <w:rFonts w:hint="cs"/>
          <w:rtl/>
        </w:rPr>
        <w:t>את ג'יהאן הכירה גם כן בתקופת עבודתה ואת התנהגותה תיארה כך:</w:t>
      </w:r>
    </w:p>
    <w:p w14:paraId="516A5010" w14:textId="77777777" w:rsidR="006B0F3C" w:rsidRDefault="006B0F3C">
      <w:pPr>
        <w:rPr>
          <w:rFonts w:hint="cs"/>
          <w:rtl/>
        </w:rPr>
      </w:pPr>
    </w:p>
    <w:p w14:paraId="768E4D8D" w14:textId="77777777" w:rsidR="006B0F3C" w:rsidRDefault="006B0F3C">
      <w:pPr>
        <w:pStyle w:val="a1"/>
        <w:rPr>
          <w:rFonts w:hint="cs"/>
          <w:b w:val="0"/>
          <w:bCs w:val="0"/>
          <w:rtl/>
        </w:rPr>
      </w:pPr>
      <w:r>
        <w:rPr>
          <w:rFonts w:hint="cs"/>
          <w:rtl/>
        </w:rPr>
        <w:t xml:space="preserve">"אני עבדתי בתור כוח עזר, ההתנהגות שלה היתה אחרת, היא היתה מתנהגת לא יפה, הרמת הדיבור שלה היתה לא יפה, כלפי הדיירים היא היתה מתנהגת לא יפה. היא היתה נעלמת הרבה, אף פעם לא מגיעה בזמן, לא היינו מוצאים אותה. בתור מטפלות שעבדנו ביחד, עבודתה לא היתה בסדר, היא היתה עושה הרבה בעיות בתוך המשמרת, לא היתה מגיעה בזמן" </w:t>
      </w:r>
      <w:r>
        <w:rPr>
          <w:rFonts w:hint="cs"/>
          <w:b w:val="0"/>
          <w:bCs w:val="0"/>
          <w:rtl/>
        </w:rPr>
        <w:t>(פרוט' עמ' 94 ש' 7-10).</w:t>
      </w:r>
      <w:r>
        <w:rPr>
          <w:b w:val="0"/>
          <w:bCs w:val="0"/>
          <w:color w:val="FFFFFF"/>
          <w:sz w:val="4"/>
          <w:szCs w:val="4"/>
          <w:rtl/>
        </w:rPr>
        <w:t>ב</w:t>
      </w:r>
    </w:p>
    <w:p w14:paraId="4C420EF6" w14:textId="77777777" w:rsidR="006B0F3C" w:rsidRDefault="006B0F3C">
      <w:pPr>
        <w:pStyle w:val="a1"/>
        <w:rPr>
          <w:rFonts w:hint="cs"/>
          <w:b w:val="0"/>
          <w:bCs w:val="0"/>
          <w:rtl/>
        </w:rPr>
      </w:pPr>
    </w:p>
    <w:p w14:paraId="1D44CD35" w14:textId="77777777" w:rsidR="006B0F3C" w:rsidRDefault="006B0F3C">
      <w:pPr>
        <w:pStyle w:val="a1"/>
        <w:rPr>
          <w:rFonts w:hint="cs"/>
          <w:b w:val="0"/>
          <w:bCs w:val="0"/>
          <w:rtl/>
        </w:rPr>
      </w:pPr>
    </w:p>
    <w:p w14:paraId="73813BEC" w14:textId="77777777" w:rsidR="006B0F3C" w:rsidRDefault="006B0F3C">
      <w:pPr>
        <w:rPr>
          <w:rFonts w:hint="cs"/>
          <w:rtl/>
        </w:rPr>
      </w:pPr>
      <w:r>
        <w:rPr>
          <w:rFonts w:hint="cs"/>
          <w:rtl/>
        </w:rPr>
        <w:t xml:space="preserve">ולשאלה למה גרמה התנהגותה של ג'יהאן, השיבה כי היו צריכים לפטרה והיא פוטרה על ידי המנהלת. </w:t>
      </w:r>
    </w:p>
    <w:p w14:paraId="3FE4CC7D" w14:textId="77777777" w:rsidR="006B0F3C" w:rsidRDefault="006B0F3C">
      <w:pPr>
        <w:rPr>
          <w:rFonts w:hint="cs"/>
          <w:rtl/>
        </w:rPr>
      </w:pPr>
    </w:p>
    <w:p w14:paraId="4785A5B6" w14:textId="77777777" w:rsidR="006B0F3C" w:rsidRDefault="006B0F3C">
      <w:pPr>
        <w:rPr>
          <w:rFonts w:hint="cs"/>
          <w:rtl/>
        </w:rPr>
      </w:pPr>
    </w:p>
    <w:p w14:paraId="6D3309D6" w14:textId="77777777" w:rsidR="006B0F3C" w:rsidRDefault="006B0F3C">
      <w:pPr>
        <w:rPr>
          <w:rFonts w:hint="cs"/>
          <w:rtl/>
        </w:rPr>
      </w:pPr>
    </w:p>
    <w:p w14:paraId="5A0D44F6" w14:textId="77777777" w:rsidR="006B0F3C" w:rsidRDefault="006B0F3C">
      <w:pPr>
        <w:rPr>
          <w:rFonts w:hint="cs"/>
          <w:rtl/>
        </w:rPr>
      </w:pPr>
      <w:r>
        <w:rPr>
          <w:rFonts w:hint="cs"/>
          <w:rtl/>
        </w:rPr>
        <w:t>באשר לתרז עמה עבדה תקופה ארוכה יותר, אמרה כך:</w:t>
      </w:r>
    </w:p>
    <w:p w14:paraId="4A1B72B3" w14:textId="77777777" w:rsidR="006B0F3C" w:rsidRDefault="006B0F3C">
      <w:pPr>
        <w:rPr>
          <w:rFonts w:hint="cs"/>
          <w:rtl/>
        </w:rPr>
      </w:pPr>
    </w:p>
    <w:p w14:paraId="1A0C14FF" w14:textId="77777777" w:rsidR="006B0F3C" w:rsidRDefault="006B0F3C">
      <w:pPr>
        <w:pStyle w:val="a1"/>
        <w:rPr>
          <w:rFonts w:hint="cs"/>
          <w:rtl/>
        </w:rPr>
      </w:pPr>
      <w:r>
        <w:rPr>
          <w:rFonts w:hint="cs"/>
          <w:rtl/>
        </w:rPr>
        <w:t>"עבדתי איתה תקופה יותר גדולה מהשניה, היא בכלל לא היתה מגיעה לעבודה, פעם היתה באה ופעם לא. היו צריכים לקרוא לה וכשהיינו מתקשרים אליה היא היתה אומרת שהיא נרדמה או שלא ידעה שיש לה משמרת".</w:t>
      </w:r>
      <w:r>
        <w:rPr>
          <w:color w:val="FFFFFF"/>
          <w:sz w:val="4"/>
          <w:szCs w:val="4"/>
          <w:rtl/>
        </w:rPr>
        <w:t>ו</w:t>
      </w:r>
    </w:p>
    <w:p w14:paraId="5C8E378D" w14:textId="77777777" w:rsidR="006B0F3C" w:rsidRDefault="006B0F3C">
      <w:pPr>
        <w:pStyle w:val="a1"/>
        <w:rPr>
          <w:rFonts w:hint="cs"/>
          <w:b w:val="0"/>
          <w:bCs w:val="0"/>
          <w:rtl/>
        </w:rPr>
      </w:pPr>
      <w:r>
        <w:rPr>
          <w:rFonts w:hint="cs"/>
          <w:b w:val="0"/>
          <w:bCs w:val="0"/>
          <w:rtl/>
        </w:rPr>
        <w:t>(פרוט' עמ' 94 ש' 19-21).</w:t>
      </w:r>
      <w:r>
        <w:rPr>
          <w:b w:val="0"/>
          <w:bCs w:val="0"/>
          <w:color w:val="FFFFFF"/>
          <w:sz w:val="4"/>
          <w:szCs w:val="4"/>
          <w:rtl/>
        </w:rPr>
        <w:t>נ</w:t>
      </w:r>
    </w:p>
    <w:p w14:paraId="56F60FE9" w14:textId="77777777" w:rsidR="006B0F3C" w:rsidRDefault="006B0F3C">
      <w:pPr>
        <w:pStyle w:val="a1"/>
        <w:rPr>
          <w:rFonts w:hint="cs"/>
          <w:b w:val="0"/>
          <w:bCs w:val="0"/>
          <w:rtl/>
        </w:rPr>
      </w:pPr>
    </w:p>
    <w:p w14:paraId="38CD48DE" w14:textId="77777777" w:rsidR="006B0F3C" w:rsidRDefault="006B0F3C">
      <w:pPr>
        <w:pStyle w:val="a1"/>
        <w:rPr>
          <w:rFonts w:hint="cs"/>
          <w:b w:val="0"/>
          <w:bCs w:val="0"/>
          <w:rtl/>
        </w:rPr>
      </w:pPr>
    </w:p>
    <w:p w14:paraId="367143B7" w14:textId="77777777" w:rsidR="006B0F3C" w:rsidRDefault="006B0F3C">
      <w:pPr>
        <w:rPr>
          <w:rFonts w:hint="cs"/>
          <w:rtl/>
        </w:rPr>
      </w:pPr>
      <w:r>
        <w:rPr>
          <w:rFonts w:hint="cs"/>
          <w:rtl/>
        </w:rPr>
        <w:t xml:space="preserve">העדה תומכת בדברי הנאשם כי תרז נקמה בנאשם בגלל פיטוריה, היא ידעה על האירוע מאחר ומשטרה זומנה למקום. </w:t>
      </w:r>
    </w:p>
    <w:p w14:paraId="323F9FDE" w14:textId="77777777" w:rsidR="006B0F3C" w:rsidRDefault="006B0F3C">
      <w:pPr>
        <w:rPr>
          <w:rFonts w:hint="cs"/>
          <w:rtl/>
        </w:rPr>
      </w:pPr>
    </w:p>
    <w:p w14:paraId="4DE4E010" w14:textId="77777777" w:rsidR="006B0F3C" w:rsidRDefault="006B0F3C">
      <w:pPr>
        <w:rPr>
          <w:rFonts w:hint="cs"/>
          <w:rtl/>
        </w:rPr>
      </w:pPr>
      <w:r>
        <w:rPr>
          <w:rFonts w:hint="cs"/>
          <w:rtl/>
        </w:rPr>
        <w:t>הגב' ראדה יאסין עבדה בבית האבות כאחות מעשית ובתפקיד של אחראית מחלקה ותרז היתה תקופה מסויימת אחת המטפלות במחלקתה. לדבריה, היא לא מילאה את תפקידה כנדרש.</w:t>
      </w:r>
      <w:r>
        <w:rPr>
          <w:color w:val="FFFFFF"/>
          <w:sz w:val="4"/>
          <w:szCs w:val="4"/>
          <w:rtl/>
        </w:rPr>
        <w:t>ב</w:t>
      </w:r>
    </w:p>
    <w:p w14:paraId="6074AC8A" w14:textId="77777777" w:rsidR="006B0F3C" w:rsidRDefault="006B0F3C">
      <w:pPr>
        <w:rPr>
          <w:rFonts w:hint="cs"/>
          <w:rtl/>
        </w:rPr>
      </w:pPr>
    </w:p>
    <w:p w14:paraId="770C0518" w14:textId="77777777" w:rsidR="006B0F3C" w:rsidRDefault="006B0F3C">
      <w:pPr>
        <w:rPr>
          <w:rFonts w:hint="cs"/>
          <w:rtl/>
        </w:rPr>
      </w:pPr>
      <w:r>
        <w:rPr>
          <w:rFonts w:hint="cs"/>
          <w:rtl/>
        </w:rPr>
        <w:t>וכדבריה בביהמ"ש:</w:t>
      </w:r>
    </w:p>
    <w:p w14:paraId="232C5731" w14:textId="77777777" w:rsidR="006B0F3C" w:rsidRDefault="006B0F3C">
      <w:pPr>
        <w:rPr>
          <w:rFonts w:hint="cs"/>
          <w:rtl/>
        </w:rPr>
      </w:pPr>
    </w:p>
    <w:p w14:paraId="7719B4CF" w14:textId="77777777" w:rsidR="006B0F3C" w:rsidRDefault="006B0F3C">
      <w:pPr>
        <w:pStyle w:val="a1"/>
        <w:rPr>
          <w:rFonts w:hint="cs"/>
          <w:rtl/>
        </w:rPr>
      </w:pPr>
      <w:r>
        <w:rPr>
          <w:rFonts w:hint="cs"/>
          <w:rtl/>
        </w:rPr>
        <w:t xml:space="preserve">"מבחינה שהיו הרבה פנצ'רים בעבודה, במשמרת שהיא כן עבדה אז היא לא מילאה את התפקיד שלה כמו שצריך, היו מעורביות של בעיות משפחתיות, היתה מדברת דיבורים מאוד גסים, היא הוציאה את העצבים שלה בתוך העבודה, היא הוציאה את העצבים שלה על דיירים, צוות ודיברה בצורה לא יפה". </w:t>
      </w:r>
    </w:p>
    <w:p w14:paraId="303A6A60" w14:textId="77777777" w:rsidR="006B0F3C" w:rsidRDefault="006B0F3C">
      <w:pPr>
        <w:pStyle w:val="a1"/>
        <w:rPr>
          <w:rFonts w:hint="cs"/>
          <w:b w:val="0"/>
          <w:bCs w:val="0"/>
          <w:rtl/>
        </w:rPr>
      </w:pPr>
      <w:r>
        <w:rPr>
          <w:rFonts w:hint="cs"/>
          <w:b w:val="0"/>
          <w:bCs w:val="0"/>
          <w:rtl/>
        </w:rPr>
        <w:t>(פרוט' עמ' 100 ש' 15-18).</w:t>
      </w:r>
      <w:r>
        <w:rPr>
          <w:b w:val="0"/>
          <w:bCs w:val="0"/>
          <w:color w:val="FFFFFF"/>
          <w:sz w:val="4"/>
          <w:szCs w:val="4"/>
          <w:rtl/>
        </w:rPr>
        <w:t>ו</w:t>
      </w:r>
    </w:p>
    <w:p w14:paraId="4C0FC468" w14:textId="77777777" w:rsidR="006B0F3C" w:rsidRDefault="006B0F3C">
      <w:pPr>
        <w:pStyle w:val="a1"/>
        <w:rPr>
          <w:rFonts w:hint="cs"/>
          <w:b w:val="0"/>
          <w:bCs w:val="0"/>
          <w:rtl/>
        </w:rPr>
      </w:pPr>
    </w:p>
    <w:p w14:paraId="13EEBA54" w14:textId="77777777" w:rsidR="006B0F3C" w:rsidRDefault="006B0F3C">
      <w:pPr>
        <w:rPr>
          <w:rFonts w:hint="cs"/>
          <w:rtl/>
        </w:rPr>
      </w:pPr>
    </w:p>
    <w:p w14:paraId="486ED53F" w14:textId="77777777" w:rsidR="006B0F3C" w:rsidRDefault="006B0F3C">
      <w:pPr>
        <w:rPr>
          <w:rFonts w:hint="cs"/>
          <w:rtl/>
        </w:rPr>
      </w:pPr>
      <w:r>
        <w:rPr>
          <w:rFonts w:hint="cs"/>
          <w:rtl/>
        </w:rPr>
        <w:t>העדה העידה כי תרז זומנה אליה, כמי שהינה אחראית מחלקה, מספר פעמים בגלל תיפקודה הלקוי. תרז חשדה שעומדים לפטרה ומאחורי פיטוריה עומד הנאשם שהיה אח ראשי במקום.</w:t>
      </w:r>
      <w:r>
        <w:rPr>
          <w:color w:val="FFFFFF"/>
          <w:sz w:val="4"/>
          <w:szCs w:val="4"/>
          <w:rtl/>
        </w:rPr>
        <w:t>נ</w:t>
      </w:r>
    </w:p>
    <w:p w14:paraId="5EF7BC95" w14:textId="77777777" w:rsidR="006B0F3C" w:rsidRDefault="006B0F3C">
      <w:pPr>
        <w:rPr>
          <w:rFonts w:hint="cs"/>
          <w:rtl/>
        </w:rPr>
      </w:pPr>
      <w:r>
        <w:rPr>
          <w:rFonts w:hint="cs"/>
          <w:rtl/>
        </w:rPr>
        <w:t xml:space="preserve">העדה זכרה לציין כי תרז איימה על הנאשם כי פיטוריה מבית האבות הם בגללו והדגישה משפט אותו שמעה לדבריה שתרז אומרת לנאשם: </w:t>
      </w:r>
      <w:r>
        <w:rPr>
          <w:rFonts w:hint="cs"/>
          <w:b/>
          <w:bCs/>
          <w:rtl/>
        </w:rPr>
        <w:t xml:space="preserve">"יש משפט אחד שעדיין מצלצל לי באוזן, היא אמרה שהיא תחיה על חשבונו" </w:t>
      </w:r>
      <w:r>
        <w:rPr>
          <w:rFonts w:hint="cs"/>
          <w:rtl/>
        </w:rPr>
        <w:t xml:space="preserve">(פרוט' עמ' 101 ש' 11). </w:t>
      </w:r>
    </w:p>
    <w:p w14:paraId="610A9324" w14:textId="77777777" w:rsidR="006B0F3C" w:rsidRDefault="006B0F3C">
      <w:pPr>
        <w:rPr>
          <w:rFonts w:hint="cs"/>
          <w:rtl/>
        </w:rPr>
      </w:pPr>
    </w:p>
    <w:p w14:paraId="6DBBC54F" w14:textId="77777777" w:rsidR="006B0F3C" w:rsidRDefault="006B0F3C">
      <w:pPr>
        <w:rPr>
          <w:rFonts w:hint="cs"/>
          <w:rtl/>
        </w:rPr>
      </w:pPr>
      <w:r>
        <w:rPr>
          <w:rFonts w:hint="cs"/>
          <w:rtl/>
        </w:rPr>
        <w:t>באשר לג'יהאן, העידה הגב' יאסין כך:</w:t>
      </w:r>
    </w:p>
    <w:p w14:paraId="578D63DB" w14:textId="77777777" w:rsidR="006B0F3C" w:rsidRDefault="006B0F3C">
      <w:pPr>
        <w:rPr>
          <w:rFonts w:hint="cs"/>
          <w:rtl/>
        </w:rPr>
      </w:pPr>
    </w:p>
    <w:p w14:paraId="663CA1A5" w14:textId="77777777" w:rsidR="006B0F3C" w:rsidRDefault="006B0F3C">
      <w:pPr>
        <w:pStyle w:val="a1"/>
        <w:rPr>
          <w:rFonts w:hint="cs"/>
          <w:b w:val="0"/>
          <w:bCs w:val="0"/>
          <w:rtl/>
        </w:rPr>
      </w:pPr>
      <w:r>
        <w:rPr>
          <w:rFonts w:hint="cs"/>
          <w:rtl/>
        </w:rPr>
        <w:t xml:space="preserve">"היא היתה בחורה צעירה, בגיל ההתבגרות שעבדה אצלנו, חשבה שהיא באה למקום בילויים, לא התייחסה ברצינות לעבודתה, היתה מאוד מופרעת בהתנהגותה, בדיוברים שלה ובעבודה עצמה היא זלזלה מאוד. תמיד הרשתה לעצמה לדבר בקול גבוה כזה ולא היה אכפת לה מהדיירים, היתה שומעת מה שמבקשים ולא עונה להם. גם היה לה סיפורים של פנצ'רים ואיחורים בעבודה" </w:t>
      </w:r>
      <w:r>
        <w:rPr>
          <w:rFonts w:hint="cs"/>
          <w:b w:val="0"/>
          <w:bCs w:val="0"/>
          <w:rtl/>
        </w:rPr>
        <w:t>(פרוט' עמ' 101 ש' 23-27).</w:t>
      </w:r>
      <w:r>
        <w:rPr>
          <w:b w:val="0"/>
          <w:bCs w:val="0"/>
          <w:color w:val="FFFFFF"/>
          <w:sz w:val="4"/>
          <w:szCs w:val="4"/>
          <w:rtl/>
        </w:rPr>
        <w:t>ב</w:t>
      </w:r>
    </w:p>
    <w:p w14:paraId="3F123605" w14:textId="77777777" w:rsidR="006B0F3C" w:rsidRDefault="006B0F3C">
      <w:pPr>
        <w:rPr>
          <w:rFonts w:hint="cs"/>
          <w:rtl/>
        </w:rPr>
      </w:pPr>
      <w:r>
        <w:rPr>
          <w:rFonts w:hint="cs"/>
          <w:rtl/>
        </w:rPr>
        <w:t xml:space="preserve">לדבריה, 2 המתלוננות לא התלוננו בפניה כי הנאשם נגע בהן. </w:t>
      </w:r>
    </w:p>
    <w:p w14:paraId="38AF3A0E" w14:textId="77777777" w:rsidR="006B0F3C" w:rsidRDefault="006B0F3C">
      <w:pPr>
        <w:rPr>
          <w:rFonts w:hint="cs"/>
          <w:rtl/>
        </w:rPr>
      </w:pPr>
    </w:p>
    <w:p w14:paraId="3552F591" w14:textId="77777777" w:rsidR="006B0F3C" w:rsidRDefault="006B0F3C">
      <w:pPr>
        <w:rPr>
          <w:rFonts w:hint="cs"/>
          <w:rtl/>
        </w:rPr>
      </w:pPr>
      <w:r>
        <w:rPr>
          <w:rFonts w:hint="cs"/>
          <w:rtl/>
        </w:rPr>
        <w:t xml:space="preserve">העדה משבחת את הנאשם, את אופיו, נכונותו לעזור לזולת, מקצועיותו ומעולם לדבריה, גם כשהיתה עמו ביחידות לא הרגישה איום מצידו או אי נוחות במחיצתו. </w:t>
      </w:r>
    </w:p>
    <w:p w14:paraId="4AA38448" w14:textId="77777777" w:rsidR="006B0F3C" w:rsidRDefault="006B0F3C">
      <w:pPr>
        <w:rPr>
          <w:rFonts w:hint="cs"/>
          <w:rtl/>
        </w:rPr>
      </w:pPr>
    </w:p>
    <w:p w14:paraId="7E16985E" w14:textId="77777777" w:rsidR="006B0F3C" w:rsidRDefault="006B0F3C">
      <w:pPr>
        <w:rPr>
          <w:rFonts w:hint="cs"/>
          <w:rtl/>
        </w:rPr>
      </w:pPr>
      <w:r>
        <w:rPr>
          <w:rFonts w:hint="cs"/>
          <w:rtl/>
        </w:rPr>
        <w:t xml:space="preserve">בנוסף לעדויות אלו, בחקירתה של מנהלת בית הספר כעדת תביעה, עלו אופיים וטיבם של הנאשם והמתלוננות והסיבות לפיטורי השתיים. </w:t>
      </w:r>
    </w:p>
    <w:p w14:paraId="43E042A9" w14:textId="77777777" w:rsidR="006B0F3C" w:rsidRDefault="006B0F3C">
      <w:pPr>
        <w:rPr>
          <w:rFonts w:hint="cs"/>
          <w:rtl/>
        </w:rPr>
      </w:pPr>
    </w:p>
    <w:p w14:paraId="0D6A389F" w14:textId="77777777" w:rsidR="006B0F3C" w:rsidRDefault="006B0F3C">
      <w:pPr>
        <w:rPr>
          <w:rFonts w:hint="cs"/>
          <w:rtl/>
        </w:rPr>
      </w:pPr>
      <w:r>
        <w:rPr>
          <w:rFonts w:hint="cs"/>
          <w:rtl/>
        </w:rPr>
        <w:t xml:space="preserve">הגב' נירית כהן מנהלת בית האבות, אשר העידה על מוצגים ת/3 ו-ת/4 שהינם פרוטוקולים מישיבה שהתנהלה בבית האבות בנוכחותה בלבד ביום 19.7.00, כאשר תרז רצתה לשוחח רק עמה וטענה להטרדה מינית על ידי הנאשם במשך זמן, תרז לא רצתה שאנשים נוספים יהיו נוכחים בדיון וכן לא רצתה שירשם פרוטוקול. </w:t>
      </w:r>
    </w:p>
    <w:p w14:paraId="3F0ADC77" w14:textId="77777777" w:rsidR="006B0F3C" w:rsidRDefault="006B0F3C">
      <w:pPr>
        <w:rPr>
          <w:rFonts w:hint="cs"/>
          <w:rtl/>
        </w:rPr>
      </w:pPr>
    </w:p>
    <w:p w14:paraId="1EB89D9F" w14:textId="77777777" w:rsidR="006B0F3C" w:rsidRDefault="006B0F3C">
      <w:pPr>
        <w:rPr>
          <w:rFonts w:hint="cs"/>
          <w:rtl/>
        </w:rPr>
      </w:pPr>
      <w:r>
        <w:rPr>
          <w:rFonts w:hint="cs"/>
          <w:rtl/>
        </w:rPr>
        <w:t xml:space="preserve">באותה שיחה עם המנהלת, תרז הכחישה כל מגע גופני שהיה ביניהם ואף טענה בלהט רב שהטרדה מינית לא חייבת לבוא </w:t>
      </w:r>
      <w:r>
        <w:rPr>
          <w:rFonts w:hint="cs"/>
          <w:b/>
          <w:bCs/>
          <w:rtl/>
        </w:rPr>
        <w:t>"לידי ביטוי במגע פיזי"</w:t>
      </w:r>
      <w:r>
        <w:rPr>
          <w:rFonts w:hint="cs"/>
          <w:rtl/>
        </w:rPr>
        <w:t xml:space="preserve"> (מתוך ת/4). </w:t>
      </w:r>
    </w:p>
    <w:p w14:paraId="2B838ED1" w14:textId="77777777" w:rsidR="006B0F3C" w:rsidRDefault="006B0F3C">
      <w:pPr>
        <w:rPr>
          <w:rFonts w:hint="cs"/>
          <w:rtl/>
        </w:rPr>
      </w:pPr>
      <w:r>
        <w:rPr>
          <w:rFonts w:hint="cs"/>
          <w:rtl/>
        </w:rPr>
        <w:t xml:space="preserve">תרז תודרכה על ידי המנהלת לפנות למשטרה להגיש תלונה והוסבר לה שהנאשם לא יהיה יותר אחראי לסידור העבודה שלה. </w:t>
      </w:r>
    </w:p>
    <w:p w14:paraId="710AA849" w14:textId="77777777" w:rsidR="006B0F3C" w:rsidRDefault="006B0F3C">
      <w:pPr>
        <w:rPr>
          <w:rFonts w:hint="cs"/>
          <w:rtl/>
        </w:rPr>
      </w:pPr>
    </w:p>
    <w:p w14:paraId="40E6F9D9" w14:textId="77777777" w:rsidR="006B0F3C" w:rsidRDefault="006B0F3C">
      <w:pPr>
        <w:rPr>
          <w:rFonts w:hint="cs"/>
          <w:rtl/>
        </w:rPr>
      </w:pPr>
      <w:r>
        <w:rPr>
          <w:rFonts w:hint="cs"/>
          <w:rtl/>
        </w:rPr>
        <w:t>באשר להטרדה, הוסיפה הגב' כהן בעדותה כי לאחר שתרז אמרה לה שהנאשם מטריד אותה מינית, היא שאלה אותה:</w:t>
      </w:r>
    </w:p>
    <w:p w14:paraId="780BC116" w14:textId="77777777" w:rsidR="006B0F3C" w:rsidRDefault="006B0F3C">
      <w:pPr>
        <w:rPr>
          <w:rFonts w:hint="cs"/>
          <w:rtl/>
        </w:rPr>
      </w:pPr>
    </w:p>
    <w:p w14:paraId="75FB5F3A" w14:textId="77777777" w:rsidR="006B0F3C" w:rsidRDefault="006B0F3C">
      <w:pPr>
        <w:pStyle w:val="a1"/>
        <w:rPr>
          <w:rFonts w:hint="cs"/>
          <w:rtl/>
        </w:rPr>
      </w:pPr>
      <w:r>
        <w:rPr>
          <w:rFonts w:hint="cs"/>
          <w:rtl/>
        </w:rPr>
        <w:t>"מה זאת אומרת הוא מטריד אותך מינית, בואי תסבירי לי?</w:t>
      </w:r>
    </w:p>
    <w:p w14:paraId="47812630" w14:textId="77777777" w:rsidR="006B0F3C" w:rsidRDefault="006B0F3C">
      <w:pPr>
        <w:pStyle w:val="a1"/>
        <w:rPr>
          <w:rFonts w:hint="cs"/>
          <w:b w:val="0"/>
          <w:bCs w:val="0"/>
          <w:rtl/>
        </w:rPr>
      </w:pPr>
      <w:r>
        <w:rPr>
          <w:rFonts w:hint="cs"/>
          <w:rtl/>
        </w:rPr>
        <w:t xml:space="preserve">שאלתי אותה אם הוא נגע בה והיא אמרה לי: הזקן עם הגוף הקר, את החושבת שאני אתן לו לנגוע בי, משהו בסגנון הזה ואמרה שהטרדה מינית נעשית באופן מילולית בצורה מילולית" </w:t>
      </w:r>
      <w:r>
        <w:rPr>
          <w:rFonts w:hint="cs"/>
          <w:b w:val="0"/>
          <w:bCs w:val="0"/>
          <w:rtl/>
        </w:rPr>
        <w:t>(פרוט' עמ' 42 ש' 11-16).</w:t>
      </w:r>
      <w:r>
        <w:rPr>
          <w:b w:val="0"/>
          <w:bCs w:val="0"/>
          <w:color w:val="FFFFFF"/>
          <w:sz w:val="4"/>
          <w:szCs w:val="4"/>
          <w:rtl/>
        </w:rPr>
        <w:t>ו</w:t>
      </w:r>
    </w:p>
    <w:p w14:paraId="40A2CB7D" w14:textId="77777777" w:rsidR="006B0F3C" w:rsidRDefault="006B0F3C">
      <w:pPr>
        <w:pStyle w:val="a1"/>
        <w:rPr>
          <w:rFonts w:hint="cs"/>
          <w:b w:val="0"/>
          <w:bCs w:val="0"/>
          <w:rtl/>
        </w:rPr>
      </w:pPr>
    </w:p>
    <w:p w14:paraId="40656243" w14:textId="77777777" w:rsidR="006B0F3C" w:rsidRDefault="006B0F3C">
      <w:pPr>
        <w:pStyle w:val="a1"/>
        <w:rPr>
          <w:rFonts w:hint="cs"/>
          <w:b w:val="0"/>
          <w:bCs w:val="0"/>
          <w:rtl/>
        </w:rPr>
      </w:pPr>
    </w:p>
    <w:p w14:paraId="0C7774BE" w14:textId="77777777" w:rsidR="006B0F3C" w:rsidRDefault="006B0F3C">
      <w:pPr>
        <w:rPr>
          <w:rFonts w:hint="cs"/>
          <w:rtl/>
        </w:rPr>
      </w:pPr>
      <w:r>
        <w:rPr>
          <w:rFonts w:hint="cs"/>
          <w:rtl/>
        </w:rPr>
        <w:t>לדבריה, מעולם לא סיפרה לה תרז שהנאשם נגע בה פיזית וכך גם כתבה לעו"ד ויניק במכתבה מיום 20.8.00 (נ/11) בעקבות פנייתו אליה בשם תרז.</w:t>
      </w:r>
    </w:p>
    <w:p w14:paraId="5DC64CAD" w14:textId="77777777" w:rsidR="006B0F3C" w:rsidRDefault="006B0F3C">
      <w:pPr>
        <w:rPr>
          <w:rFonts w:hint="cs"/>
          <w:rtl/>
        </w:rPr>
      </w:pPr>
      <w:r>
        <w:rPr>
          <w:rFonts w:hint="cs"/>
          <w:rtl/>
        </w:rPr>
        <w:t xml:space="preserve">לדברי העדה, התלונה הזו של תרז הגיעה אליה רק לאחר שנאמר לה שהנאשם לא שבע רצון מעבודתה ורוצים לפטר אותה. </w:t>
      </w:r>
    </w:p>
    <w:p w14:paraId="1B7876C5" w14:textId="77777777" w:rsidR="006B0F3C" w:rsidRDefault="006B0F3C">
      <w:pPr>
        <w:rPr>
          <w:rFonts w:hint="cs"/>
          <w:rtl/>
        </w:rPr>
      </w:pPr>
    </w:p>
    <w:p w14:paraId="777128F2" w14:textId="77777777" w:rsidR="006B0F3C" w:rsidRDefault="006B0F3C">
      <w:pPr>
        <w:rPr>
          <w:rFonts w:hint="cs"/>
          <w:rtl/>
        </w:rPr>
      </w:pPr>
      <w:r>
        <w:rPr>
          <w:rFonts w:hint="cs"/>
          <w:rtl/>
        </w:rPr>
        <w:t xml:space="preserve">דברים ברוח זו העלתה הגב' כהן במכתבה לתרז מיום 16.8.00 (נ/5). במכתב זה פירטה הגב' כהן את הטרדות תרז אותה בטלפון והאיום לשם קבלת ביטוח המנהלים ואת העובדה שרק לאחר שמשרתה "קוצצה" כצעד משמעתי זמני, היא התלוננה על ההטרדה המינית מצד הנאשם. </w:t>
      </w:r>
    </w:p>
    <w:p w14:paraId="4B3CD3C2" w14:textId="77777777" w:rsidR="006B0F3C" w:rsidRDefault="006B0F3C">
      <w:pPr>
        <w:rPr>
          <w:rFonts w:hint="cs"/>
          <w:rtl/>
        </w:rPr>
      </w:pPr>
    </w:p>
    <w:p w14:paraId="77949F73" w14:textId="77777777" w:rsidR="006B0F3C" w:rsidRDefault="006B0F3C">
      <w:pPr>
        <w:rPr>
          <w:rFonts w:hint="cs"/>
          <w:rtl/>
        </w:rPr>
      </w:pPr>
      <w:r>
        <w:rPr>
          <w:rFonts w:hint="cs"/>
          <w:rtl/>
        </w:rPr>
        <w:t>לגבי עבודתה של תרז, אמרה העדה כך:</w:t>
      </w:r>
    </w:p>
    <w:p w14:paraId="1BB60726" w14:textId="77777777" w:rsidR="006B0F3C" w:rsidRDefault="006B0F3C">
      <w:pPr>
        <w:rPr>
          <w:rFonts w:hint="cs"/>
          <w:rtl/>
        </w:rPr>
      </w:pPr>
    </w:p>
    <w:p w14:paraId="313D06C3" w14:textId="77777777" w:rsidR="006B0F3C" w:rsidRDefault="006B0F3C">
      <w:pPr>
        <w:pStyle w:val="a1"/>
        <w:rPr>
          <w:rFonts w:hint="cs"/>
          <w:b w:val="0"/>
          <w:bCs w:val="0"/>
          <w:rtl/>
        </w:rPr>
      </w:pPr>
      <w:r>
        <w:rPr>
          <w:rFonts w:hint="cs"/>
          <w:rtl/>
        </w:rPr>
        <w:t xml:space="preserve">"לגבי תרז, היא הרבה יותר מורכבת, היא נחשבה ככוח עזר לדוגמא ומופת, היא היתה עובדת טובה עם אופי מאוד בעייתי, ...היו לה בעיות אישיות ומשפחתיות ובחלקן שיתפה אותי, אבל בתקופות שהיא עבדה היא עבדה טוב וזו הסיבה שהחזרתי אותה לעבודה בפעם השניה. היא פוטרה על ידי והחזרתי אותה לעבודה. אי אפשר לנתק את האופי מהתיפקוד היום יומי שלה... בפעם השניה היא פוטרה כי היא פשוט מוטטה אותי" </w:t>
      </w:r>
      <w:r>
        <w:rPr>
          <w:rFonts w:hint="cs"/>
          <w:b w:val="0"/>
          <w:bCs w:val="0"/>
          <w:rtl/>
        </w:rPr>
        <w:t>(פרוט' עמ' 43 ש' 22-29).</w:t>
      </w:r>
    </w:p>
    <w:p w14:paraId="0D392509" w14:textId="77777777" w:rsidR="006B0F3C" w:rsidRDefault="006B0F3C">
      <w:pPr>
        <w:pStyle w:val="a1"/>
        <w:rPr>
          <w:rFonts w:hint="cs"/>
          <w:b w:val="0"/>
          <w:bCs w:val="0"/>
          <w:rtl/>
        </w:rPr>
      </w:pPr>
    </w:p>
    <w:p w14:paraId="644E749A" w14:textId="77777777" w:rsidR="006B0F3C" w:rsidRDefault="006B0F3C">
      <w:pPr>
        <w:pStyle w:val="a1"/>
        <w:rPr>
          <w:rFonts w:hint="cs"/>
          <w:b w:val="0"/>
          <w:bCs w:val="0"/>
          <w:rtl/>
        </w:rPr>
      </w:pPr>
    </w:p>
    <w:p w14:paraId="30DC29D6" w14:textId="77777777" w:rsidR="006B0F3C" w:rsidRDefault="006B0F3C">
      <w:pPr>
        <w:rPr>
          <w:rFonts w:hint="cs"/>
          <w:rtl/>
        </w:rPr>
      </w:pPr>
      <w:r>
        <w:rPr>
          <w:rFonts w:hint="cs"/>
          <w:rtl/>
        </w:rPr>
        <w:t>באשר לג'יהאן שעבדה זמן קצר במקום, העדה אמרה כך:</w:t>
      </w:r>
    </w:p>
    <w:p w14:paraId="093DD42E" w14:textId="77777777" w:rsidR="006B0F3C" w:rsidRDefault="006B0F3C">
      <w:pPr>
        <w:rPr>
          <w:rFonts w:hint="cs"/>
          <w:rtl/>
        </w:rPr>
      </w:pPr>
    </w:p>
    <w:p w14:paraId="2401AF98" w14:textId="77777777" w:rsidR="006B0F3C" w:rsidRDefault="006B0F3C">
      <w:pPr>
        <w:pStyle w:val="a1"/>
        <w:rPr>
          <w:rFonts w:hint="cs"/>
          <w:b w:val="0"/>
          <w:bCs w:val="0"/>
          <w:rtl/>
        </w:rPr>
      </w:pPr>
      <w:r>
        <w:rPr>
          <w:rFonts w:hint="cs"/>
          <w:rtl/>
        </w:rPr>
        <w:t xml:space="preserve">"... היא לא אמינה, מאחרת, פנצ'רים בלתי מוסברים, לא מגיעה לעבודה, היא הדמות הבלתי אפשרית לעבוד בבית אבות" </w:t>
      </w:r>
      <w:r>
        <w:rPr>
          <w:rFonts w:hint="cs"/>
          <w:b w:val="0"/>
          <w:bCs w:val="0"/>
          <w:rtl/>
        </w:rPr>
        <w:t>(פרוט' עמ' 43 ש' 21-22).</w:t>
      </w:r>
    </w:p>
    <w:p w14:paraId="6FBA2D9D" w14:textId="77777777" w:rsidR="006B0F3C" w:rsidRDefault="006B0F3C">
      <w:pPr>
        <w:pStyle w:val="a1"/>
        <w:rPr>
          <w:rFonts w:hint="cs"/>
          <w:b w:val="0"/>
          <w:bCs w:val="0"/>
          <w:rtl/>
        </w:rPr>
      </w:pPr>
    </w:p>
    <w:p w14:paraId="5474C03E" w14:textId="77777777" w:rsidR="006B0F3C" w:rsidRDefault="006B0F3C">
      <w:pPr>
        <w:pStyle w:val="a1"/>
        <w:rPr>
          <w:rFonts w:hint="cs"/>
          <w:b w:val="0"/>
          <w:bCs w:val="0"/>
          <w:rtl/>
        </w:rPr>
      </w:pPr>
    </w:p>
    <w:p w14:paraId="1DFFED0E" w14:textId="77777777" w:rsidR="006B0F3C" w:rsidRDefault="006B0F3C">
      <w:pPr>
        <w:rPr>
          <w:rFonts w:hint="cs"/>
          <w:rtl/>
        </w:rPr>
      </w:pPr>
      <w:r>
        <w:rPr>
          <w:rFonts w:hint="cs"/>
          <w:rtl/>
        </w:rPr>
        <w:t xml:space="preserve">וציינה כי ג'יהאן פוטרה זמן רב לפני שהפרשה פרצה וזה בעקבות כך שראתה אותה ביחד עם בעל של דיירת בבית האבות, אשר התברר כי היא התגוררה אצלו והוא פירנס אותה. ג'יהאן גם אמרה לה שהיא מתפרנסת מגברים כאלה. </w:t>
      </w:r>
    </w:p>
    <w:p w14:paraId="7E360674" w14:textId="77777777" w:rsidR="006B0F3C" w:rsidRDefault="006B0F3C">
      <w:pPr>
        <w:rPr>
          <w:rFonts w:hint="cs"/>
          <w:rtl/>
        </w:rPr>
      </w:pPr>
    </w:p>
    <w:p w14:paraId="79A27E35" w14:textId="77777777" w:rsidR="006B0F3C" w:rsidRDefault="006B0F3C">
      <w:pPr>
        <w:rPr>
          <w:rFonts w:hint="cs"/>
          <w:rtl/>
        </w:rPr>
      </w:pPr>
      <w:r>
        <w:rPr>
          <w:rFonts w:hint="cs"/>
          <w:rtl/>
        </w:rPr>
        <w:t xml:space="preserve">עדותם של עדי ההגנה מקובלת עלי כעדות אמינה, מאחר ולא היו בעלי אינטרס בעת מתן עדותם ולכן דבריהם משקפים נכונה את המציאות. </w:t>
      </w:r>
    </w:p>
    <w:p w14:paraId="69D0B103" w14:textId="77777777" w:rsidR="006B0F3C" w:rsidRDefault="006B0F3C">
      <w:pPr>
        <w:rPr>
          <w:rFonts w:hint="cs"/>
          <w:rtl/>
        </w:rPr>
      </w:pPr>
    </w:p>
    <w:p w14:paraId="0623A060" w14:textId="77777777" w:rsidR="006B0F3C" w:rsidRDefault="006B0F3C">
      <w:pPr>
        <w:rPr>
          <w:rFonts w:hint="cs"/>
          <w:rtl/>
        </w:rPr>
      </w:pPr>
      <w:r>
        <w:rPr>
          <w:rFonts w:hint="cs"/>
          <w:rtl/>
        </w:rPr>
        <w:t>עולה מעדויות אלה של עדי ההגנה כי קיימת סתירה מהותית בין דברי תרז לגבי נגיעות בגופה שנעשו על ידי הנאשם כפי שמצאו ביטוי בתלונתה במשטרה (נ/1), בפרסום בעיתון חדשות בעיר   (נ/6) לבין הדברים שאמרה למנהלת הגב' נירית כהן ושבאו לידי ביטוי ב-ת/21 וב-נ/11.</w:t>
      </w:r>
    </w:p>
    <w:p w14:paraId="1FCC4603" w14:textId="77777777" w:rsidR="006B0F3C" w:rsidRDefault="006B0F3C">
      <w:pPr>
        <w:rPr>
          <w:rFonts w:hint="cs"/>
          <w:rtl/>
        </w:rPr>
      </w:pPr>
    </w:p>
    <w:p w14:paraId="7AA6B156" w14:textId="77777777" w:rsidR="006B0F3C" w:rsidRDefault="006B0F3C">
      <w:pPr>
        <w:rPr>
          <w:rFonts w:hint="cs"/>
          <w:rtl/>
        </w:rPr>
      </w:pPr>
    </w:p>
    <w:p w14:paraId="67EE1EAF" w14:textId="77777777" w:rsidR="006B0F3C" w:rsidRDefault="006B0F3C">
      <w:pPr>
        <w:rPr>
          <w:rFonts w:hint="cs"/>
          <w:rtl/>
        </w:rPr>
      </w:pPr>
    </w:p>
    <w:p w14:paraId="351C15E3" w14:textId="77777777" w:rsidR="006B0F3C" w:rsidRDefault="006B0F3C">
      <w:pPr>
        <w:rPr>
          <w:rFonts w:hint="cs"/>
          <w:rtl/>
        </w:rPr>
      </w:pPr>
    </w:p>
    <w:p w14:paraId="1180780A" w14:textId="77777777" w:rsidR="006B0F3C" w:rsidRDefault="006B0F3C">
      <w:pPr>
        <w:rPr>
          <w:rFonts w:hint="cs"/>
          <w:rtl/>
        </w:rPr>
      </w:pPr>
      <w:r>
        <w:rPr>
          <w:rFonts w:hint="cs"/>
          <w:rtl/>
        </w:rPr>
        <w:t>עדת התביעה הגב' מירב שחר פישר, מי שהיתה באותה עת העובדת הסוציאלית בבית האבות, אמרה כי תלונות תרז היו למעשה כלפי מקום העבודה ולא כלפי הנאשם:</w:t>
      </w:r>
    </w:p>
    <w:p w14:paraId="0889D18E" w14:textId="77777777" w:rsidR="006B0F3C" w:rsidRDefault="006B0F3C">
      <w:pPr>
        <w:rPr>
          <w:rFonts w:hint="cs"/>
          <w:rtl/>
        </w:rPr>
      </w:pPr>
    </w:p>
    <w:p w14:paraId="2A38F7B9" w14:textId="77777777" w:rsidR="006B0F3C" w:rsidRDefault="006B0F3C">
      <w:pPr>
        <w:pStyle w:val="a1"/>
        <w:rPr>
          <w:rFonts w:hint="cs"/>
          <w:rtl/>
        </w:rPr>
      </w:pPr>
      <w:r>
        <w:rPr>
          <w:rFonts w:hint="cs"/>
          <w:rtl/>
        </w:rPr>
        <w:t xml:space="preserve">"ש:  כל השיחות שהיו לכן למעשה לא היה שום דבר שבו היא מתלוננת על הנאשם </w:t>
      </w:r>
      <w:r>
        <w:rPr>
          <w:rFonts w:hint="cs"/>
          <w:rtl/>
        </w:rPr>
        <w:br/>
        <w:t xml:space="preserve">         ביצע בה איזה שהיא עבירה?</w:t>
      </w:r>
    </w:p>
    <w:p w14:paraId="66844474" w14:textId="77777777" w:rsidR="006B0F3C" w:rsidRDefault="006B0F3C">
      <w:pPr>
        <w:pStyle w:val="a1"/>
        <w:rPr>
          <w:rFonts w:hint="cs"/>
          <w:b w:val="0"/>
          <w:bCs w:val="0"/>
          <w:rtl/>
        </w:rPr>
      </w:pPr>
      <w:r>
        <w:rPr>
          <w:rFonts w:hint="cs"/>
          <w:rtl/>
        </w:rPr>
        <w:t xml:space="preserve">  ת:  נכון" </w:t>
      </w:r>
      <w:r>
        <w:rPr>
          <w:rFonts w:hint="cs"/>
          <w:b w:val="0"/>
          <w:bCs w:val="0"/>
          <w:rtl/>
        </w:rPr>
        <w:t>(פרוט' עמ' 18 ש' 26-27).</w:t>
      </w:r>
    </w:p>
    <w:p w14:paraId="7B430495" w14:textId="77777777" w:rsidR="006B0F3C" w:rsidRDefault="006B0F3C">
      <w:pPr>
        <w:pStyle w:val="a1"/>
        <w:rPr>
          <w:rFonts w:hint="cs"/>
          <w:b w:val="0"/>
          <w:bCs w:val="0"/>
          <w:rtl/>
        </w:rPr>
      </w:pPr>
    </w:p>
    <w:p w14:paraId="5513BE4A" w14:textId="77777777" w:rsidR="006B0F3C" w:rsidRDefault="006B0F3C">
      <w:pPr>
        <w:pStyle w:val="a1"/>
        <w:rPr>
          <w:rFonts w:hint="cs"/>
          <w:b w:val="0"/>
          <w:bCs w:val="0"/>
          <w:rtl/>
        </w:rPr>
      </w:pPr>
    </w:p>
    <w:p w14:paraId="717807F4" w14:textId="77777777" w:rsidR="006B0F3C" w:rsidRDefault="006B0F3C">
      <w:pPr>
        <w:rPr>
          <w:rFonts w:hint="cs"/>
          <w:rtl/>
        </w:rPr>
      </w:pPr>
      <w:r>
        <w:rPr>
          <w:rFonts w:hint="cs"/>
          <w:rtl/>
        </w:rPr>
        <w:t xml:space="preserve">גם העדות האחרות אינן מזכירות כל תלונה על מעשה מיני או הטרדה מינית ששמעו מפי תרז או ג'יהאן. </w:t>
      </w:r>
    </w:p>
    <w:p w14:paraId="24D60B23" w14:textId="77777777" w:rsidR="006B0F3C" w:rsidRDefault="006B0F3C">
      <w:pPr>
        <w:rPr>
          <w:rFonts w:hint="cs"/>
          <w:rtl/>
        </w:rPr>
      </w:pPr>
      <w:r>
        <w:rPr>
          <w:rFonts w:hint="cs"/>
          <w:rtl/>
        </w:rPr>
        <w:t xml:space="preserve">כשיש להוסיף לכך שגם תלונת תרז באה שלא בסמוך למעשים אלא מאוחר יותר, וכשנשאלה מדוע התמהמה ונזכרה להתלונן רק אחרי ויכוח שפרץ ביניהם בעקבות "פנצ'רים" בלתי פוסקים מצידה בעבודה בנושא נוכחות, טענה שהיא חיכתה להזדמנות (מתוך ת/4). </w:t>
      </w:r>
    </w:p>
    <w:p w14:paraId="4275FBFB" w14:textId="77777777" w:rsidR="006B0F3C" w:rsidRDefault="006B0F3C">
      <w:pPr>
        <w:rPr>
          <w:rFonts w:hint="cs"/>
          <w:rtl/>
        </w:rPr>
      </w:pPr>
      <w:r>
        <w:rPr>
          <w:rFonts w:hint="cs"/>
          <w:rtl/>
        </w:rPr>
        <w:t>כלומר, רואים כי התלונה של תרז היתה כדי להשיג מטרה אחרת, כמו פיצויים או כספים מאת הנאשם וכפי שהתבטאה פעם שהיא עוד תחיה על חשבונו (מעדות יאסין ראדה) או ממקום העבודה כפי שצויין על ידי המנהלת במכתבה אליה (נ/5).</w:t>
      </w:r>
    </w:p>
    <w:p w14:paraId="4350A3DA" w14:textId="77777777" w:rsidR="006B0F3C" w:rsidRDefault="006B0F3C">
      <w:pPr>
        <w:rPr>
          <w:rFonts w:hint="cs"/>
          <w:rtl/>
        </w:rPr>
      </w:pPr>
    </w:p>
    <w:p w14:paraId="07AAA99B" w14:textId="77777777" w:rsidR="006B0F3C" w:rsidRDefault="006B0F3C">
      <w:pPr>
        <w:rPr>
          <w:rFonts w:hint="cs"/>
          <w:rtl/>
        </w:rPr>
      </w:pPr>
      <w:r>
        <w:rPr>
          <w:rFonts w:hint="cs"/>
          <w:rtl/>
        </w:rPr>
        <w:t>ובאשר לג'יהאן, היא עבדה תקופה קצרה (כ-3 חודשים), כאשר במהלכה עברה 3 מחלקות בגלל תיפקוד גרוע ולבסוף פוטרה. למעשה, הפרשה "התפוצצה" כ-8 חודשים לאחר שג'יהאן פוטרה ורק לאחר שתרז התלוננה במשטרה, התלוננה גם ג'יהאן על הטרדה מינית מצד הנאשם.</w:t>
      </w:r>
    </w:p>
    <w:p w14:paraId="393956C2" w14:textId="77777777" w:rsidR="006B0F3C" w:rsidRDefault="006B0F3C">
      <w:pPr>
        <w:rPr>
          <w:rFonts w:hint="cs"/>
          <w:rtl/>
        </w:rPr>
      </w:pPr>
    </w:p>
    <w:p w14:paraId="67C213D6" w14:textId="77777777" w:rsidR="006B0F3C" w:rsidRDefault="006B0F3C">
      <w:pPr>
        <w:rPr>
          <w:rFonts w:hint="cs"/>
          <w:rtl/>
        </w:rPr>
      </w:pPr>
      <w:r>
        <w:rPr>
          <w:rFonts w:hint="cs"/>
          <w:rtl/>
        </w:rPr>
        <w:t xml:space="preserve">יש לציין כי תלונות מאת עובדות אחרות לגבי התנהגות הנאשם לא הגיעו לידיעת המשטרה או מנהלת בית האבות או עובדים אחרים במקום.  </w:t>
      </w:r>
    </w:p>
    <w:p w14:paraId="1B7FDDE6" w14:textId="77777777" w:rsidR="006B0F3C" w:rsidRDefault="006B0F3C">
      <w:pPr>
        <w:rPr>
          <w:rFonts w:hint="cs"/>
          <w:rtl/>
        </w:rPr>
      </w:pPr>
    </w:p>
    <w:p w14:paraId="13707C47" w14:textId="77777777" w:rsidR="006B0F3C" w:rsidRDefault="006B0F3C">
      <w:pPr>
        <w:rPr>
          <w:rFonts w:hint="cs"/>
          <w:b/>
          <w:bCs/>
          <w:u w:val="single"/>
          <w:rtl/>
        </w:rPr>
      </w:pPr>
      <w:r>
        <w:rPr>
          <w:rFonts w:hint="cs"/>
          <w:b/>
          <w:bCs/>
          <w:u w:val="single"/>
          <w:rtl/>
        </w:rPr>
        <w:t>הדיון המשפטי:</w:t>
      </w:r>
    </w:p>
    <w:p w14:paraId="5D5C5A5A" w14:textId="77777777" w:rsidR="006B0F3C" w:rsidRDefault="006B0F3C">
      <w:pPr>
        <w:rPr>
          <w:rFonts w:hint="cs"/>
          <w:rtl/>
        </w:rPr>
      </w:pPr>
      <w:r>
        <w:rPr>
          <w:rFonts w:hint="cs"/>
          <w:rtl/>
        </w:rPr>
        <w:t>עדויות המתלוננות היו עדויות כבושות, ובמקרה דנן לא בכדי הינן "כבושות" אלא הן ניתנו בכדי להשיג מטרה מסויימת - מטרה כספית.</w:t>
      </w:r>
    </w:p>
    <w:p w14:paraId="3B030F21" w14:textId="77777777" w:rsidR="006B0F3C" w:rsidRDefault="006B0F3C">
      <w:pPr>
        <w:rPr>
          <w:rFonts w:hint="cs"/>
          <w:rtl/>
        </w:rPr>
      </w:pPr>
      <w:r>
        <w:rPr>
          <w:rFonts w:hint="cs"/>
          <w:rtl/>
        </w:rPr>
        <w:t xml:space="preserve">כן, נמצאו סתירות רבות בדברי המתלוננות לעומת דבריהם של עדים אחרים ובסופו של יום עומדות למעשה 2 גירסאות לגבי האירועים: מחד, גירסת המתלוננות - בדבר הטרדה מינית מאת הנאשם, ומאידך גירסת הנאשם שלא היו דברים מעולם. </w:t>
      </w:r>
    </w:p>
    <w:p w14:paraId="7F68360F" w14:textId="77777777" w:rsidR="006B0F3C" w:rsidRDefault="006B0F3C">
      <w:pPr>
        <w:rPr>
          <w:rFonts w:hint="cs"/>
          <w:rtl/>
        </w:rPr>
      </w:pPr>
    </w:p>
    <w:p w14:paraId="5BEECBD1" w14:textId="77777777" w:rsidR="006B0F3C" w:rsidRDefault="006B0F3C">
      <w:pPr>
        <w:rPr>
          <w:rFonts w:hint="cs"/>
          <w:rtl/>
        </w:rPr>
      </w:pPr>
      <w:r>
        <w:rPr>
          <w:rFonts w:hint="cs"/>
          <w:rtl/>
        </w:rPr>
        <w:t xml:space="preserve">מאחר והנאשם והמתלוננות היו העדים היחידים לאירועים שנטענו על ידי המתלוננות, עלי לקבוע אלו מהגירסאות זו של הנאשם או זו של המתלוננות עדיפה עלי. </w:t>
      </w:r>
    </w:p>
    <w:p w14:paraId="730E0031" w14:textId="77777777" w:rsidR="006B0F3C" w:rsidRDefault="006B0F3C">
      <w:pPr>
        <w:rPr>
          <w:rFonts w:hint="cs"/>
          <w:rtl/>
        </w:rPr>
      </w:pPr>
      <w:r>
        <w:rPr>
          <w:rFonts w:hint="cs"/>
          <w:rtl/>
        </w:rPr>
        <w:t xml:space="preserve">שלא כמו בדין האזרחי שם די בהסתברות גבוהה יותר של גירסה אחת במאזן ההסתברויות, בדין הפלילי נדרשת לצורך הרשעת אדם בפלילים רמת וודאות גבוהה בהרבה - מעבר לכל ספק סביר, כאשר אין מסתפקים למעשה בעדות או גירסה אחת אלא נתמכים בראיות ועדיות בין ישירות ובין עקיפות או נמצאים דברים לחיזוק הגירסאות. </w:t>
      </w:r>
    </w:p>
    <w:p w14:paraId="7B2A4DE2" w14:textId="77777777" w:rsidR="006B0F3C" w:rsidRDefault="006B0F3C">
      <w:pPr>
        <w:rPr>
          <w:rFonts w:hint="cs"/>
          <w:rtl/>
        </w:rPr>
      </w:pPr>
    </w:p>
    <w:p w14:paraId="20FAE17F" w14:textId="77777777" w:rsidR="006B0F3C" w:rsidRDefault="00CA62C4">
      <w:pPr>
        <w:rPr>
          <w:rFonts w:hint="cs"/>
          <w:rtl/>
        </w:rPr>
      </w:pPr>
      <w:hyperlink r:id="rId40" w:history="1">
        <w:r w:rsidRPr="00CA62C4">
          <w:rPr>
            <w:rStyle w:val="Hyperlink"/>
            <w:rFonts w:hint="eastAsia"/>
            <w:color w:val="0000FF"/>
            <w:rtl/>
          </w:rPr>
          <w:t>סעיף</w:t>
        </w:r>
        <w:r w:rsidRPr="00CA62C4">
          <w:rPr>
            <w:rStyle w:val="Hyperlink"/>
            <w:color w:val="0000FF"/>
            <w:rtl/>
          </w:rPr>
          <w:t xml:space="preserve"> 34כב'</w:t>
        </w:r>
      </w:hyperlink>
      <w:r w:rsidR="006B0F3C">
        <w:rPr>
          <w:rFonts w:hint="cs"/>
          <w:rtl/>
        </w:rPr>
        <w:t xml:space="preserve"> ל</w:t>
      </w:r>
      <w:hyperlink r:id="rId41" w:history="1">
        <w:r w:rsidRPr="00CA62C4">
          <w:rPr>
            <w:rStyle w:val="Hyperlink"/>
            <w:rFonts w:hint="eastAsia"/>
            <w:color w:val="0000FF"/>
            <w:rtl/>
          </w:rPr>
          <w:t>חוק</w:t>
        </w:r>
        <w:r w:rsidRPr="00CA62C4">
          <w:rPr>
            <w:rStyle w:val="Hyperlink"/>
            <w:color w:val="0000FF"/>
            <w:rtl/>
          </w:rPr>
          <w:t xml:space="preserve"> העונשין</w:t>
        </w:r>
      </w:hyperlink>
      <w:r w:rsidR="006B0F3C">
        <w:rPr>
          <w:rFonts w:hint="cs"/>
          <w:rtl/>
        </w:rPr>
        <w:t>, התשל"ז-1977, קובע:</w:t>
      </w:r>
    </w:p>
    <w:p w14:paraId="53A98B7E" w14:textId="77777777" w:rsidR="006B0F3C" w:rsidRDefault="006B0F3C">
      <w:pPr>
        <w:rPr>
          <w:rFonts w:hint="cs"/>
          <w:rtl/>
        </w:rPr>
      </w:pPr>
    </w:p>
    <w:p w14:paraId="2A59501E" w14:textId="77777777" w:rsidR="006B0F3C" w:rsidRDefault="006B0F3C">
      <w:pPr>
        <w:pStyle w:val="a1"/>
        <w:rPr>
          <w:rFonts w:hint="cs"/>
          <w:rtl/>
        </w:rPr>
      </w:pPr>
      <w:r>
        <w:rPr>
          <w:rFonts w:hint="cs"/>
          <w:rtl/>
        </w:rPr>
        <w:t xml:space="preserve">"(א) לא יישא אדם באחריות פלילית לעבירה אלא אם כן הוכחה מעבר לספק סביר. </w:t>
      </w:r>
    </w:p>
    <w:p w14:paraId="3F636597" w14:textId="77777777" w:rsidR="006B0F3C" w:rsidRDefault="006B0F3C">
      <w:pPr>
        <w:pStyle w:val="a1"/>
        <w:rPr>
          <w:rFonts w:hint="cs"/>
          <w:rtl/>
        </w:rPr>
      </w:pPr>
      <w:r>
        <w:rPr>
          <w:rFonts w:hint="cs"/>
          <w:rtl/>
        </w:rPr>
        <w:t xml:space="preserve">  (ב) התעורר ספק סביר שמא קיים סייג לאחריות פלילית, והספק לא הוסר, יחול </w:t>
      </w:r>
      <w:r>
        <w:rPr>
          <w:rFonts w:hint="cs"/>
          <w:rtl/>
        </w:rPr>
        <w:br/>
        <w:t xml:space="preserve">        הסייג".</w:t>
      </w:r>
    </w:p>
    <w:p w14:paraId="633D31C3" w14:textId="77777777" w:rsidR="006B0F3C" w:rsidRDefault="006B0F3C">
      <w:pPr>
        <w:pStyle w:val="a1"/>
        <w:rPr>
          <w:rFonts w:hint="cs"/>
          <w:rtl/>
        </w:rPr>
      </w:pPr>
    </w:p>
    <w:p w14:paraId="3DAAF2DC" w14:textId="77777777" w:rsidR="006B0F3C" w:rsidRDefault="006B0F3C">
      <w:pPr>
        <w:pStyle w:val="a1"/>
        <w:rPr>
          <w:rFonts w:hint="cs"/>
          <w:rtl/>
        </w:rPr>
      </w:pPr>
    </w:p>
    <w:p w14:paraId="6233C6C6" w14:textId="77777777" w:rsidR="006B0F3C" w:rsidRDefault="006B0F3C">
      <w:pPr>
        <w:rPr>
          <w:rFonts w:hint="cs"/>
          <w:rtl/>
        </w:rPr>
      </w:pPr>
      <w:r>
        <w:rPr>
          <w:rFonts w:hint="cs"/>
          <w:rtl/>
        </w:rPr>
        <w:t xml:space="preserve">בעבירות מין מאחר והמעשים נעשים ביחידות ולרוב אין ראיות נוספות לחיזוק העמדות, התייחס ביהמ"ש העליון לבעייתיות ההרשעה והזיכוי בעבירות אלו </w:t>
      </w:r>
      <w:r>
        <w:rPr>
          <w:rFonts w:hint="cs"/>
          <w:u w:val="single"/>
          <w:rtl/>
        </w:rPr>
        <w:t>ב</w:t>
      </w:r>
      <w:hyperlink r:id="rId42" w:history="1">
        <w:r w:rsidR="00EE30DB" w:rsidRPr="00EE30DB">
          <w:rPr>
            <w:rStyle w:val="Hyperlink"/>
            <w:rFonts w:hint="eastAsia"/>
            <w:color w:val="0000FF"/>
            <w:rtl/>
          </w:rPr>
          <w:t>ע</w:t>
        </w:r>
        <w:r w:rsidR="00EE30DB" w:rsidRPr="00EE30DB">
          <w:rPr>
            <w:rStyle w:val="Hyperlink"/>
            <w:color w:val="0000FF"/>
            <w:rtl/>
          </w:rPr>
          <w:t>"פ 288/88</w:t>
        </w:r>
      </w:hyperlink>
      <w:r>
        <w:rPr>
          <w:rFonts w:hint="cs"/>
          <w:u w:val="single"/>
          <w:rtl/>
        </w:rPr>
        <w:t>, סעיד גנדור נ' מ"י,</w:t>
      </w:r>
      <w:r>
        <w:rPr>
          <w:rFonts w:hint="cs"/>
          <w:rtl/>
        </w:rPr>
        <w:t xml:space="preserve"> פ"ד מב(4) 45, בעמ' 48 באומרו:</w:t>
      </w:r>
    </w:p>
    <w:p w14:paraId="775D867F" w14:textId="77777777" w:rsidR="006B0F3C" w:rsidRDefault="006B0F3C">
      <w:pPr>
        <w:rPr>
          <w:rFonts w:hint="cs"/>
          <w:rtl/>
        </w:rPr>
      </w:pPr>
    </w:p>
    <w:p w14:paraId="59FDBDE8" w14:textId="77777777" w:rsidR="006B0F3C" w:rsidRDefault="006B0F3C">
      <w:pPr>
        <w:pStyle w:val="a1"/>
        <w:rPr>
          <w:rFonts w:hint="cs"/>
          <w:rtl/>
        </w:rPr>
      </w:pPr>
      <w:r>
        <w:rPr>
          <w:rFonts w:hint="cs"/>
          <w:rtl/>
        </w:rPr>
        <w:t>"עבירות מין זכו בפקודה (</w:t>
      </w:r>
      <w:hyperlink r:id="rId43" w:history="1">
        <w:r w:rsidR="00CA62C4" w:rsidRPr="00CA62C4">
          <w:rPr>
            <w:rStyle w:val="Hyperlink"/>
            <w:rFonts w:hint="eastAsia"/>
            <w:color w:val="0000FF"/>
            <w:rtl/>
          </w:rPr>
          <w:t>פקודת</w:t>
        </w:r>
        <w:r w:rsidR="00CA62C4" w:rsidRPr="00CA62C4">
          <w:rPr>
            <w:rStyle w:val="Hyperlink"/>
            <w:color w:val="0000FF"/>
            <w:rtl/>
          </w:rPr>
          <w:t xml:space="preserve"> הראיות</w:t>
        </w:r>
      </w:hyperlink>
      <w:r>
        <w:rPr>
          <w:rFonts w:hint="cs"/>
          <w:rtl/>
        </w:rPr>
        <w:t xml:space="preserve"> [נוסח חדש] תשל"א-1971) להתייחסות מיוחדת, הנובעת מעצם טיבן וייחודן: עבירות אלה מבוצעות בצנעה ובלי שהיה בדרך כלל אפשרות להעיד ראיה להתרחשויות. מאפיין זה שתי פנים לו: מחד גיסא יקשה על קורבן של עבירות מין למצוא עדים שיעידו ויחזקו את גרסתו , ומאידך גיסא עלול "קורבן" כביכול בעבירות מין לטפול עלילת שווא, בעוד ש"החשוד" יתקשה להתגונן כלפיה אם לא תידרש תוספת לעדות הקורבן".</w:t>
      </w:r>
    </w:p>
    <w:p w14:paraId="766B4C36" w14:textId="77777777" w:rsidR="006B0F3C" w:rsidRDefault="006B0F3C">
      <w:pPr>
        <w:rPr>
          <w:rFonts w:hint="cs"/>
          <w:b/>
          <w:bCs/>
          <w:rtl/>
        </w:rPr>
      </w:pPr>
      <w:r>
        <w:rPr>
          <w:rFonts w:hint="cs"/>
          <w:b/>
          <w:bCs/>
          <w:rtl/>
        </w:rPr>
        <w:t xml:space="preserve"> </w:t>
      </w:r>
    </w:p>
    <w:p w14:paraId="0D57B925" w14:textId="77777777" w:rsidR="006B0F3C" w:rsidRDefault="006B0F3C">
      <w:pPr>
        <w:rPr>
          <w:rFonts w:hint="cs"/>
          <w:rtl/>
        </w:rPr>
      </w:pPr>
      <w:r>
        <w:rPr>
          <w:rFonts w:hint="cs"/>
          <w:rtl/>
        </w:rPr>
        <w:t xml:space="preserve">עפ"י </w:t>
      </w:r>
      <w:hyperlink r:id="rId44" w:history="1">
        <w:r w:rsidR="00CA62C4" w:rsidRPr="00CA62C4">
          <w:rPr>
            <w:rStyle w:val="Hyperlink"/>
            <w:rFonts w:hint="eastAsia"/>
            <w:color w:val="0000FF"/>
            <w:rtl/>
          </w:rPr>
          <w:t>סעיף</w:t>
        </w:r>
        <w:r w:rsidR="00CA62C4" w:rsidRPr="00CA62C4">
          <w:rPr>
            <w:rStyle w:val="Hyperlink"/>
            <w:color w:val="0000FF"/>
            <w:rtl/>
          </w:rPr>
          <w:t xml:space="preserve"> 53</w:t>
        </w:r>
      </w:hyperlink>
      <w:r>
        <w:rPr>
          <w:rFonts w:hint="cs"/>
          <w:rtl/>
        </w:rPr>
        <w:t xml:space="preserve"> ל</w:t>
      </w:r>
      <w:hyperlink r:id="rId45" w:history="1">
        <w:r w:rsidR="00CA62C4" w:rsidRPr="00CA62C4">
          <w:rPr>
            <w:rStyle w:val="Hyperlink"/>
            <w:rFonts w:hint="eastAsia"/>
            <w:color w:val="0000FF"/>
            <w:rtl/>
          </w:rPr>
          <w:t>פקודת</w:t>
        </w:r>
        <w:r w:rsidR="00CA62C4" w:rsidRPr="00CA62C4">
          <w:rPr>
            <w:rStyle w:val="Hyperlink"/>
            <w:color w:val="0000FF"/>
            <w:rtl/>
          </w:rPr>
          <w:t xml:space="preserve"> הראיות</w:t>
        </w:r>
      </w:hyperlink>
      <w:r>
        <w:rPr>
          <w:rFonts w:hint="cs"/>
          <w:rtl/>
        </w:rPr>
        <w:t xml:space="preserve"> [נוסח חדש] תשל"א-1971:</w:t>
      </w:r>
    </w:p>
    <w:p w14:paraId="796667ED" w14:textId="77777777" w:rsidR="006B0F3C" w:rsidRDefault="006B0F3C">
      <w:pPr>
        <w:rPr>
          <w:rFonts w:hint="cs"/>
          <w:rtl/>
        </w:rPr>
      </w:pPr>
    </w:p>
    <w:p w14:paraId="68ADE4BC" w14:textId="77777777" w:rsidR="006B0F3C" w:rsidRDefault="006B0F3C">
      <w:pPr>
        <w:pStyle w:val="a1"/>
        <w:rPr>
          <w:rFonts w:hint="cs"/>
          <w:rtl/>
        </w:rPr>
      </w:pPr>
      <w:r>
        <w:rPr>
          <w:rFonts w:hint="cs"/>
          <w:rtl/>
        </w:rPr>
        <w:t>"ערכה של עדות בעל פה ומהימנותם של עדים הם עניין של ביהמ"ש להחליט בו על פי התנהגותם של העדים, נסיבות העניין ואותות האמת המתגלים בהמשך המשפט".</w:t>
      </w:r>
    </w:p>
    <w:p w14:paraId="722CE107" w14:textId="77777777" w:rsidR="006B0F3C" w:rsidRDefault="006B0F3C">
      <w:pPr>
        <w:pStyle w:val="a5"/>
        <w:rPr>
          <w:rFonts w:hint="cs"/>
          <w:rtl/>
        </w:rPr>
      </w:pPr>
    </w:p>
    <w:p w14:paraId="3EC1B67D" w14:textId="77777777" w:rsidR="006B0F3C" w:rsidRDefault="006B0F3C">
      <w:pPr>
        <w:rPr>
          <w:rFonts w:hint="cs"/>
          <w:rtl/>
        </w:rPr>
      </w:pPr>
      <w:r>
        <w:rPr>
          <w:rFonts w:hint="cs"/>
          <w:rtl/>
        </w:rPr>
        <w:t>מכאן, שראשית יש לבחון את הגרעין הקשה של האירועים והתמונה הכללית המתקבלת מן העדות והחיזוקים לה בכדי להסיק על אשמתו של הנאשם מעל לכל ספק סביר.</w:t>
      </w:r>
    </w:p>
    <w:p w14:paraId="2882B772" w14:textId="77777777" w:rsidR="006B0F3C" w:rsidRDefault="006B0F3C">
      <w:pPr>
        <w:rPr>
          <w:rFonts w:hint="cs"/>
          <w:rtl/>
        </w:rPr>
      </w:pPr>
      <w:r>
        <w:rPr>
          <w:rFonts w:hint="cs"/>
          <w:rtl/>
        </w:rPr>
        <w:t xml:space="preserve">ניסיון החיים מלמד כי עדות נעדרת פגמים היא מקרה נדיר ואילו סתירות הנוגעות בפרטים שוליים מצביעות דווקא על טעות אנושית ואינן מטילות דופי במהימנות של עד (ראה דברי הנשיא שמגר </w:t>
      </w:r>
      <w:r>
        <w:rPr>
          <w:rFonts w:hint="cs"/>
          <w:u w:val="single"/>
          <w:rtl/>
        </w:rPr>
        <w:t>ב</w:t>
      </w:r>
      <w:hyperlink r:id="rId46" w:history="1">
        <w:r w:rsidR="00EE30DB" w:rsidRPr="00EE30DB">
          <w:rPr>
            <w:rStyle w:val="Hyperlink"/>
            <w:rFonts w:hint="eastAsia"/>
            <w:color w:val="0000FF"/>
            <w:rtl/>
          </w:rPr>
          <w:t>ע</w:t>
        </w:r>
        <w:r w:rsidR="00EE30DB" w:rsidRPr="00EE30DB">
          <w:rPr>
            <w:rStyle w:val="Hyperlink"/>
            <w:color w:val="0000FF"/>
            <w:rtl/>
          </w:rPr>
          <w:t>"פ 5612/92</w:t>
        </w:r>
      </w:hyperlink>
      <w:r>
        <w:rPr>
          <w:rFonts w:hint="cs"/>
          <w:u w:val="single"/>
          <w:rtl/>
        </w:rPr>
        <w:t>, מ"י נ' בארי ואח',</w:t>
      </w:r>
      <w:r>
        <w:rPr>
          <w:rFonts w:hint="cs"/>
          <w:rtl/>
        </w:rPr>
        <w:t xml:space="preserve"> פ"ד מח(1) 302, 317).</w:t>
      </w:r>
    </w:p>
    <w:p w14:paraId="39C468AE" w14:textId="77777777" w:rsidR="006B0F3C" w:rsidRDefault="006B0F3C">
      <w:pPr>
        <w:pStyle w:val="a5"/>
        <w:rPr>
          <w:rFonts w:hint="cs"/>
          <w:rtl/>
        </w:rPr>
      </w:pPr>
    </w:p>
    <w:p w14:paraId="3EF0B400" w14:textId="77777777" w:rsidR="006B0F3C" w:rsidRDefault="006B0F3C">
      <w:pPr>
        <w:rPr>
          <w:rFonts w:hint="cs"/>
          <w:rtl/>
        </w:rPr>
      </w:pPr>
      <w:r>
        <w:rPr>
          <w:rFonts w:hint="cs"/>
          <w:rtl/>
        </w:rPr>
        <w:t xml:space="preserve">באשר לטענת התביעה כי יש לראות בעדויות של  שתי המתלוננות, בשני האישומים כמחזקות זו את זו. כלומר, זו טענה של שיטה מצד הנאשם או "מעשים דומים", אשר יש בהם כדי לחזק אחת את עדות השניה. </w:t>
      </w:r>
    </w:p>
    <w:p w14:paraId="33364735" w14:textId="77777777" w:rsidR="006B0F3C" w:rsidRDefault="006B0F3C">
      <w:pPr>
        <w:rPr>
          <w:rFonts w:hint="cs"/>
          <w:rtl/>
        </w:rPr>
      </w:pPr>
      <w:r>
        <w:rPr>
          <w:rFonts w:hint="cs"/>
          <w:rtl/>
        </w:rPr>
        <w:t>לשיטתי, אין כך הדברים, בכל אחד מהאישומים חומר הראיות אינו "בטוח" מספיק כדי להשתית עליו מסקנה לחובת הנאשם.</w:t>
      </w:r>
    </w:p>
    <w:p w14:paraId="4456829D" w14:textId="77777777" w:rsidR="006B0F3C" w:rsidRDefault="006B0F3C">
      <w:pPr>
        <w:rPr>
          <w:rFonts w:hint="cs"/>
          <w:rtl/>
        </w:rPr>
      </w:pPr>
    </w:p>
    <w:p w14:paraId="45DD8A04" w14:textId="77777777" w:rsidR="006B0F3C" w:rsidRDefault="006B0F3C">
      <w:pPr>
        <w:rPr>
          <w:rFonts w:hint="cs"/>
          <w:rtl/>
        </w:rPr>
      </w:pPr>
      <w:r>
        <w:rPr>
          <w:rFonts w:hint="cs"/>
          <w:rtl/>
        </w:rPr>
        <w:t xml:space="preserve">ובנסיבות אלה, לא ניתן להיעזר באישום "לא מספק" אחד, כדי שיחזק אישום אחר ויביא כדי הרשעה באישום שני שאינו מספק, כך שיש לבחון כל עדות של מתלוננת בנפרד ולבחון אם יש בה כדי להביא להרשעת הנאשם. </w:t>
      </w:r>
    </w:p>
    <w:p w14:paraId="5F049225" w14:textId="77777777" w:rsidR="006B0F3C" w:rsidRDefault="006B0F3C">
      <w:pPr>
        <w:rPr>
          <w:rFonts w:hint="cs"/>
          <w:rtl/>
        </w:rPr>
      </w:pPr>
    </w:p>
    <w:p w14:paraId="4D677559" w14:textId="77777777" w:rsidR="006B0F3C" w:rsidRDefault="006B0F3C">
      <w:pPr>
        <w:rPr>
          <w:rFonts w:hint="cs"/>
          <w:rtl/>
        </w:rPr>
      </w:pPr>
      <w:r>
        <w:rPr>
          <w:rFonts w:hint="cs"/>
          <w:rtl/>
        </w:rPr>
        <w:t xml:space="preserve">עפ"י </w:t>
      </w:r>
      <w:hyperlink r:id="rId47" w:history="1">
        <w:r w:rsidR="00CA62C4" w:rsidRPr="00CA62C4">
          <w:rPr>
            <w:rStyle w:val="Hyperlink"/>
            <w:rFonts w:hint="eastAsia"/>
            <w:color w:val="0000FF"/>
            <w:rtl/>
          </w:rPr>
          <w:t>פקודת</w:t>
        </w:r>
        <w:r w:rsidR="00CA62C4" w:rsidRPr="00CA62C4">
          <w:rPr>
            <w:rStyle w:val="Hyperlink"/>
            <w:color w:val="0000FF"/>
            <w:rtl/>
          </w:rPr>
          <w:t xml:space="preserve"> הראיות</w:t>
        </w:r>
      </w:hyperlink>
      <w:r>
        <w:rPr>
          <w:rFonts w:hint="cs"/>
          <w:rtl/>
        </w:rPr>
        <w:t xml:space="preserve"> ב</w:t>
      </w:r>
      <w:hyperlink r:id="rId48" w:history="1">
        <w:r w:rsidR="00CA62C4" w:rsidRPr="00CA62C4">
          <w:rPr>
            <w:rStyle w:val="Hyperlink"/>
            <w:rFonts w:hint="eastAsia"/>
            <w:color w:val="0000FF"/>
            <w:rtl/>
          </w:rPr>
          <w:t>סע</w:t>
        </w:r>
        <w:r w:rsidR="00CA62C4" w:rsidRPr="00CA62C4">
          <w:rPr>
            <w:rStyle w:val="Hyperlink"/>
            <w:color w:val="0000FF"/>
            <w:rtl/>
          </w:rPr>
          <w:t>' 54א'(ב)</w:t>
        </w:r>
      </w:hyperlink>
      <w:r>
        <w:rPr>
          <w:rFonts w:hint="cs"/>
          <w:rtl/>
        </w:rPr>
        <w:t>, ביהמ"ש יכול לסמוך על עדות יחידה של מתלוננת ובלבד שיפרט מה ראה לעשות כן. ביהמ"ש צריך לפרט ולנמק את מסקנותיו על סמך נסיבות אובייקטיביות חיצוניות:</w:t>
      </w:r>
    </w:p>
    <w:p w14:paraId="150DC45B" w14:textId="77777777" w:rsidR="006B0F3C" w:rsidRDefault="006B0F3C">
      <w:pPr>
        <w:rPr>
          <w:rFonts w:hint="cs"/>
          <w:rtl/>
        </w:rPr>
      </w:pPr>
    </w:p>
    <w:p w14:paraId="4C32958C" w14:textId="77777777" w:rsidR="006B0F3C" w:rsidRDefault="006B0F3C">
      <w:pPr>
        <w:pStyle w:val="a1"/>
        <w:rPr>
          <w:rFonts w:hint="cs"/>
          <w:b w:val="0"/>
          <w:bCs w:val="0"/>
          <w:rtl/>
        </w:rPr>
      </w:pPr>
      <w:r>
        <w:rPr>
          <w:rFonts w:hint="cs"/>
          <w:rtl/>
        </w:rPr>
        <w:t xml:space="preserve">"ההנמקה חייבת להיות "ממשית", דוגמת זו הדרושה לפי סע' 54 לפקודה במישור האזרחי וככל שהעדות העיקרית "חלשה" יותר תידרש הנמקה "ממשית" יותר" </w:t>
      </w:r>
      <w:r>
        <w:rPr>
          <w:rFonts w:hint="cs"/>
          <w:b w:val="0"/>
          <w:bCs w:val="0"/>
          <w:rtl/>
        </w:rPr>
        <w:t xml:space="preserve">(מספרו של י. קדמי "על הראיות", חלק </w:t>
      </w:r>
      <w:r>
        <w:rPr>
          <w:b w:val="0"/>
          <w:bCs w:val="0"/>
        </w:rPr>
        <w:t>I</w:t>
      </w:r>
      <w:r>
        <w:rPr>
          <w:rFonts w:hint="cs"/>
          <w:b w:val="0"/>
          <w:bCs w:val="0"/>
          <w:rtl/>
        </w:rPr>
        <w:t xml:space="preserve"> עמ' 187 וחלק עדכון והשלמה עמ' 13).</w:t>
      </w:r>
    </w:p>
    <w:p w14:paraId="4BA0086E" w14:textId="77777777" w:rsidR="006B0F3C" w:rsidRDefault="006B0F3C">
      <w:pPr>
        <w:pStyle w:val="a1"/>
        <w:rPr>
          <w:rFonts w:hint="cs"/>
          <w:rtl/>
        </w:rPr>
      </w:pPr>
    </w:p>
    <w:p w14:paraId="5570455E" w14:textId="77777777" w:rsidR="006B0F3C" w:rsidRDefault="006B0F3C">
      <w:pPr>
        <w:pStyle w:val="a1"/>
        <w:rPr>
          <w:rFonts w:hint="cs"/>
          <w:rtl/>
        </w:rPr>
      </w:pPr>
    </w:p>
    <w:p w14:paraId="4F220615" w14:textId="77777777" w:rsidR="006B0F3C" w:rsidRDefault="006B0F3C">
      <w:pPr>
        <w:rPr>
          <w:rFonts w:hint="cs"/>
          <w:b/>
          <w:bCs/>
          <w:rtl/>
        </w:rPr>
      </w:pPr>
      <w:r>
        <w:rPr>
          <w:rFonts w:hint="cs"/>
          <w:rtl/>
        </w:rPr>
        <w:t xml:space="preserve">ויותר מכך, גם אם ביהמ"ש אינו קובע בוודאות שגירסת הנאשם בשקר יסודה ומסתפק בקביעה: </w:t>
      </w:r>
      <w:r>
        <w:rPr>
          <w:rFonts w:hint="cs"/>
          <w:b/>
          <w:bCs/>
          <w:rtl/>
        </w:rPr>
        <w:t>"... העדפתי את גירסת המתלוננת על פני גירסתו של הנאשם".</w:t>
      </w:r>
    </w:p>
    <w:p w14:paraId="675032C9" w14:textId="77777777" w:rsidR="006B0F3C" w:rsidRDefault="006B0F3C">
      <w:pPr>
        <w:rPr>
          <w:rFonts w:hint="cs"/>
          <w:rtl/>
        </w:rPr>
      </w:pPr>
      <w:r>
        <w:rPr>
          <w:rFonts w:hint="cs"/>
          <w:rtl/>
        </w:rPr>
        <w:t xml:space="preserve">קביעה זו שניתן לבסס עליה הכרעה במשפט אזרחי, אינה מספיקה לביסוס הרשעה בפלילים (מתוך </w:t>
      </w:r>
      <w:hyperlink r:id="rId49" w:history="1">
        <w:r w:rsidR="00EE30DB" w:rsidRPr="00EE30DB">
          <w:rPr>
            <w:rStyle w:val="Hyperlink"/>
            <w:rFonts w:hint="eastAsia"/>
            <w:color w:val="0000FF"/>
            <w:rtl/>
          </w:rPr>
          <w:t>ע</w:t>
        </w:r>
        <w:r w:rsidR="00EE30DB" w:rsidRPr="00EE30DB">
          <w:rPr>
            <w:rStyle w:val="Hyperlink"/>
            <w:color w:val="0000FF"/>
            <w:rtl/>
          </w:rPr>
          <w:t>.פ. 5424/91</w:t>
        </w:r>
      </w:hyperlink>
      <w:r>
        <w:rPr>
          <w:rFonts w:hint="cs"/>
          <w:u w:val="single"/>
          <w:rtl/>
        </w:rPr>
        <w:t>, פלוני נ' מ"י</w:t>
      </w:r>
      <w:r>
        <w:rPr>
          <w:rFonts w:hint="cs"/>
          <w:rtl/>
        </w:rPr>
        <w:t>, מו(4) 499).</w:t>
      </w:r>
    </w:p>
    <w:p w14:paraId="0AB93D16" w14:textId="77777777" w:rsidR="006B0F3C" w:rsidRDefault="006B0F3C">
      <w:pPr>
        <w:rPr>
          <w:rFonts w:hint="cs"/>
          <w:rtl/>
        </w:rPr>
      </w:pPr>
    </w:p>
    <w:p w14:paraId="7F693653" w14:textId="77777777" w:rsidR="006B0F3C" w:rsidRDefault="006B0F3C">
      <w:pPr>
        <w:rPr>
          <w:rFonts w:hint="cs"/>
          <w:rtl/>
        </w:rPr>
      </w:pPr>
      <w:r>
        <w:rPr>
          <w:rFonts w:hint="cs"/>
          <w:rtl/>
        </w:rPr>
        <w:t xml:space="preserve">דרישת ההנמקה באה על סיפוקה במקום שבו נמצא "חיזוק" למסקנות השופט בעדויות האחרות שהיו לפניו. </w:t>
      </w:r>
    </w:p>
    <w:p w14:paraId="02561D58" w14:textId="77777777" w:rsidR="006B0F3C" w:rsidRDefault="006B0F3C">
      <w:pPr>
        <w:rPr>
          <w:rFonts w:hint="cs"/>
          <w:rtl/>
        </w:rPr>
      </w:pPr>
      <w:r>
        <w:rPr>
          <w:rFonts w:hint="cs"/>
          <w:rtl/>
        </w:rPr>
        <w:t xml:space="preserve">דגש מיוחד ניתן בהקשר זה להתרשמות ביהמ"ש ממהימנות עדותה של המתלוננת וכאשר זו נתמכת בראיה חיצונית - די בה כדי לספק את דרישת ההנמקה. </w:t>
      </w:r>
    </w:p>
    <w:p w14:paraId="3CB070F1" w14:textId="77777777" w:rsidR="006B0F3C" w:rsidRDefault="006B0F3C">
      <w:pPr>
        <w:rPr>
          <w:rFonts w:hint="cs"/>
          <w:rtl/>
        </w:rPr>
      </w:pPr>
    </w:p>
    <w:p w14:paraId="57E99B54" w14:textId="77777777" w:rsidR="006B0F3C" w:rsidRDefault="006B0F3C">
      <w:pPr>
        <w:rPr>
          <w:rFonts w:hint="cs"/>
          <w:rtl/>
        </w:rPr>
      </w:pPr>
    </w:p>
    <w:p w14:paraId="37F8C4D3" w14:textId="77777777" w:rsidR="006B0F3C" w:rsidRDefault="006B0F3C">
      <w:pPr>
        <w:rPr>
          <w:rFonts w:hint="cs"/>
          <w:rtl/>
        </w:rPr>
      </w:pPr>
    </w:p>
    <w:p w14:paraId="5DA3AE4A" w14:textId="77777777" w:rsidR="006B0F3C" w:rsidRDefault="006B0F3C">
      <w:pPr>
        <w:rPr>
          <w:rFonts w:hint="cs"/>
          <w:rtl/>
        </w:rPr>
      </w:pPr>
    </w:p>
    <w:p w14:paraId="6B622C57" w14:textId="77777777" w:rsidR="006B0F3C" w:rsidRDefault="006B0F3C">
      <w:pPr>
        <w:rPr>
          <w:rFonts w:hint="cs"/>
          <w:rtl/>
        </w:rPr>
      </w:pPr>
      <w:r>
        <w:rPr>
          <w:rFonts w:hint="cs"/>
          <w:rtl/>
        </w:rPr>
        <w:t xml:space="preserve">במקרה שלפנינו, לא רק שאין עדות מתלוננת אחת יכולה להוות חיזוק למתלוננת שניה, אין 2 התלונות עומדות כל אחת בפני עצמה עד כדי הרשעת הנאשם באישומים שעל פיהן, מאחר והן כשלעצמן נראות לי מכוונות ומגמתיות להשיג תועלת כספית ולהביא לסילוק הנאשם מבית האבות, מה גם שלא נמצא להן "חיזוק" או אפשרות הנמקה מראיות או עדויות אובייקטיביות אחרות. </w:t>
      </w:r>
    </w:p>
    <w:p w14:paraId="304BEF2E" w14:textId="77777777" w:rsidR="006B0F3C" w:rsidRDefault="006B0F3C">
      <w:pPr>
        <w:rPr>
          <w:rFonts w:hint="cs"/>
          <w:rtl/>
        </w:rPr>
      </w:pPr>
    </w:p>
    <w:p w14:paraId="6C238F00" w14:textId="77777777" w:rsidR="006B0F3C" w:rsidRDefault="006B0F3C">
      <w:pPr>
        <w:rPr>
          <w:rFonts w:hint="cs"/>
          <w:rtl/>
        </w:rPr>
      </w:pPr>
      <w:r>
        <w:rPr>
          <w:rFonts w:hint="cs"/>
          <w:rtl/>
        </w:rPr>
        <w:t xml:space="preserve">וכפי שנפסק מפי כב' השופט צ.א. טל, </w:t>
      </w:r>
      <w:r>
        <w:rPr>
          <w:rFonts w:hint="cs"/>
          <w:u w:val="single"/>
          <w:rtl/>
        </w:rPr>
        <w:t>ב</w:t>
      </w:r>
      <w:hyperlink r:id="rId50" w:history="1">
        <w:r w:rsidR="00EE30DB" w:rsidRPr="00EE30DB">
          <w:rPr>
            <w:rStyle w:val="Hyperlink"/>
            <w:rFonts w:hint="eastAsia"/>
            <w:color w:val="0000FF"/>
            <w:rtl/>
          </w:rPr>
          <w:t>ע</w:t>
        </w:r>
        <w:r w:rsidR="00EE30DB" w:rsidRPr="00EE30DB">
          <w:rPr>
            <w:rStyle w:val="Hyperlink"/>
            <w:color w:val="0000FF"/>
            <w:rtl/>
          </w:rPr>
          <w:t>.פ. 6378/95</w:t>
        </w:r>
      </w:hyperlink>
      <w:r>
        <w:rPr>
          <w:rFonts w:hint="cs"/>
          <w:u w:val="single"/>
          <w:rtl/>
        </w:rPr>
        <w:t>, אליהו בן אדנפא ברוך נ' מ"י</w:t>
      </w:r>
      <w:r>
        <w:rPr>
          <w:rFonts w:hint="cs"/>
          <w:rtl/>
        </w:rPr>
        <w:t>, מט(5) 278:</w:t>
      </w:r>
    </w:p>
    <w:p w14:paraId="2B31E44B" w14:textId="77777777" w:rsidR="006B0F3C" w:rsidRDefault="006B0F3C">
      <w:pPr>
        <w:rPr>
          <w:rFonts w:hint="cs"/>
          <w:rtl/>
        </w:rPr>
      </w:pPr>
    </w:p>
    <w:p w14:paraId="340FDD4D" w14:textId="77777777" w:rsidR="006B0F3C" w:rsidRDefault="006B0F3C">
      <w:pPr>
        <w:pStyle w:val="a1"/>
        <w:rPr>
          <w:rFonts w:hint="cs"/>
          <w:rtl/>
        </w:rPr>
      </w:pPr>
      <w:r>
        <w:rPr>
          <w:rFonts w:hint="cs"/>
          <w:rtl/>
        </w:rPr>
        <w:t>"יש לזכור שלאחר שהוסף סעיף 54א'... ובוטל הצורך בסיוע לעדות יחידה בעבירת מין, דרושה זהירות שלא יורשע אדם חף מפשע. נראה לי שלא יהיה זה בטוח להשתית את הרשעת המערער על עדותה היחידה של המתלוננת, הלוקה, כאמור, בסתירות ובתמיהות".</w:t>
      </w:r>
    </w:p>
    <w:p w14:paraId="5FA99475" w14:textId="77777777" w:rsidR="006B0F3C" w:rsidRDefault="006B0F3C">
      <w:pPr>
        <w:rPr>
          <w:rFonts w:hint="cs"/>
          <w:rtl/>
        </w:rPr>
      </w:pPr>
    </w:p>
    <w:p w14:paraId="07B14345" w14:textId="77777777" w:rsidR="006B0F3C" w:rsidRDefault="006B0F3C">
      <w:pPr>
        <w:rPr>
          <w:rFonts w:hint="cs"/>
          <w:rtl/>
        </w:rPr>
      </w:pPr>
      <w:r>
        <w:rPr>
          <w:rFonts w:hint="cs"/>
          <w:rtl/>
        </w:rPr>
        <w:t>סתירות בעדותן של המתלוננות, כבישת עדותן, העדר ראיות נוספות אשר תומכות בגירסתן, והעובדה כי המתלוננות פוטרו על ידי הנאשם, זה מביאני למסקנה כי היה להן מניע לנקמה ושנאה כלפי הנאשם, כגירסת הנאשם ולכן דבריהן מעלות ספק סביר באשר לאשמתו של הנאשם:</w:t>
      </w:r>
    </w:p>
    <w:p w14:paraId="366E5DB9" w14:textId="77777777" w:rsidR="006B0F3C" w:rsidRDefault="006B0F3C">
      <w:pPr>
        <w:rPr>
          <w:rFonts w:hint="cs"/>
          <w:rtl/>
        </w:rPr>
      </w:pPr>
    </w:p>
    <w:p w14:paraId="430E49C4" w14:textId="77777777" w:rsidR="006B0F3C" w:rsidRDefault="006B0F3C">
      <w:pPr>
        <w:pStyle w:val="a1"/>
        <w:rPr>
          <w:rFonts w:hint="cs"/>
          <w:rtl/>
        </w:rPr>
      </w:pPr>
      <w:r>
        <w:rPr>
          <w:rFonts w:hint="cs"/>
          <w:rtl/>
        </w:rPr>
        <w:t>"ספק סביר מתקיים כאשר ניתן להסיק מחומר הראיות מסקנה המתיישבת עם חפות הנאשם, שהסתברותה אינה אפסית אלא סובסטנסיבית...".</w:t>
      </w:r>
    </w:p>
    <w:p w14:paraId="1630A997" w14:textId="77777777" w:rsidR="006B0F3C" w:rsidRDefault="006B0F3C">
      <w:pPr>
        <w:ind w:firstLine="567"/>
        <w:rPr>
          <w:rFonts w:hint="cs"/>
          <w:rtl/>
        </w:rPr>
      </w:pPr>
      <w:r>
        <w:rPr>
          <w:rFonts w:hint="cs"/>
          <w:rtl/>
        </w:rPr>
        <w:t>(</w:t>
      </w:r>
      <w:hyperlink r:id="rId51" w:history="1">
        <w:r w:rsidR="00EE30DB" w:rsidRPr="00EE30DB">
          <w:rPr>
            <w:rStyle w:val="Hyperlink"/>
            <w:rFonts w:hint="eastAsia"/>
            <w:color w:val="0000FF"/>
            <w:rtl/>
          </w:rPr>
          <w:t>ע</w:t>
        </w:r>
        <w:r w:rsidR="00EE30DB" w:rsidRPr="00EE30DB">
          <w:rPr>
            <w:rStyle w:val="Hyperlink"/>
            <w:color w:val="0000FF"/>
            <w:rtl/>
          </w:rPr>
          <w:t>"פ 3974/92</w:t>
        </w:r>
      </w:hyperlink>
      <w:r>
        <w:rPr>
          <w:rFonts w:hint="cs"/>
          <w:u w:val="single"/>
          <w:rtl/>
        </w:rPr>
        <w:t>, אזולאי נ' מ"י</w:t>
      </w:r>
      <w:r>
        <w:rPr>
          <w:rFonts w:hint="cs"/>
          <w:rtl/>
        </w:rPr>
        <w:t xml:space="preserve">, פ"ד מז(2) 565). </w:t>
      </w:r>
    </w:p>
    <w:p w14:paraId="63E6C0F9" w14:textId="77777777" w:rsidR="006B0F3C" w:rsidRDefault="006B0F3C">
      <w:pPr>
        <w:rPr>
          <w:rFonts w:hint="cs"/>
          <w:b/>
          <w:bCs/>
          <w:rtl/>
        </w:rPr>
      </w:pPr>
    </w:p>
    <w:p w14:paraId="2685F65D" w14:textId="77777777" w:rsidR="006B0F3C" w:rsidRDefault="006B0F3C">
      <w:pPr>
        <w:rPr>
          <w:rFonts w:hint="cs"/>
          <w:rtl/>
        </w:rPr>
      </w:pPr>
      <w:r>
        <w:rPr>
          <w:rFonts w:hint="cs"/>
          <w:rtl/>
        </w:rPr>
        <w:t xml:space="preserve">מאחר וכפי שקבעתי לעיל כי עדויות עדי ההגנה מקובלים עלי כנכונים ואמינים ובעדים שהתביעה הביאה, יש כדי לחזק את דברי הנאשם ולא את דברי המתלוננות, הרי שבוודאי יש בכך כדי שהספק יפעל לטובת הנאשם. </w:t>
      </w:r>
    </w:p>
    <w:p w14:paraId="7C490275" w14:textId="77777777" w:rsidR="006B0F3C" w:rsidRDefault="006B0F3C">
      <w:pPr>
        <w:rPr>
          <w:rFonts w:hint="cs"/>
          <w:b/>
          <w:bCs/>
          <w:rtl/>
        </w:rPr>
      </w:pPr>
    </w:p>
    <w:p w14:paraId="17F036F2" w14:textId="77777777" w:rsidR="006B0F3C" w:rsidRDefault="006B0F3C">
      <w:pPr>
        <w:rPr>
          <w:rFonts w:hint="cs"/>
          <w:rtl/>
        </w:rPr>
      </w:pPr>
      <w:r>
        <w:rPr>
          <w:rFonts w:hint="cs"/>
          <w:rtl/>
        </w:rPr>
        <w:t xml:space="preserve">לעניין זה יפים הדברים שנאמרו </w:t>
      </w:r>
      <w:r>
        <w:rPr>
          <w:rFonts w:hint="cs"/>
          <w:u w:val="single"/>
          <w:rtl/>
        </w:rPr>
        <w:t>ב</w:t>
      </w:r>
      <w:hyperlink r:id="rId52" w:history="1">
        <w:r w:rsidR="00EE30DB" w:rsidRPr="00EE30DB">
          <w:rPr>
            <w:rStyle w:val="Hyperlink"/>
            <w:rFonts w:hint="eastAsia"/>
            <w:color w:val="0000FF"/>
            <w:rtl/>
          </w:rPr>
          <w:t>ע</w:t>
        </w:r>
        <w:r w:rsidR="00EE30DB" w:rsidRPr="00EE30DB">
          <w:rPr>
            <w:rStyle w:val="Hyperlink"/>
            <w:color w:val="0000FF"/>
            <w:rtl/>
          </w:rPr>
          <w:t>"פ 20/51</w:t>
        </w:r>
      </w:hyperlink>
      <w:r>
        <w:rPr>
          <w:rFonts w:hint="cs"/>
          <w:u w:val="single"/>
          <w:rtl/>
        </w:rPr>
        <w:t>, פודמסקי נ' היועמ"ש,</w:t>
      </w:r>
      <w:r>
        <w:rPr>
          <w:rFonts w:hint="cs"/>
          <w:rtl/>
        </w:rPr>
        <w:t xml:space="preserve"> פ"ד ה' 1196, 1187:</w:t>
      </w:r>
    </w:p>
    <w:p w14:paraId="75789FE0" w14:textId="77777777" w:rsidR="006B0F3C" w:rsidRDefault="006B0F3C">
      <w:pPr>
        <w:rPr>
          <w:rFonts w:hint="cs"/>
          <w:rtl/>
        </w:rPr>
      </w:pPr>
    </w:p>
    <w:p w14:paraId="2F9A5CE5" w14:textId="77777777" w:rsidR="006B0F3C" w:rsidRDefault="006B0F3C">
      <w:pPr>
        <w:pStyle w:val="a1"/>
        <w:rPr>
          <w:rFonts w:hint="cs"/>
          <w:rtl/>
        </w:rPr>
      </w:pPr>
      <w:r>
        <w:rPr>
          <w:rFonts w:hint="cs"/>
          <w:rtl/>
        </w:rPr>
        <w:t>"אין (על הנאשם) להוכיח חפותו מפשע; כל שמוטל עליו הוא: לתת הסבר אחר להנחה אשר עלתה מתוך הוכחותיה של הקטגוריה. נתן הסבר המתקבל על הדעת, אך השופט אין בידו להחליט אם יקבל דברי הסבר אלה או ידחם - כלומר: אינו מוכן להכריע אם הדברים נכונים הם או לא - עליו לזכותו מחמת הספק".</w:t>
      </w:r>
    </w:p>
    <w:p w14:paraId="4FEA953B" w14:textId="77777777" w:rsidR="006B0F3C" w:rsidRDefault="006B0F3C">
      <w:pPr>
        <w:pStyle w:val="a1"/>
        <w:rPr>
          <w:rFonts w:hint="cs"/>
          <w:rtl/>
        </w:rPr>
      </w:pPr>
    </w:p>
    <w:p w14:paraId="756BE2AE" w14:textId="77777777" w:rsidR="006B0F3C" w:rsidRDefault="006B0F3C">
      <w:pPr>
        <w:rPr>
          <w:rFonts w:hint="cs"/>
          <w:b/>
          <w:bCs/>
          <w:rtl/>
        </w:rPr>
      </w:pPr>
    </w:p>
    <w:p w14:paraId="46E41CC7" w14:textId="77777777" w:rsidR="006B0F3C" w:rsidRDefault="006B0F3C">
      <w:pPr>
        <w:rPr>
          <w:rFonts w:hint="cs"/>
          <w:b/>
          <w:bCs/>
          <w:rtl/>
        </w:rPr>
      </w:pPr>
    </w:p>
    <w:p w14:paraId="3830E9F7" w14:textId="77777777" w:rsidR="006B0F3C" w:rsidRDefault="006B0F3C">
      <w:pPr>
        <w:rPr>
          <w:rFonts w:hint="cs"/>
          <w:b/>
          <w:bCs/>
          <w:rtl/>
        </w:rPr>
      </w:pPr>
      <w:r>
        <w:rPr>
          <w:rFonts w:hint="cs"/>
          <w:b/>
          <w:bCs/>
          <w:rtl/>
        </w:rPr>
        <w:t xml:space="preserve">לאור זאת, אני קובעת כי הנאשם זכאי מכל העבירות שיוחסו לו בכתב האישום וזאת מחמת הספק. </w:t>
      </w:r>
    </w:p>
    <w:p w14:paraId="478C833E" w14:textId="77777777" w:rsidR="006B0F3C" w:rsidRDefault="006B0F3C">
      <w:pPr>
        <w:rPr>
          <w:rFonts w:hint="cs"/>
          <w:b/>
          <w:bCs/>
          <w:rtl/>
        </w:rPr>
      </w:pPr>
    </w:p>
    <w:p w14:paraId="7493CB8B" w14:textId="77777777" w:rsidR="006B0F3C" w:rsidRDefault="006B0F3C">
      <w:pPr>
        <w:rPr>
          <w:rFonts w:hint="cs"/>
          <w:b/>
          <w:bCs/>
          <w:u w:val="single"/>
          <w:rtl/>
        </w:rPr>
      </w:pPr>
      <w:r>
        <w:rPr>
          <w:rFonts w:hint="cs"/>
          <w:b/>
          <w:bCs/>
          <w:u w:val="single"/>
          <w:rtl/>
        </w:rPr>
        <w:t>לסיכום:</w:t>
      </w:r>
    </w:p>
    <w:p w14:paraId="64F49485" w14:textId="77777777" w:rsidR="006B0F3C" w:rsidRDefault="006B0F3C">
      <w:pPr>
        <w:rPr>
          <w:rFonts w:hint="cs"/>
          <w:rtl/>
        </w:rPr>
      </w:pPr>
      <w:r>
        <w:rPr>
          <w:rFonts w:hint="cs"/>
          <w:rtl/>
        </w:rPr>
        <w:t>התביעה בראיותיה לא הצליחה להוכיח ברמה הנדרשת כדי הרשעה בפלילים כי הנאשם ביצע את העבירות המיוחסות לו בכתב האישום.</w:t>
      </w:r>
    </w:p>
    <w:p w14:paraId="15F2AA6E" w14:textId="77777777" w:rsidR="006B0F3C" w:rsidRDefault="006B0F3C">
      <w:pPr>
        <w:rPr>
          <w:rFonts w:hint="cs"/>
          <w:rtl/>
        </w:rPr>
      </w:pPr>
    </w:p>
    <w:p w14:paraId="1980F7F5" w14:textId="77777777" w:rsidR="006B0F3C" w:rsidRDefault="006B0F3C">
      <w:pPr>
        <w:rPr>
          <w:rFonts w:hint="cs"/>
          <w:rtl/>
        </w:rPr>
      </w:pPr>
      <w:r>
        <w:rPr>
          <w:rFonts w:hint="cs"/>
          <w:rtl/>
        </w:rPr>
        <w:t xml:space="preserve">לאחר ששמעתי וראיתי את המתלוננות בעת מתן עדותן ואת עדותם של עדי התביעה וההגנה  התומכים בדברי הנאשם, ובחנתי את כל הראיות שהציגו התביעה וההגנה, הגעתי למסקנה כי אין בפני כל דבר התומך בגירסתן היחידה של המתלוננות אשר יכול כדי לענות על חובת ההנמקה, וזאת בנוסף לעדות המתלוננות שהיתה עדות כבושה ועם סתירות מהותיות.  </w:t>
      </w:r>
    </w:p>
    <w:p w14:paraId="03B53C1D" w14:textId="77777777" w:rsidR="006B0F3C" w:rsidRDefault="006B0F3C">
      <w:pPr>
        <w:rPr>
          <w:rFonts w:hint="cs"/>
          <w:rtl/>
        </w:rPr>
      </w:pPr>
    </w:p>
    <w:p w14:paraId="5ACFCA4C" w14:textId="77777777" w:rsidR="006B0F3C" w:rsidRDefault="006B0F3C">
      <w:pPr>
        <w:rPr>
          <w:rFonts w:hint="cs"/>
          <w:rtl/>
        </w:rPr>
      </w:pPr>
      <w:r>
        <w:rPr>
          <w:rFonts w:hint="cs"/>
          <w:rtl/>
        </w:rPr>
        <w:t xml:space="preserve">לכן, קביעתי הינה כי התביעה לא הוכיחה ברמה הנדרשת במשפט הפלילי את אשמתו של הנאשם בכל העבירות שבכתב האישום. </w:t>
      </w:r>
    </w:p>
    <w:p w14:paraId="7090B46D" w14:textId="77777777" w:rsidR="006B0F3C" w:rsidRDefault="006B0F3C">
      <w:pPr>
        <w:rPr>
          <w:rFonts w:hint="cs"/>
          <w:rtl/>
        </w:rPr>
      </w:pPr>
    </w:p>
    <w:p w14:paraId="7A66AC3C" w14:textId="77777777" w:rsidR="006B0F3C" w:rsidRDefault="006B0F3C">
      <w:pPr>
        <w:rPr>
          <w:rFonts w:hint="cs"/>
          <w:b/>
          <w:bCs/>
          <w:rtl/>
        </w:rPr>
      </w:pPr>
      <w:r>
        <w:rPr>
          <w:rFonts w:hint="cs"/>
          <w:b/>
          <w:bCs/>
          <w:rtl/>
        </w:rPr>
        <w:t>ואני מזכה את הנאשם מחמת הספק, מכל סעיפי האישום.</w:t>
      </w:r>
    </w:p>
    <w:p w14:paraId="4FEA76B4" w14:textId="77777777" w:rsidR="006B0F3C" w:rsidRDefault="006B0F3C">
      <w:pPr>
        <w:rPr>
          <w:rFonts w:hint="cs"/>
          <w:b/>
          <w:bCs/>
          <w:rtl/>
        </w:rPr>
      </w:pPr>
    </w:p>
    <w:p w14:paraId="70D8A96F" w14:textId="77777777" w:rsidR="006B0F3C" w:rsidRDefault="006B0F3C">
      <w:pPr>
        <w:rPr>
          <w:b/>
          <w:bCs/>
          <w:color w:val="000000"/>
          <w:rtl/>
        </w:rPr>
      </w:pPr>
      <w:r>
        <w:rPr>
          <w:rFonts w:hint="cs"/>
          <w:b/>
          <w:bCs/>
          <w:color w:val="000000"/>
          <w:rtl/>
        </w:rPr>
        <w:t xml:space="preserve">ניתנה היום ד' באלול, תשס"ה (8 בספטמבר 2005), במעמד הצדדים. </w:t>
      </w:r>
    </w:p>
    <w:p w14:paraId="42E9038E" w14:textId="77777777" w:rsidR="006B0F3C" w:rsidRDefault="006B0F3C">
      <w:pPr>
        <w:rPr>
          <w:rFonts w:hint="cs"/>
          <w:b/>
          <w:bCs/>
          <w:color w:val="000080"/>
          <w:rtl/>
        </w:rPr>
      </w:pPr>
    </w:p>
    <w:tbl>
      <w:tblPr>
        <w:tblW w:w="0" w:type="auto"/>
        <w:tblInd w:w="6578" w:type="dxa"/>
        <w:tblBorders>
          <w:top w:val="single" w:sz="4" w:space="0" w:color="auto"/>
        </w:tblBorders>
        <w:tblLook w:val="0000" w:firstRow="0" w:lastRow="0" w:firstColumn="0" w:lastColumn="0" w:noHBand="0" w:noVBand="0"/>
      </w:tblPr>
      <w:tblGrid>
        <w:gridCol w:w="1951"/>
      </w:tblGrid>
      <w:tr w:rsidR="006B0F3C" w14:paraId="5584F468" w14:textId="77777777">
        <w:tc>
          <w:tcPr>
            <w:tcW w:w="1951" w:type="dxa"/>
            <w:tcBorders>
              <w:top w:val="single" w:sz="4" w:space="0" w:color="auto"/>
              <w:left w:val="nil"/>
              <w:bottom w:val="nil"/>
              <w:right w:val="nil"/>
            </w:tcBorders>
          </w:tcPr>
          <w:p w14:paraId="003A3EB9" w14:textId="77777777" w:rsidR="006B0F3C" w:rsidRDefault="006B0F3C">
            <w:pPr>
              <w:jc w:val="right"/>
              <w:rPr>
                <w:b/>
                <w:bCs/>
              </w:rPr>
            </w:pPr>
            <w:r>
              <w:rPr>
                <w:rFonts w:hint="cs"/>
                <w:b/>
                <w:bCs/>
                <w:rtl/>
              </w:rPr>
              <w:t>ניצה שרון, שופטת</w:t>
            </w:r>
          </w:p>
        </w:tc>
      </w:tr>
    </w:tbl>
    <w:p w14:paraId="68A11245" w14:textId="77777777" w:rsidR="006B0F3C" w:rsidRDefault="006B0F3C">
      <w:pPr>
        <w:rPr>
          <w:rFonts w:hint="cs"/>
          <w:sz w:val="24"/>
          <w:rtl/>
        </w:rPr>
      </w:pPr>
      <w:r>
        <w:rPr>
          <w:rFonts w:hint="cs"/>
          <w:sz w:val="24"/>
          <w:rtl/>
        </w:rPr>
        <w:t xml:space="preserve">הקלדנית: עירית ת. </w:t>
      </w:r>
    </w:p>
    <w:p w14:paraId="0646DD27" w14:textId="77777777" w:rsidR="006B0F3C" w:rsidRDefault="006B0F3C">
      <w:pPr>
        <w:rPr>
          <w:sz w:val="24"/>
          <w:rtl/>
        </w:rPr>
      </w:pPr>
      <w:r>
        <w:rPr>
          <w:sz w:val="24"/>
          <w:rtl/>
        </w:rPr>
        <w:t>נוסח מסמך זה כפוף לשינויי ניסוח ועריכה</w:t>
      </w:r>
    </w:p>
    <w:sectPr w:rsidR="006B0F3C">
      <w:headerReference w:type="even" r:id="rId53"/>
      <w:headerReference w:type="default" r:id="rId54"/>
      <w:footerReference w:type="even" r:id="rId55"/>
      <w:footerReference w:type="default" r:id="rId56"/>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6CE07" w14:textId="77777777" w:rsidR="00A17C53" w:rsidRDefault="00A17C53">
      <w:r>
        <w:separator/>
      </w:r>
    </w:p>
  </w:endnote>
  <w:endnote w:type="continuationSeparator" w:id="0">
    <w:p w14:paraId="4C66CC4B" w14:textId="77777777" w:rsidR="00A17C53" w:rsidRDefault="00A17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761D1" w14:textId="77777777" w:rsidR="008E2F13" w:rsidRDefault="008E2F1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06907488" w14:textId="77777777" w:rsidR="008E2F13" w:rsidRDefault="008E2F1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ED34491" w14:textId="77777777" w:rsidR="008E2F13" w:rsidRDefault="008E2F1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E:\nevo\05-09-08-orly\s02003519-47.doc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19769" w14:textId="77777777" w:rsidR="008E2F13" w:rsidRDefault="008E2F1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2863FA">
      <w:rPr>
        <w:rFonts w:hAnsi="FrankRuehl" w:cs="FrankRuehl"/>
        <w:noProof/>
        <w:sz w:val="24"/>
        <w:rtl/>
      </w:rPr>
      <w:t>1</w:t>
    </w:r>
    <w:r>
      <w:rPr>
        <w:rFonts w:hAnsi="FrankRuehl" w:cs="FrankRuehl"/>
        <w:sz w:val="24"/>
        <w:rtl/>
      </w:rPr>
      <w:fldChar w:fldCharType="end"/>
    </w:r>
  </w:p>
  <w:p w14:paraId="018A8764" w14:textId="77777777" w:rsidR="008E2F13" w:rsidRDefault="008E2F1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A78BE8D" w14:textId="77777777" w:rsidR="008E2F13" w:rsidRDefault="008E2F1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E:\nevo\05-09-08-orly\s02003519-47.doc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ECCD9" w14:textId="77777777" w:rsidR="00A17C53" w:rsidRDefault="00A17C53">
      <w:r>
        <w:separator/>
      </w:r>
    </w:p>
  </w:footnote>
  <w:footnote w:type="continuationSeparator" w:id="0">
    <w:p w14:paraId="08074ECD" w14:textId="77777777" w:rsidR="00A17C53" w:rsidRDefault="00A17C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C3D18" w14:textId="77777777" w:rsidR="008E2F13" w:rsidRDefault="008E2F13">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3519/02</w:t>
    </w:r>
    <w:r>
      <w:rPr>
        <w:rFonts w:hAnsi="David"/>
        <w:color w:val="000000"/>
        <w:sz w:val="22"/>
        <w:szCs w:val="22"/>
        <w:rtl/>
      </w:rPr>
      <w:tab/>
      <w:t xml:space="preserve"> מדינת ישראל נ' שאול רווה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94913" w14:textId="77777777" w:rsidR="008E2F13" w:rsidRDefault="008E2F13">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3519/02</w:t>
    </w:r>
    <w:r>
      <w:rPr>
        <w:rFonts w:hAnsi="David"/>
        <w:color w:val="000000"/>
        <w:sz w:val="22"/>
        <w:szCs w:val="22"/>
        <w:rtl/>
      </w:rPr>
      <w:tab/>
      <w:t xml:space="preserve"> מדינת ישראל נ' שאול רווה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s>
  <w:rsids>
    <w:rsidRoot w:val="006B0F3C"/>
    <w:rsid w:val="001861D2"/>
    <w:rsid w:val="002863FA"/>
    <w:rsid w:val="003859FC"/>
    <w:rsid w:val="0043552B"/>
    <w:rsid w:val="006A7DE4"/>
    <w:rsid w:val="006B0F3C"/>
    <w:rsid w:val="008E2F13"/>
    <w:rsid w:val="00A17C53"/>
    <w:rsid w:val="00CA62C4"/>
    <w:rsid w:val="00EE30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44D0C9A"/>
  <w15:chartTrackingRefBased/>
  <w15:docId w15:val="{4FDD4604-A29F-451C-A14D-FD7091E08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outlineLvl w:val="4"/>
    </w:pPr>
    <w:rPr>
      <w:b/>
      <w:bCs/>
      <w:u w:val="single"/>
    </w:rPr>
  </w:style>
  <w:style w:type="paragraph" w:styleId="Heading6">
    <w:name w:val="heading 6"/>
    <w:basedOn w:val="Normal"/>
    <w:next w:val="Normal"/>
    <w:qFormat/>
    <w:pPr>
      <w:keepNext/>
      <w:outlineLvl w:val="5"/>
    </w:pPr>
    <w:rPr>
      <w:b/>
      <w:bCs/>
      <w:u w:val="single"/>
    </w:rPr>
  </w:style>
  <w:style w:type="paragraph" w:styleId="Heading7">
    <w:name w:val="heading 7"/>
    <w:basedOn w:val="Normal"/>
    <w:next w:val="Normal"/>
    <w:qFormat/>
    <w:pPr>
      <w:keepNext/>
      <w:outlineLvl w:val="6"/>
    </w:pPr>
    <w:rPr>
      <w:b/>
      <w:bCs/>
      <w:u w:val="single"/>
    </w:rPr>
  </w:style>
  <w:style w:type="paragraph" w:styleId="Heading8">
    <w:name w:val="heading 8"/>
    <w:basedOn w:val="Normal"/>
    <w:next w:val="Normal"/>
    <w:qFormat/>
    <w:pPr>
      <w:keepNext/>
      <w:outlineLvl w:val="7"/>
    </w:pPr>
    <w:rPr>
      <w:b/>
      <w:bCs/>
      <w:u w:val="single"/>
    </w:rPr>
  </w:style>
  <w:style w:type="paragraph" w:styleId="Heading9">
    <w:name w:val="heading 9"/>
    <w:basedOn w:val="Normal"/>
    <w:next w:val="Normal"/>
    <w:qFormat/>
    <w:pPr>
      <w:keepNext/>
      <w:outlineLvl w:val="8"/>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
    <w:name w:val="Body Text"/>
    <w:basedOn w:val="Normal"/>
  </w:style>
  <w:style w:type="paragraph" w:styleId="BodyText2">
    <w:name w:val="Body Text 2"/>
    <w:basedOn w:val="Normal"/>
  </w:style>
  <w:style w:type="paragraph" w:customStyle="1" w:styleId="a">
    <w:name w:val="רגיל"/>
    <w:pPr>
      <w:bidi/>
      <w:snapToGrid w:val="0"/>
    </w:pPr>
    <w:rPr>
      <w:rFonts w:cs="David"/>
      <w:szCs w:val="24"/>
    </w:rPr>
  </w:style>
  <w:style w:type="paragraph" w:customStyle="1" w:styleId="a0">
    <w:name w:val="שמות"/>
    <w:basedOn w:val="Normal"/>
    <w:pPr>
      <w:suppressLineNumbers/>
      <w:snapToGrid w:val="0"/>
    </w:pPr>
    <w:rPr>
      <w:b/>
      <w:bCs/>
      <w:sz w:val="22"/>
    </w:rPr>
  </w:style>
  <w:style w:type="paragraph" w:customStyle="1" w:styleId="a1">
    <w:name w:val="צטוט"/>
    <w:basedOn w:val="Normal"/>
    <w:autoRedefine/>
    <w:pPr>
      <w:spacing w:line="240" w:lineRule="auto"/>
      <w:ind w:left="567" w:right="567"/>
    </w:pPr>
    <w:rPr>
      <w:b/>
      <w:bCs/>
    </w:rPr>
  </w:style>
  <w:style w:type="paragraph" w:customStyle="1" w:styleId="a2">
    <w:name w:val="חתימה"/>
    <w:basedOn w:val="Heading2"/>
    <w:pPr>
      <w:suppressLineNumbers/>
    </w:pPr>
    <w:rPr>
      <w:rFonts w:hAnsi="Arial"/>
      <w:bCs w:val="0"/>
      <w:szCs w:val="24"/>
    </w:rPr>
  </w:style>
  <w:style w:type="paragraph" w:customStyle="1" w:styleId="a3">
    <w:name w:val="החלטה"/>
    <w:basedOn w:val="a"/>
    <w:pPr>
      <w:suppressLineNumbers/>
    </w:pPr>
    <w:rPr>
      <w:bCs/>
    </w:rPr>
  </w:style>
  <w:style w:type="paragraph" w:customStyle="1" w:styleId="a4">
    <w:name w:val="חקירה"/>
    <w:basedOn w:val="a"/>
    <w:pPr>
      <w:suppressLineNumbers/>
    </w:pPr>
  </w:style>
  <w:style w:type="paragraph" w:customStyle="1" w:styleId="a5">
    <w:name w:val="עירית תוכמה"/>
    <w:basedOn w:val="Normal"/>
    <w:autoRedefine/>
    <w:rPr>
      <w:b/>
      <w:bCs/>
    </w:rPr>
  </w:style>
  <w:style w:type="character" w:styleId="PageNumber">
    <w:name w:val="page number"/>
    <w:rPr>
      <w:rFonts w:cs="David"/>
    </w:rPr>
  </w:style>
  <w:style w:type="character" w:styleId="Hyperlink">
    <w:name w:val="Hyperlink"/>
    <w:rsid w:val="00CA62C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c" TargetMode="External"/><Relationship Id="rId18" Type="http://schemas.openxmlformats.org/officeDocument/2006/relationships/hyperlink" Target="http://www.nevo.co.il/law/72507/4" TargetMode="External"/><Relationship Id="rId26" Type="http://schemas.openxmlformats.org/officeDocument/2006/relationships/hyperlink" Target="http://www.nevo.co.il/law/72507"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2507/4" TargetMode="External"/><Relationship Id="rId34" Type="http://schemas.openxmlformats.org/officeDocument/2006/relationships/hyperlink" Target="http://www.nevo.co.il/law/72507" TargetMode="External"/><Relationship Id="rId42" Type="http://schemas.openxmlformats.org/officeDocument/2006/relationships/hyperlink" Target="http://www.nevo.co.il/case/17946334" TargetMode="External"/><Relationship Id="rId47" Type="http://schemas.openxmlformats.org/officeDocument/2006/relationships/hyperlink" Target="http://www.nevo.co.il/law/98569" TargetMode="External"/><Relationship Id="rId50" Type="http://schemas.openxmlformats.org/officeDocument/2006/relationships/hyperlink" Target="http://www.nevo.co.il/case/17929311" TargetMode="External"/><Relationship Id="rId55" Type="http://schemas.openxmlformats.org/officeDocument/2006/relationships/footer" Target="footer1.xml"/><Relationship Id="rId7" Type="http://schemas.openxmlformats.org/officeDocument/2006/relationships/hyperlink" Target="http://www.nevo.co.il/law/72507/4" TargetMode="External"/><Relationship Id="rId2" Type="http://schemas.openxmlformats.org/officeDocument/2006/relationships/settings" Target="settings.xml"/><Relationship Id="rId16" Type="http://schemas.openxmlformats.org/officeDocument/2006/relationships/hyperlink" Target="http://www.nevo.co.il/law/98569/53" TargetMode="External"/><Relationship Id="rId29" Type="http://schemas.openxmlformats.org/officeDocument/2006/relationships/hyperlink" Target="http://www.nevo.co.il/law/70301/348.c"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2507/4" TargetMode="External"/><Relationship Id="rId32" Type="http://schemas.openxmlformats.org/officeDocument/2006/relationships/hyperlink" Target="http://www.nevo.co.il/law/72507/4" TargetMode="External"/><Relationship Id="rId37" Type="http://schemas.openxmlformats.org/officeDocument/2006/relationships/hyperlink" Target="http://www.nevo.co.il/law/72507" TargetMode="External"/><Relationship Id="rId40" Type="http://schemas.openxmlformats.org/officeDocument/2006/relationships/hyperlink" Target="http://www.nevo.co.il/law/70301/34kb" TargetMode="External"/><Relationship Id="rId45" Type="http://schemas.openxmlformats.org/officeDocument/2006/relationships/hyperlink" Target="http://www.nevo.co.il/law/98569"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endnotes" Target="endnotes.xml"/><Relationship Id="rId19" Type="http://schemas.openxmlformats.org/officeDocument/2006/relationships/hyperlink" Target="http://www.nevo.co.il/law/72507/5.a" TargetMode="External"/><Relationship Id="rId4" Type="http://schemas.openxmlformats.org/officeDocument/2006/relationships/footnotes" Target="footnotes.xml"/><Relationship Id="rId9" Type="http://schemas.openxmlformats.org/officeDocument/2006/relationships/hyperlink" Target="http://www.nevo.co.il/law/72507/5.b" TargetMode="External"/><Relationship Id="rId14" Type="http://schemas.openxmlformats.org/officeDocument/2006/relationships/hyperlink" Target="http://www.nevo.co.il/law/70301/34kb" TargetMode="External"/><Relationship Id="rId22" Type="http://schemas.openxmlformats.org/officeDocument/2006/relationships/hyperlink" Target="http://www.nevo.co.il/law/72507/5.b" TargetMode="External"/><Relationship Id="rId27" Type="http://schemas.openxmlformats.org/officeDocument/2006/relationships/hyperlink" Target="http://www.nevo.co.il/law/70301/348.c" TargetMode="External"/><Relationship Id="rId30" Type="http://schemas.openxmlformats.org/officeDocument/2006/relationships/hyperlink" Target="http://www.nevo.co.il/law/70301/25" TargetMode="External"/><Relationship Id="rId35" Type="http://schemas.openxmlformats.org/officeDocument/2006/relationships/hyperlink" Target="http://www.nevo.co.il/law/72507/4" TargetMode="External"/><Relationship Id="rId43" Type="http://schemas.openxmlformats.org/officeDocument/2006/relationships/hyperlink" Target="http://www.nevo.co.il/law/98569" TargetMode="External"/><Relationship Id="rId48" Type="http://schemas.openxmlformats.org/officeDocument/2006/relationships/hyperlink" Target="http://www.nevo.co.il/law/98569/54a.b" TargetMode="External"/><Relationship Id="rId56" Type="http://schemas.openxmlformats.org/officeDocument/2006/relationships/footer" Target="footer2.xml"/><Relationship Id="rId8" Type="http://schemas.openxmlformats.org/officeDocument/2006/relationships/hyperlink" Target="http://www.nevo.co.il/law/72507/5.a" TargetMode="External"/><Relationship Id="rId51" Type="http://schemas.openxmlformats.org/officeDocument/2006/relationships/hyperlink" Target="http://www.nevo.co.il/case/17921630" TargetMode="External"/><Relationship Id="rId3" Type="http://schemas.openxmlformats.org/officeDocument/2006/relationships/webSettings" Target="webSettings.xml"/><Relationship Id="rId12" Type="http://schemas.openxmlformats.org/officeDocument/2006/relationships/hyperlink" Target="http://www.nevo.co.il/law/70301/25" TargetMode="External"/><Relationship Id="rId17" Type="http://schemas.openxmlformats.org/officeDocument/2006/relationships/hyperlink" Target="http://www.nevo.co.il/law/98569/54a.b" TargetMode="External"/><Relationship Id="rId25" Type="http://schemas.openxmlformats.org/officeDocument/2006/relationships/hyperlink" Target="http://www.nevo.co.il/law/72507/5.c" TargetMode="External"/><Relationship Id="rId33" Type="http://schemas.openxmlformats.org/officeDocument/2006/relationships/hyperlink" Target="http://www.nevo.co.il/law/72507/5.a" TargetMode="External"/><Relationship Id="rId38" Type="http://schemas.openxmlformats.org/officeDocument/2006/relationships/hyperlink" Target="http://www.nevo.co.il/law/70301/348.c" TargetMode="External"/><Relationship Id="rId46" Type="http://schemas.openxmlformats.org/officeDocument/2006/relationships/hyperlink" Target="http://www.nevo.co.il/case/6024185" TargetMode="External"/><Relationship Id="rId20" Type="http://schemas.openxmlformats.org/officeDocument/2006/relationships/hyperlink" Target="http://www.nevo.co.il/law/72507" TargetMode="External"/><Relationship Id="rId41" Type="http://schemas.openxmlformats.org/officeDocument/2006/relationships/hyperlink" Target="http://www.nevo.co.il/law/70301" TargetMode="External"/><Relationship Id="rId54"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2507" TargetMode="External"/><Relationship Id="rId15" Type="http://schemas.openxmlformats.org/officeDocument/2006/relationships/hyperlink" Target="http://www.nevo.co.il/law/98569" TargetMode="External"/><Relationship Id="rId23" Type="http://schemas.openxmlformats.org/officeDocument/2006/relationships/hyperlink" Target="http://www.nevo.co.il/law/72507"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2507/5.b" TargetMode="External"/><Relationship Id="rId49" Type="http://schemas.openxmlformats.org/officeDocument/2006/relationships/hyperlink" Target="http://www.nevo.co.il/case/17926647" TargetMode="External"/><Relationship Id="rId57" Type="http://schemas.openxmlformats.org/officeDocument/2006/relationships/fontTable" Target="fontTable.xml"/><Relationship Id="rId10" Type="http://schemas.openxmlformats.org/officeDocument/2006/relationships/hyperlink" Target="http://www.nevo.co.il/law/72507/5.c" TargetMode="External"/><Relationship Id="rId31" Type="http://schemas.openxmlformats.org/officeDocument/2006/relationships/hyperlink" Target="http://www.nevo.co.il/law/70301" TargetMode="External"/><Relationship Id="rId44" Type="http://schemas.openxmlformats.org/officeDocument/2006/relationships/hyperlink" Target="http://www.nevo.co.il/law/98569/53" TargetMode="External"/><Relationship Id="rId52" Type="http://schemas.openxmlformats.org/officeDocument/2006/relationships/hyperlink" Target="http://www.nevo.co.il/case/179143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3533</Words>
  <Characters>20143</Characters>
  <Application>Microsoft Office Word</Application>
  <DocSecurity>0</DocSecurity>
  <Lines>167</Lines>
  <Paragraphs>47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 </vt:lpstr>
    </vt:vector>
  </TitlesOfParts>
  <Company> </Company>
  <LinksUpToDate>false</LinksUpToDate>
  <CharactersWithSpaces>23629</CharactersWithSpaces>
  <SharedDoc>false</SharedDoc>
  <HLinks>
    <vt:vector size="282" baseType="variant">
      <vt:variant>
        <vt:i4>3473521</vt:i4>
      </vt:variant>
      <vt:variant>
        <vt:i4>138</vt:i4>
      </vt:variant>
      <vt:variant>
        <vt:i4>0</vt:i4>
      </vt:variant>
      <vt:variant>
        <vt:i4>5</vt:i4>
      </vt:variant>
      <vt:variant>
        <vt:lpwstr>http://www.nevo.co.il/case/17914394</vt:lpwstr>
      </vt:variant>
      <vt:variant>
        <vt:lpwstr/>
      </vt:variant>
      <vt:variant>
        <vt:i4>3801207</vt:i4>
      </vt:variant>
      <vt:variant>
        <vt:i4>135</vt:i4>
      </vt:variant>
      <vt:variant>
        <vt:i4>0</vt:i4>
      </vt:variant>
      <vt:variant>
        <vt:i4>5</vt:i4>
      </vt:variant>
      <vt:variant>
        <vt:lpwstr>http://www.nevo.co.il/case/17921630</vt:lpwstr>
      </vt:variant>
      <vt:variant>
        <vt:lpwstr/>
      </vt:variant>
      <vt:variant>
        <vt:i4>3145842</vt:i4>
      </vt:variant>
      <vt:variant>
        <vt:i4>132</vt:i4>
      </vt:variant>
      <vt:variant>
        <vt:i4>0</vt:i4>
      </vt:variant>
      <vt:variant>
        <vt:i4>5</vt:i4>
      </vt:variant>
      <vt:variant>
        <vt:lpwstr>http://www.nevo.co.il/case/17929311</vt:lpwstr>
      </vt:variant>
      <vt:variant>
        <vt:lpwstr/>
      </vt:variant>
      <vt:variant>
        <vt:i4>3801207</vt:i4>
      </vt:variant>
      <vt:variant>
        <vt:i4>129</vt:i4>
      </vt:variant>
      <vt:variant>
        <vt:i4>0</vt:i4>
      </vt:variant>
      <vt:variant>
        <vt:i4>5</vt:i4>
      </vt:variant>
      <vt:variant>
        <vt:lpwstr>http://www.nevo.co.il/case/17926647</vt:lpwstr>
      </vt:variant>
      <vt:variant>
        <vt:lpwstr/>
      </vt:variant>
      <vt:variant>
        <vt:i4>4259841</vt:i4>
      </vt:variant>
      <vt:variant>
        <vt:i4>126</vt:i4>
      </vt:variant>
      <vt:variant>
        <vt:i4>0</vt:i4>
      </vt:variant>
      <vt:variant>
        <vt:i4>5</vt:i4>
      </vt:variant>
      <vt:variant>
        <vt:lpwstr>http://www.nevo.co.il/law/98569/54a.b</vt:lpwstr>
      </vt:variant>
      <vt:variant>
        <vt:lpwstr/>
      </vt:variant>
      <vt:variant>
        <vt:i4>7602284</vt:i4>
      </vt:variant>
      <vt:variant>
        <vt:i4>123</vt:i4>
      </vt:variant>
      <vt:variant>
        <vt:i4>0</vt:i4>
      </vt:variant>
      <vt:variant>
        <vt:i4>5</vt:i4>
      </vt:variant>
      <vt:variant>
        <vt:lpwstr>http://www.nevo.co.il/law/98569</vt:lpwstr>
      </vt:variant>
      <vt:variant>
        <vt:lpwstr/>
      </vt:variant>
      <vt:variant>
        <vt:i4>3145848</vt:i4>
      </vt:variant>
      <vt:variant>
        <vt:i4>120</vt:i4>
      </vt:variant>
      <vt:variant>
        <vt:i4>0</vt:i4>
      </vt:variant>
      <vt:variant>
        <vt:i4>5</vt:i4>
      </vt:variant>
      <vt:variant>
        <vt:lpwstr>http://www.nevo.co.il/case/6024185</vt:lpwstr>
      </vt:variant>
      <vt:variant>
        <vt:lpwstr/>
      </vt:variant>
      <vt:variant>
        <vt:i4>7602284</vt:i4>
      </vt:variant>
      <vt:variant>
        <vt:i4>117</vt:i4>
      </vt:variant>
      <vt:variant>
        <vt:i4>0</vt:i4>
      </vt:variant>
      <vt:variant>
        <vt:i4>5</vt:i4>
      </vt:variant>
      <vt:variant>
        <vt:lpwstr>http://www.nevo.co.il/law/98569</vt:lpwstr>
      </vt:variant>
      <vt:variant>
        <vt:lpwstr/>
      </vt:variant>
      <vt:variant>
        <vt:i4>6815840</vt:i4>
      </vt:variant>
      <vt:variant>
        <vt:i4>114</vt:i4>
      </vt:variant>
      <vt:variant>
        <vt:i4>0</vt:i4>
      </vt:variant>
      <vt:variant>
        <vt:i4>5</vt:i4>
      </vt:variant>
      <vt:variant>
        <vt:lpwstr>http://www.nevo.co.il/law/98569/53</vt:lpwstr>
      </vt:variant>
      <vt:variant>
        <vt:lpwstr/>
      </vt:variant>
      <vt:variant>
        <vt:i4>7602284</vt:i4>
      </vt:variant>
      <vt:variant>
        <vt:i4>111</vt:i4>
      </vt:variant>
      <vt:variant>
        <vt:i4>0</vt:i4>
      </vt:variant>
      <vt:variant>
        <vt:i4>5</vt:i4>
      </vt:variant>
      <vt:variant>
        <vt:lpwstr>http://www.nevo.co.il/law/98569</vt:lpwstr>
      </vt:variant>
      <vt:variant>
        <vt:lpwstr/>
      </vt:variant>
      <vt:variant>
        <vt:i4>3997812</vt:i4>
      </vt:variant>
      <vt:variant>
        <vt:i4>108</vt:i4>
      </vt:variant>
      <vt:variant>
        <vt:i4>0</vt:i4>
      </vt:variant>
      <vt:variant>
        <vt:i4>5</vt:i4>
      </vt:variant>
      <vt:variant>
        <vt:lpwstr>http://www.nevo.co.il/case/17946334</vt:lpwstr>
      </vt:variant>
      <vt:variant>
        <vt:lpwstr/>
      </vt:variant>
      <vt:variant>
        <vt:i4>7995492</vt:i4>
      </vt:variant>
      <vt:variant>
        <vt:i4>105</vt:i4>
      </vt:variant>
      <vt:variant>
        <vt:i4>0</vt:i4>
      </vt:variant>
      <vt:variant>
        <vt:i4>5</vt:i4>
      </vt:variant>
      <vt:variant>
        <vt:lpwstr>http://www.nevo.co.il/law/70301</vt:lpwstr>
      </vt:variant>
      <vt:variant>
        <vt:lpwstr/>
      </vt:variant>
      <vt:variant>
        <vt:i4>196621</vt:i4>
      </vt:variant>
      <vt:variant>
        <vt:i4>102</vt:i4>
      </vt:variant>
      <vt:variant>
        <vt:i4>0</vt:i4>
      </vt:variant>
      <vt:variant>
        <vt:i4>5</vt:i4>
      </vt:variant>
      <vt:variant>
        <vt:lpwstr>http://www.nevo.co.il/law/70301/34kb</vt:lpwstr>
      </vt:variant>
      <vt:variant>
        <vt:lpwstr/>
      </vt:variant>
      <vt:variant>
        <vt:i4>7995492</vt:i4>
      </vt:variant>
      <vt:variant>
        <vt:i4>99</vt:i4>
      </vt:variant>
      <vt:variant>
        <vt:i4>0</vt:i4>
      </vt:variant>
      <vt:variant>
        <vt:i4>5</vt:i4>
      </vt:variant>
      <vt:variant>
        <vt:lpwstr>http://www.nevo.co.il/law/70301</vt:lpwstr>
      </vt:variant>
      <vt:variant>
        <vt:lpwstr/>
      </vt:variant>
      <vt:variant>
        <vt:i4>5177438</vt:i4>
      </vt:variant>
      <vt:variant>
        <vt:i4>96</vt:i4>
      </vt:variant>
      <vt:variant>
        <vt:i4>0</vt:i4>
      </vt:variant>
      <vt:variant>
        <vt:i4>5</vt:i4>
      </vt:variant>
      <vt:variant>
        <vt:lpwstr>http://www.nevo.co.il/law/70301/348.c</vt:lpwstr>
      </vt:variant>
      <vt:variant>
        <vt:lpwstr/>
      </vt:variant>
      <vt:variant>
        <vt:i4>7864418</vt:i4>
      </vt:variant>
      <vt:variant>
        <vt:i4>93</vt:i4>
      </vt:variant>
      <vt:variant>
        <vt:i4>0</vt:i4>
      </vt:variant>
      <vt:variant>
        <vt:i4>5</vt:i4>
      </vt:variant>
      <vt:variant>
        <vt:lpwstr>http://www.nevo.co.il/law/72507</vt:lpwstr>
      </vt:variant>
      <vt:variant>
        <vt:lpwstr/>
      </vt:variant>
      <vt:variant>
        <vt:i4>7929952</vt:i4>
      </vt:variant>
      <vt:variant>
        <vt:i4>90</vt:i4>
      </vt:variant>
      <vt:variant>
        <vt:i4>0</vt:i4>
      </vt:variant>
      <vt:variant>
        <vt:i4>5</vt:i4>
      </vt:variant>
      <vt:variant>
        <vt:lpwstr>http://www.nevo.co.il/law/72507/5.b</vt:lpwstr>
      </vt:variant>
      <vt:variant>
        <vt:lpwstr/>
      </vt:variant>
      <vt:variant>
        <vt:i4>5701717</vt:i4>
      </vt:variant>
      <vt:variant>
        <vt:i4>87</vt:i4>
      </vt:variant>
      <vt:variant>
        <vt:i4>0</vt:i4>
      </vt:variant>
      <vt:variant>
        <vt:i4>5</vt:i4>
      </vt:variant>
      <vt:variant>
        <vt:lpwstr>http://www.nevo.co.il/law/72507/4</vt:lpwstr>
      </vt:variant>
      <vt:variant>
        <vt:lpwstr/>
      </vt:variant>
      <vt:variant>
        <vt:i4>7864418</vt:i4>
      </vt:variant>
      <vt:variant>
        <vt:i4>84</vt:i4>
      </vt:variant>
      <vt:variant>
        <vt:i4>0</vt:i4>
      </vt:variant>
      <vt:variant>
        <vt:i4>5</vt:i4>
      </vt:variant>
      <vt:variant>
        <vt:lpwstr>http://www.nevo.co.il/law/72507</vt:lpwstr>
      </vt:variant>
      <vt:variant>
        <vt:lpwstr/>
      </vt:variant>
      <vt:variant>
        <vt:i4>7929952</vt:i4>
      </vt:variant>
      <vt:variant>
        <vt:i4>81</vt:i4>
      </vt:variant>
      <vt:variant>
        <vt:i4>0</vt:i4>
      </vt:variant>
      <vt:variant>
        <vt:i4>5</vt:i4>
      </vt:variant>
      <vt:variant>
        <vt:lpwstr>http://www.nevo.co.il/law/72507/5.a</vt:lpwstr>
      </vt:variant>
      <vt:variant>
        <vt:lpwstr/>
      </vt:variant>
      <vt:variant>
        <vt:i4>5701717</vt:i4>
      </vt:variant>
      <vt:variant>
        <vt:i4>78</vt:i4>
      </vt:variant>
      <vt:variant>
        <vt:i4>0</vt:i4>
      </vt:variant>
      <vt:variant>
        <vt:i4>5</vt:i4>
      </vt:variant>
      <vt:variant>
        <vt:lpwstr>http://www.nevo.co.il/law/72507/4</vt:lpwstr>
      </vt:variant>
      <vt:variant>
        <vt:lpwstr/>
      </vt:variant>
      <vt:variant>
        <vt:i4>7995492</vt:i4>
      </vt:variant>
      <vt:variant>
        <vt:i4>75</vt:i4>
      </vt:variant>
      <vt:variant>
        <vt:i4>0</vt:i4>
      </vt:variant>
      <vt:variant>
        <vt:i4>5</vt:i4>
      </vt:variant>
      <vt:variant>
        <vt:lpwstr>http://www.nevo.co.il/law/70301</vt:lpwstr>
      </vt:variant>
      <vt:variant>
        <vt:lpwstr/>
      </vt:variant>
      <vt:variant>
        <vt:i4>6291559</vt:i4>
      </vt:variant>
      <vt:variant>
        <vt:i4>72</vt:i4>
      </vt:variant>
      <vt:variant>
        <vt:i4>0</vt:i4>
      </vt:variant>
      <vt:variant>
        <vt:i4>5</vt:i4>
      </vt:variant>
      <vt:variant>
        <vt:lpwstr>http://www.nevo.co.il/law/70301/25</vt:lpwstr>
      </vt:variant>
      <vt:variant>
        <vt:lpwstr/>
      </vt:variant>
      <vt:variant>
        <vt:i4>5177438</vt:i4>
      </vt:variant>
      <vt:variant>
        <vt:i4>69</vt:i4>
      </vt:variant>
      <vt:variant>
        <vt:i4>0</vt:i4>
      </vt:variant>
      <vt:variant>
        <vt:i4>5</vt:i4>
      </vt:variant>
      <vt:variant>
        <vt:lpwstr>http://www.nevo.co.il/law/70301/348.c</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5177438</vt:i4>
      </vt:variant>
      <vt:variant>
        <vt:i4>63</vt:i4>
      </vt:variant>
      <vt:variant>
        <vt:i4>0</vt:i4>
      </vt:variant>
      <vt:variant>
        <vt:i4>5</vt:i4>
      </vt:variant>
      <vt:variant>
        <vt:lpwstr>http://www.nevo.co.il/law/70301/348.c</vt:lpwstr>
      </vt:variant>
      <vt:variant>
        <vt:lpwstr/>
      </vt:variant>
      <vt:variant>
        <vt:i4>7864418</vt:i4>
      </vt:variant>
      <vt:variant>
        <vt:i4>60</vt:i4>
      </vt:variant>
      <vt:variant>
        <vt:i4>0</vt:i4>
      </vt:variant>
      <vt:variant>
        <vt:i4>5</vt:i4>
      </vt:variant>
      <vt:variant>
        <vt:lpwstr>http://www.nevo.co.il/law/72507</vt:lpwstr>
      </vt:variant>
      <vt:variant>
        <vt:lpwstr/>
      </vt:variant>
      <vt:variant>
        <vt:i4>7929952</vt:i4>
      </vt:variant>
      <vt:variant>
        <vt:i4>57</vt:i4>
      </vt:variant>
      <vt:variant>
        <vt:i4>0</vt:i4>
      </vt:variant>
      <vt:variant>
        <vt:i4>5</vt:i4>
      </vt:variant>
      <vt:variant>
        <vt:lpwstr>http://www.nevo.co.il/law/72507/5.c</vt:lpwstr>
      </vt:variant>
      <vt:variant>
        <vt:lpwstr/>
      </vt:variant>
      <vt:variant>
        <vt:i4>5701717</vt:i4>
      </vt:variant>
      <vt:variant>
        <vt:i4>54</vt:i4>
      </vt:variant>
      <vt:variant>
        <vt:i4>0</vt:i4>
      </vt:variant>
      <vt:variant>
        <vt:i4>5</vt:i4>
      </vt:variant>
      <vt:variant>
        <vt:lpwstr>http://www.nevo.co.il/law/72507/4</vt:lpwstr>
      </vt:variant>
      <vt:variant>
        <vt:lpwstr/>
      </vt:variant>
      <vt:variant>
        <vt:i4>7864418</vt:i4>
      </vt:variant>
      <vt:variant>
        <vt:i4>51</vt:i4>
      </vt:variant>
      <vt:variant>
        <vt:i4>0</vt:i4>
      </vt:variant>
      <vt:variant>
        <vt:i4>5</vt:i4>
      </vt:variant>
      <vt:variant>
        <vt:lpwstr>http://www.nevo.co.il/law/72507</vt:lpwstr>
      </vt:variant>
      <vt:variant>
        <vt:lpwstr/>
      </vt:variant>
      <vt:variant>
        <vt:i4>7929952</vt:i4>
      </vt:variant>
      <vt:variant>
        <vt:i4>48</vt:i4>
      </vt:variant>
      <vt:variant>
        <vt:i4>0</vt:i4>
      </vt:variant>
      <vt:variant>
        <vt:i4>5</vt:i4>
      </vt:variant>
      <vt:variant>
        <vt:lpwstr>http://www.nevo.co.il/law/72507/5.b</vt:lpwstr>
      </vt:variant>
      <vt:variant>
        <vt:lpwstr/>
      </vt:variant>
      <vt:variant>
        <vt:i4>5701717</vt:i4>
      </vt:variant>
      <vt:variant>
        <vt:i4>45</vt:i4>
      </vt:variant>
      <vt:variant>
        <vt:i4>0</vt:i4>
      </vt:variant>
      <vt:variant>
        <vt:i4>5</vt:i4>
      </vt:variant>
      <vt:variant>
        <vt:lpwstr>http://www.nevo.co.il/law/72507/4</vt:lpwstr>
      </vt:variant>
      <vt:variant>
        <vt:lpwstr/>
      </vt:variant>
      <vt:variant>
        <vt:i4>7864418</vt:i4>
      </vt:variant>
      <vt:variant>
        <vt:i4>42</vt:i4>
      </vt:variant>
      <vt:variant>
        <vt:i4>0</vt:i4>
      </vt:variant>
      <vt:variant>
        <vt:i4>5</vt:i4>
      </vt:variant>
      <vt:variant>
        <vt:lpwstr>http://www.nevo.co.il/law/72507</vt:lpwstr>
      </vt:variant>
      <vt:variant>
        <vt:lpwstr/>
      </vt:variant>
      <vt:variant>
        <vt:i4>7929952</vt:i4>
      </vt:variant>
      <vt:variant>
        <vt:i4>39</vt:i4>
      </vt:variant>
      <vt:variant>
        <vt:i4>0</vt:i4>
      </vt:variant>
      <vt:variant>
        <vt:i4>5</vt:i4>
      </vt:variant>
      <vt:variant>
        <vt:lpwstr>http://www.nevo.co.il/law/72507/5.a</vt:lpwstr>
      </vt:variant>
      <vt:variant>
        <vt:lpwstr/>
      </vt:variant>
      <vt:variant>
        <vt:i4>5701717</vt:i4>
      </vt:variant>
      <vt:variant>
        <vt:i4>36</vt:i4>
      </vt:variant>
      <vt:variant>
        <vt:i4>0</vt:i4>
      </vt:variant>
      <vt:variant>
        <vt:i4>5</vt:i4>
      </vt:variant>
      <vt:variant>
        <vt:lpwstr>http://www.nevo.co.il/law/72507/4</vt:lpwstr>
      </vt:variant>
      <vt:variant>
        <vt:lpwstr/>
      </vt:variant>
      <vt:variant>
        <vt:i4>4259841</vt:i4>
      </vt:variant>
      <vt:variant>
        <vt:i4>33</vt:i4>
      </vt:variant>
      <vt:variant>
        <vt:i4>0</vt:i4>
      </vt:variant>
      <vt:variant>
        <vt:i4>5</vt:i4>
      </vt:variant>
      <vt:variant>
        <vt:lpwstr>http://www.nevo.co.il/law/98569/54a.b</vt:lpwstr>
      </vt:variant>
      <vt:variant>
        <vt:lpwstr/>
      </vt:variant>
      <vt:variant>
        <vt:i4>6815840</vt:i4>
      </vt:variant>
      <vt:variant>
        <vt:i4>30</vt:i4>
      </vt:variant>
      <vt:variant>
        <vt:i4>0</vt:i4>
      </vt:variant>
      <vt:variant>
        <vt:i4>5</vt:i4>
      </vt:variant>
      <vt:variant>
        <vt:lpwstr>http://www.nevo.co.il/law/98569/53</vt:lpwstr>
      </vt:variant>
      <vt:variant>
        <vt:lpwstr/>
      </vt:variant>
      <vt:variant>
        <vt:i4>7602284</vt:i4>
      </vt:variant>
      <vt:variant>
        <vt:i4>27</vt:i4>
      </vt:variant>
      <vt:variant>
        <vt:i4>0</vt:i4>
      </vt:variant>
      <vt:variant>
        <vt:i4>5</vt:i4>
      </vt:variant>
      <vt:variant>
        <vt:lpwstr>http://www.nevo.co.il/law/98569</vt:lpwstr>
      </vt:variant>
      <vt:variant>
        <vt:lpwstr/>
      </vt:variant>
      <vt:variant>
        <vt:i4>196621</vt:i4>
      </vt:variant>
      <vt:variant>
        <vt:i4>24</vt:i4>
      </vt:variant>
      <vt:variant>
        <vt:i4>0</vt:i4>
      </vt:variant>
      <vt:variant>
        <vt:i4>5</vt:i4>
      </vt:variant>
      <vt:variant>
        <vt:lpwstr>http://www.nevo.co.il/law/70301/34kb</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7929952</vt:i4>
      </vt:variant>
      <vt:variant>
        <vt:i4>12</vt:i4>
      </vt:variant>
      <vt:variant>
        <vt:i4>0</vt:i4>
      </vt:variant>
      <vt:variant>
        <vt:i4>5</vt:i4>
      </vt:variant>
      <vt:variant>
        <vt:lpwstr>http://www.nevo.co.il/law/72507/5.c</vt:lpwstr>
      </vt:variant>
      <vt:variant>
        <vt:lpwstr/>
      </vt:variant>
      <vt:variant>
        <vt:i4>7929952</vt:i4>
      </vt:variant>
      <vt:variant>
        <vt:i4>9</vt:i4>
      </vt:variant>
      <vt:variant>
        <vt:i4>0</vt:i4>
      </vt:variant>
      <vt:variant>
        <vt:i4>5</vt:i4>
      </vt:variant>
      <vt:variant>
        <vt:lpwstr>http://www.nevo.co.il/law/72507/5.b</vt:lpwstr>
      </vt:variant>
      <vt:variant>
        <vt:lpwstr/>
      </vt:variant>
      <vt:variant>
        <vt:i4>7929952</vt:i4>
      </vt:variant>
      <vt:variant>
        <vt:i4>6</vt:i4>
      </vt:variant>
      <vt:variant>
        <vt:i4>0</vt:i4>
      </vt:variant>
      <vt:variant>
        <vt:i4>5</vt:i4>
      </vt:variant>
      <vt:variant>
        <vt:lpwstr>http://www.nevo.co.il/law/72507/5.a</vt:lpwstr>
      </vt:variant>
      <vt:variant>
        <vt:lpwstr/>
      </vt:variant>
      <vt:variant>
        <vt:i4>5701717</vt:i4>
      </vt:variant>
      <vt:variant>
        <vt:i4>3</vt:i4>
      </vt:variant>
      <vt:variant>
        <vt:i4>0</vt:i4>
      </vt:variant>
      <vt:variant>
        <vt:i4>5</vt:i4>
      </vt:variant>
      <vt:variant>
        <vt:lpwstr>http://www.nevo.co.il/law/72507/4</vt:lpwstr>
      </vt:variant>
      <vt:variant>
        <vt:lpwstr/>
      </vt:variant>
      <vt:variant>
        <vt:i4>7864418</vt:i4>
      </vt:variant>
      <vt:variant>
        <vt:i4>0</vt:i4>
      </vt:variant>
      <vt:variant>
        <vt:i4>0</vt:i4>
      </vt:variant>
      <vt:variant>
        <vt:i4>5</vt:i4>
      </vt:variant>
      <vt:variant>
        <vt:lpwstr>http://www.nevo.co.il/law/72507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2005-08-28T06:08:00Z</cp:lastPrinted>
  <dcterms:created xsi:type="dcterms:W3CDTF">2022-05-24T10:14:00Z</dcterms:created>
  <dcterms:modified xsi:type="dcterms:W3CDTF">2022-05-24T10:14:00Z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3519</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שאול רווה</vt:lpwstr>
  </property>
  <property fmtid="{D5CDD505-2E9C-101B-9397-08002B2CF9AE}" pid="9" name="LAWYER">
    <vt:lpwstr>רס#ב גדבאן;שלומוביץ</vt:lpwstr>
  </property>
  <property fmtid="{D5CDD505-2E9C-101B-9397-08002B2CF9AE}" pid="10" name="JUDGE">
    <vt:lpwstr>ניצה שרון</vt:lpwstr>
  </property>
  <property fmtid="{D5CDD505-2E9C-101B-9397-08002B2CF9AE}" pid="11" name="CITY">
    <vt:lpwstr>חי'</vt:lpwstr>
  </property>
  <property fmtid="{D5CDD505-2E9C-101B-9397-08002B2CF9AE}" pid="12" name="DATE">
    <vt:lpwstr>20050908</vt:lpwstr>
  </property>
  <property fmtid="{D5CDD505-2E9C-101B-9397-08002B2CF9AE}" pid="13" name="WORDNUMPAGES">
    <vt:lpwstr>14</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17946334;6024185;17926647;17929311;17921630;17914394</vt:lpwstr>
  </property>
  <property fmtid="{D5CDD505-2E9C-101B-9397-08002B2CF9AE}" pid="32" name="LAWLISTTMP1">
    <vt:lpwstr>72507/004:5;005.a:2;005.b:2;005.c</vt:lpwstr>
  </property>
  <property fmtid="{D5CDD505-2E9C-101B-9397-08002B2CF9AE}" pid="33" name="LAWLISTTMP2">
    <vt:lpwstr>70301/348.c:3;025;34kb</vt:lpwstr>
  </property>
  <property fmtid="{D5CDD505-2E9C-101B-9397-08002B2CF9AE}" pid="34" name="LAWLISTTMP3">
    <vt:lpwstr>98569/053;054a.b</vt:lpwstr>
  </property>
</Properties>
</file>