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FC1E" w14:textId="77777777" w:rsidR="005D4EF5" w:rsidRDefault="005D4EF5">
      <w:pPr>
        <w:jc w:val="center"/>
        <w:rPr>
          <w:rFonts w:hint="cs"/>
          <w:rtl/>
        </w:rPr>
      </w:pPr>
      <w:r>
        <w:rPr>
          <w:rFonts w:hint="cs"/>
          <w:b/>
          <w:bCs/>
          <w:szCs w:val="32"/>
          <w:rtl/>
        </w:rPr>
        <w:t>בתי המשפט</w:t>
      </w:r>
      <w:r>
        <w:rPr>
          <w:rFonts w:hint="cs"/>
          <w:rtl/>
        </w:rPr>
        <w:t xml:space="preserve"> </w:t>
      </w:r>
    </w:p>
    <w:p w14:paraId="3F5BC139" w14:textId="77777777" w:rsidR="005D4EF5" w:rsidRDefault="005D4EF5">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2"/>
        <w:gridCol w:w="850"/>
        <w:gridCol w:w="2234"/>
      </w:tblGrid>
      <w:tr w:rsidR="005D4EF5" w14:paraId="2626DB2F" w14:textId="77777777" w:rsidTr="005D4EF5">
        <w:trPr>
          <w:cantSplit/>
          <w:trHeight w:val="195"/>
        </w:trPr>
        <w:tc>
          <w:tcPr>
            <w:tcW w:w="5438" w:type="dxa"/>
            <w:gridSpan w:val="2"/>
            <w:vMerge w:val="restart"/>
            <w:tcBorders>
              <w:top w:val="single" w:sz="4" w:space="0" w:color="auto"/>
              <w:left w:val="single" w:sz="4" w:space="0" w:color="auto"/>
              <w:bottom w:val="single" w:sz="4" w:space="0" w:color="auto"/>
              <w:right w:val="single" w:sz="4" w:space="0" w:color="auto"/>
            </w:tcBorders>
          </w:tcPr>
          <w:p w14:paraId="3E1075A2" w14:textId="77777777" w:rsidR="005D4EF5" w:rsidRDefault="005D4EF5">
            <w:pPr>
              <w:spacing w:line="240" w:lineRule="auto"/>
              <w:rPr>
                <w:b/>
                <w:bCs/>
                <w:sz w:val="26"/>
              </w:rPr>
            </w:pPr>
            <w:r>
              <w:rPr>
                <w:rFonts w:hint="cs"/>
                <w:b/>
                <w:bCs/>
                <w:sz w:val="26"/>
                <w:rtl/>
              </w:rPr>
              <w:t>בית משפט השלום ירושלים</w:t>
            </w:r>
          </w:p>
        </w:tc>
        <w:tc>
          <w:tcPr>
            <w:tcW w:w="3084" w:type="dxa"/>
            <w:gridSpan w:val="2"/>
            <w:tcBorders>
              <w:top w:val="single" w:sz="4" w:space="0" w:color="auto"/>
              <w:left w:val="single" w:sz="4" w:space="0" w:color="auto"/>
              <w:bottom w:val="single" w:sz="4" w:space="0" w:color="auto"/>
              <w:right w:val="single" w:sz="4" w:space="0" w:color="auto"/>
            </w:tcBorders>
          </w:tcPr>
          <w:p w14:paraId="187D9E19" w14:textId="77777777" w:rsidR="005D4EF5" w:rsidRDefault="005D4EF5">
            <w:pPr>
              <w:spacing w:line="240" w:lineRule="auto"/>
              <w:rPr>
                <w:b/>
                <w:bCs/>
                <w:sz w:val="26"/>
              </w:rPr>
            </w:pPr>
            <w:r>
              <w:rPr>
                <w:rFonts w:hint="cs"/>
                <w:b/>
                <w:bCs/>
                <w:sz w:val="26"/>
                <w:rtl/>
              </w:rPr>
              <w:t>פ  004105/02</w:t>
            </w:r>
          </w:p>
        </w:tc>
      </w:tr>
      <w:tr w:rsidR="005D4EF5" w14:paraId="136B257E" w14:textId="77777777" w:rsidTr="005D4EF5">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BB35318" w14:textId="77777777" w:rsidR="005D4EF5" w:rsidRDefault="005D4EF5">
            <w:pPr>
              <w:bidi w:val="0"/>
              <w:spacing w:line="240" w:lineRule="auto"/>
              <w:jc w:val="left"/>
              <w:rPr>
                <w:b/>
                <w:bCs/>
                <w:sz w:val="26"/>
              </w:rPr>
            </w:pPr>
          </w:p>
        </w:tc>
        <w:tc>
          <w:tcPr>
            <w:tcW w:w="3084" w:type="dxa"/>
            <w:gridSpan w:val="2"/>
            <w:tcBorders>
              <w:top w:val="single" w:sz="4" w:space="0" w:color="auto"/>
              <w:left w:val="single" w:sz="4" w:space="0" w:color="auto"/>
              <w:bottom w:val="single" w:sz="4" w:space="0" w:color="auto"/>
              <w:right w:val="single" w:sz="4" w:space="0" w:color="auto"/>
            </w:tcBorders>
          </w:tcPr>
          <w:p w14:paraId="6987A252" w14:textId="77777777" w:rsidR="005D4EF5" w:rsidRDefault="005D4EF5">
            <w:pPr>
              <w:spacing w:line="240" w:lineRule="auto"/>
              <w:rPr>
                <w:b/>
                <w:bCs/>
                <w:sz w:val="26"/>
              </w:rPr>
            </w:pPr>
          </w:p>
        </w:tc>
      </w:tr>
      <w:tr w:rsidR="005D4EF5" w14:paraId="229C0949" w14:textId="77777777" w:rsidTr="005D4EF5">
        <w:trPr>
          <w:trHeight w:val="286"/>
        </w:trPr>
        <w:tc>
          <w:tcPr>
            <w:tcW w:w="766" w:type="dxa"/>
            <w:tcBorders>
              <w:top w:val="single" w:sz="4" w:space="0" w:color="auto"/>
              <w:left w:val="single" w:sz="4" w:space="0" w:color="auto"/>
              <w:bottom w:val="single" w:sz="4" w:space="0" w:color="auto"/>
              <w:right w:val="single" w:sz="4" w:space="0" w:color="auto"/>
            </w:tcBorders>
          </w:tcPr>
          <w:p w14:paraId="108A165D" w14:textId="77777777" w:rsidR="005D4EF5" w:rsidRDefault="005D4EF5">
            <w:pPr>
              <w:spacing w:line="240" w:lineRule="auto"/>
              <w:rPr>
                <w:b/>
                <w:bCs/>
                <w:sz w:val="26"/>
              </w:rPr>
            </w:pPr>
            <w:bookmarkStart w:id="0" w:name="LastJudge"/>
            <w:r>
              <w:rPr>
                <w:rFonts w:hint="cs"/>
                <w:b/>
                <w:bCs/>
                <w:sz w:val="26"/>
                <w:rtl/>
              </w:rPr>
              <w:t>לפני:</w:t>
            </w:r>
          </w:p>
        </w:tc>
        <w:tc>
          <w:tcPr>
            <w:tcW w:w="4672" w:type="dxa"/>
            <w:tcBorders>
              <w:top w:val="single" w:sz="4" w:space="0" w:color="auto"/>
              <w:left w:val="single" w:sz="4" w:space="0" w:color="auto"/>
              <w:bottom w:val="single" w:sz="4" w:space="0" w:color="auto"/>
              <w:right w:val="single" w:sz="4" w:space="0" w:color="auto"/>
            </w:tcBorders>
          </w:tcPr>
          <w:p w14:paraId="1C889B1F" w14:textId="77777777" w:rsidR="005D4EF5" w:rsidRDefault="005D4EF5">
            <w:pPr>
              <w:spacing w:line="240" w:lineRule="auto"/>
              <w:rPr>
                <w:b/>
                <w:bCs/>
                <w:sz w:val="26"/>
              </w:rPr>
            </w:pPr>
            <w:r>
              <w:rPr>
                <w:rFonts w:hint="cs"/>
                <w:b/>
                <w:bCs/>
                <w:sz w:val="26"/>
                <w:rtl/>
              </w:rPr>
              <w:t>כבוד הנשיא אמנון כהן, שופט מחוזי</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B3A39E" w14:textId="77777777" w:rsidR="005D4EF5" w:rsidRDefault="005D4EF5">
            <w:pPr>
              <w:spacing w:line="240" w:lineRule="auto"/>
              <w:rPr>
                <w:b/>
                <w:bCs/>
                <w:sz w:val="26"/>
              </w:rPr>
            </w:pPr>
            <w:r>
              <w:rPr>
                <w:rFonts w:hint="cs"/>
                <w:b/>
                <w:bCs/>
                <w:sz w:val="26"/>
                <w:rtl/>
              </w:rPr>
              <w:t>תאריך:</w:t>
            </w:r>
          </w:p>
        </w:tc>
        <w:tc>
          <w:tcPr>
            <w:tcW w:w="2234" w:type="dxa"/>
            <w:tcBorders>
              <w:top w:val="single" w:sz="4" w:space="0" w:color="auto"/>
              <w:left w:val="single" w:sz="4" w:space="0" w:color="auto"/>
              <w:bottom w:val="single" w:sz="4" w:space="0" w:color="auto"/>
              <w:right w:val="single" w:sz="4" w:space="0" w:color="auto"/>
            </w:tcBorders>
          </w:tcPr>
          <w:p w14:paraId="6998B671" w14:textId="77777777" w:rsidR="005D4EF5" w:rsidRDefault="005D4EF5">
            <w:pPr>
              <w:spacing w:line="240" w:lineRule="auto"/>
              <w:rPr>
                <w:b/>
                <w:bCs/>
                <w:sz w:val="26"/>
              </w:rPr>
            </w:pPr>
            <w:r>
              <w:rPr>
                <w:rFonts w:hint="cs"/>
                <w:b/>
                <w:bCs/>
                <w:sz w:val="26"/>
                <w:rtl/>
              </w:rPr>
              <w:t>20/01/2005</w:t>
            </w:r>
          </w:p>
        </w:tc>
      </w:tr>
      <w:bookmarkEnd w:id="0"/>
    </w:tbl>
    <w:p w14:paraId="571CEF23" w14:textId="77777777" w:rsidR="005D4EF5" w:rsidRDefault="005D4EF5">
      <w:pPr>
        <w:pStyle w:val="Header"/>
        <w:jc w:val="left"/>
        <w:rPr>
          <w:rFonts w:hint="cs"/>
          <w:szCs w:val="20"/>
          <w:rtl/>
        </w:rPr>
      </w:pPr>
    </w:p>
    <w:p w14:paraId="0C0F05B5" w14:textId="77777777" w:rsidR="005D4EF5" w:rsidRDefault="005D4EF5">
      <w:pPr>
        <w:spacing w:line="240" w:lineRule="auto"/>
        <w:rPr>
          <w:rFonts w:hint="cs"/>
          <w:sz w:val="24"/>
          <w:szCs w:val="24"/>
          <w:rtl/>
        </w:rPr>
      </w:pPr>
    </w:p>
    <w:tbl>
      <w:tblPr>
        <w:bidiVisual/>
        <w:tblW w:w="8647" w:type="dxa"/>
        <w:tblCellMar>
          <w:left w:w="107" w:type="dxa"/>
          <w:right w:w="107" w:type="dxa"/>
        </w:tblCellMar>
        <w:tblLook w:val="0000" w:firstRow="0" w:lastRow="0" w:firstColumn="0" w:lastColumn="0" w:noHBand="0" w:noVBand="0"/>
      </w:tblPr>
      <w:tblGrid>
        <w:gridCol w:w="1418"/>
        <w:gridCol w:w="4450"/>
        <w:gridCol w:w="136"/>
        <w:gridCol w:w="234"/>
        <w:gridCol w:w="2409"/>
      </w:tblGrid>
      <w:tr w:rsidR="005D4EF5" w14:paraId="0B4E5B69" w14:textId="77777777" w:rsidTr="005D4EF5">
        <w:tc>
          <w:tcPr>
            <w:tcW w:w="1418" w:type="dxa"/>
          </w:tcPr>
          <w:p w14:paraId="375AAB20" w14:textId="77777777" w:rsidR="005D4EF5" w:rsidRDefault="005D4EF5">
            <w:pPr>
              <w:spacing w:after="80" w:line="320" w:lineRule="exact"/>
              <w:rPr>
                <w:b/>
                <w:bCs/>
                <w:sz w:val="24"/>
                <w:szCs w:val="24"/>
              </w:rPr>
            </w:pPr>
            <w:bookmarkStart w:id="1" w:name="FirstAppellant"/>
            <w:r>
              <w:rPr>
                <w:rFonts w:hint="cs"/>
                <w:b/>
                <w:bCs/>
                <w:sz w:val="24"/>
                <w:szCs w:val="24"/>
                <w:rtl/>
              </w:rPr>
              <w:t>בעניין:</w:t>
            </w:r>
          </w:p>
        </w:tc>
        <w:tc>
          <w:tcPr>
            <w:tcW w:w="4820" w:type="dxa"/>
            <w:gridSpan w:val="3"/>
          </w:tcPr>
          <w:p w14:paraId="2C63B135" w14:textId="77777777" w:rsidR="005D4EF5" w:rsidRDefault="005D4EF5">
            <w:pPr>
              <w:spacing w:after="80" w:line="320" w:lineRule="exact"/>
              <w:rPr>
                <w:b/>
                <w:bCs/>
                <w:sz w:val="24"/>
                <w:szCs w:val="24"/>
              </w:rPr>
            </w:pPr>
            <w:r>
              <w:rPr>
                <w:rFonts w:hint="cs"/>
                <w:b/>
                <w:bCs/>
                <w:sz w:val="24"/>
                <w:szCs w:val="24"/>
                <w:rtl/>
              </w:rPr>
              <w:t>מדינת ישראל</w:t>
            </w:r>
          </w:p>
        </w:tc>
        <w:tc>
          <w:tcPr>
            <w:tcW w:w="2409" w:type="dxa"/>
          </w:tcPr>
          <w:p w14:paraId="07921C25" w14:textId="77777777" w:rsidR="005D4EF5" w:rsidRDefault="005D4EF5">
            <w:pPr>
              <w:spacing w:after="80" w:line="320" w:lineRule="exact"/>
              <w:rPr>
                <w:b/>
                <w:bCs/>
                <w:sz w:val="24"/>
                <w:szCs w:val="24"/>
              </w:rPr>
            </w:pPr>
          </w:p>
        </w:tc>
      </w:tr>
      <w:bookmarkEnd w:id="1"/>
      <w:tr w:rsidR="005D4EF5" w14:paraId="37836AEE" w14:textId="77777777" w:rsidTr="005D4EF5">
        <w:tc>
          <w:tcPr>
            <w:tcW w:w="1418" w:type="dxa"/>
          </w:tcPr>
          <w:p w14:paraId="581585D0" w14:textId="77777777" w:rsidR="005D4EF5" w:rsidRDefault="005D4EF5">
            <w:pPr>
              <w:spacing w:after="80" w:line="320" w:lineRule="exact"/>
              <w:rPr>
                <w:b/>
                <w:bCs/>
                <w:sz w:val="24"/>
                <w:szCs w:val="24"/>
              </w:rPr>
            </w:pPr>
          </w:p>
        </w:tc>
        <w:tc>
          <w:tcPr>
            <w:tcW w:w="4450" w:type="dxa"/>
          </w:tcPr>
          <w:p w14:paraId="4CBB5F05" w14:textId="77777777" w:rsidR="005D4EF5" w:rsidRDefault="005D4EF5">
            <w:pPr>
              <w:spacing w:after="80" w:line="320" w:lineRule="exact"/>
              <w:rPr>
                <w:b/>
                <w:bCs/>
                <w:sz w:val="24"/>
                <w:szCs w:val="24"/>
              </w:rPr>
            </w:pPr>
            <w:r>
              <w:rPr>
                <w:rFonts w:hint="cs"/>
                <w:b/>
                <w:bCs/>
                <w:sz w:val="24"/>
                <w:szCs w:val="24"/>
                <w:rtl/>
              </w:rPr>
              <w:t>ע"י פרקליטות מחוז ירושלים</w:t>
            </w:r>
          </w:p>
        </w:tc>
        <w:tc>
          <w:tcPr>
            <w:tcW w:w="370" w:type="dxa"/>
            <w:gridSpan w:val="2"/>
          </w:tcPr>
          <w:p w14:paraId="4B391038" w14:textId="77777777" w:rsidR="005D4EF5" w:rsidRDefault="005D4EF5">
            <w:pPr>
              <w:spacing w:after="80" w:line="320" w:lineRule="exact"/>
              <w:rPr>
                <w:b/>
                <w:bCs/>
                <w:sz w:val="24"/>
                <w:szCs w:val="24"/>
              </w:rPr>
            </w:pPr>
          </w:p>
        </w:tc>
        <w:tc>
          <w:tcPr>
            <w:tcW w:w="2409" w:type="dxa"/>
          </w:tcPr>
          <w:p w14:paraId="6730002B" w14:textId="77777777" w:rsidR="005D4EF5" w:rsidRDefault="005D4EF5">
            <w:pPr>
              <w:pStyle w:val="Heading4"/>
              <w:keepNext w:val="0"/>
              <w:spacing w:after="80" w:line="320" w:lineRule="exact"/>
              <w:rPr>
                <w:sz w:val="24"/>
                <w:szCs w:val="24"/>
                <w:u w:val="none"/>
              </w:rPr>
            </w:pPr>
            <w:r>
              <w:rPr>
                <w:rFonts w:hint="cs"/>
                <w:sz w:val="24"/>
                <w:szCs w:val="24"/>
                <w:u w:val="none"/>
                <w:rtl/>
              </w:rPr>
              <w:t>המאשימה</w:t>
            </w:r>
          </w:p>
        </w:tc>
      </w:tr>
      <w:tr w:rsidR="005D4EF5" w14:paraId="354D3DF4" w14:textId="77777777" w:rsidTr="005D4EF5">
        <w:tc>
          <w:tcPr>
            <w:tcW w:w="1418" w:type="dxa"/>
          </w:tcPr>
          <w:p w14:paraId="47AA0939" w14:textId="77777777" w:rsidR="005D4EF5" w:rsidRDefault="005D4EF5">
            <w:pPr>
              <w:spacing w:after="80" w:line="320" w:lineRule="exact"/>
              <w:rPr>
                <w:b/>
                <w:bCs/>
                <w:sz w:val="24"/>
                <w:szCs w:val="24"/>
              </w:rPr>
            </w:pPr>
          </w:p>
        </w:tc>
        <w:tc>
          <w:tcPr>
            <w:tcW w:w="4820" w:type="dxa"/>
            <w:gridSpan w:val="3"/>
          </w:tcPr>
          <w:p w14:paraId="6130A499" w14:textId="77777777" w:rsidR="005D4EF5" w:rsidRDefault="005D4EF5">
            <w:pPr>
              <w:pStyle w:val="Heading3"/>
              <w:keepNext w:val="0"/>
              <w:spacing w:after="80" w:line="320" w:lineRule="exact"/>
              <w:jc w:val="both"/>
              <w:rPr>
                <w:sz w:val="24"/>
                <w:szCs w:val="24"/>
              </w:rPr>
            </w:pPr>
            <w:r>
              <w:rPr>
                <w:rFonts w:hint="cs"/>
                <w:sz w:val="24"/>
                <w:szCs w:val="24"/>
                <w:rtl/>
              </w:rPr>
              <w:t>נגד</w:t>
            </w:r>
          </w:p>
          <w:p w14:paraId="22277A12" w14:textId="77777777" w:rsidR="005D4EF5" w:rsidRDefault="005D4EF5">
            <w:pPr>
              <w:spacing w:after="80" w:line="320" w:lineRule="exact"/>
              <w:rPr>
                <w:b/>
                <w:bCs/>
                <w:sz w:val="24"/>
                <w:szCs w:val="24"/>
              </w:rPr>
            </w:pPr>
          </w:p>
        </w:tc>
        <w:tc>
          <w:tcPr>
            <w:tcW w:w="2409" w:type="dxa"/>
          </w:tcPr>
          <w:p w14:paraId="5F82BB03" w14:textId="77777777" w:rsidR="005D4EF5" w:rsidRDefault="005D4EF5">
            <w:pPr>
              <w:spacing w:after="80" w:line="320" w:lineRule="exact"/>
              <w:rPr>
                <w:b/>
                <w:bCs/>
                <w:sz w:val="24"/>
                <w:szCs w:val="24"/>
              </w:rPr>
            </w:pPr>
          </w:p>
        </w:tc>
      </w:tr>
      <w:tr w:rsidR="005D4EF5" w14:paraId="2F35B4F7" w14:textId="77777777" w:rsidTr="005D4EF5">
        <w:tc>
          <w:tcPr>
            <w:tcW w:w="1418" w:type="dxa"/>
          </w:tcPr>
          <w:p w14:paraId="6F4E87A3" w14:textId="77777777" w:rsidR="005D4EF5" w:rsidRDefault="005D4EF5">
            <w:pPr>
              <w:spacing w:after="80" w:line="320" w:lineRule="exact"/>
              <w:rPr>
                <w:b/>
                <w:bCs/>
                <w:sz w:val="24"/>
                <w:szCs w:val="24"/>
              </w:rPr>
            </w:pPr>
            <w:bookmarkStart w:id="2" w:name="שם_ב" w:colFirst="1" w:colLast="1"/>
          </w:p>
        </w:tc>
        <w:tc>
          <w:tcPr>
            <w:tcW w:w="4820" w:type="dxa"/>
            <w:gridSpan w:val="3"/>
          </w:tcPr>
          <w:p w14:paraId="32B67BCA" w14:textId="77777777" w:rsidR="005D4EF5" w:rsidRDefault="005D4EF5">
            <w:pPr>
              <w:spacing w:after="80" w:line="320" w:lineRule="exact"/>
              <w:rPr>
                <w:b/>
                <w:bCs/>
                <w:sz w:val="24"/>
                <w:szCs w:val="24"/>
              </w:rPr>
            </w:pPr>
            <w:r>
              <w:rPr>
                <w:rFonts w:hint="cs"/>
                <w:b/>
                <w:bCs/>
                <w:sz w:val="24"/>
                <w:szCs w:val="24"/>
                <w:rtl/>
              </w:rPr>
              <w:t>מרדכי אבא שאול</w:t>
            </w:r>
          </w:p>
        </w:tc>
        <w:tc>
          <w:tcPr>
            <w:tcW w:w="2409" w:type="dxa"/>
          </w:tcPr>
          <w:p w14:paraId="1DB7CCBA" w14:textId="77777777" w:rsidR="005D4EF5" w:rsidRDefault="005D4EF5">
            <w:pPr>
              <w:spacing w:after="80" w:line="320" w:lineRule="exact"/>
              <w:rPr>
                <w:b/>
                <w:bCs/>
                <w:sz w:val="24"/>
                <w:szCs w:val="24"/>
              </w:rPr>
            </w:pPr>
          </w:p>
        </w:tc>
      </w:tr>
      <w:tr w:rsidR="005D4EF5" w14:paraId="5C5278B9" w14:textId="77777777" w:rsidTr="005D4EF5">
        <w:tc>
          <w:tcPr>
            <w:tcW w:w="1418" w:type="dxa"/>
          </w:tcPr>
          <w:p w14:paraId="3A6C46D1" w14:textId="77777777" w:rsidR="005D4EF5" w:rsidRDefault="005D4EF5">
            <w:pPr>
              <w:spacing w:after="80" w:line="320" w:lineRule="exact"/>
              <w:rPr>
                <w:b/>
                <w:bCs/>
                <w:sz w:val="24"/>
                <w:szCs w:val="24"/>
              </w:rPr>
            </w:pPr>
            <w:bookmarkStart w:id="3" w:name="בא_כוח_ב" w:colFirst="2" w:colLast="2"/>
            <w:bookmarkStart w:id="4" w:name="FirstLawyer"/>
            <w:bookmarkEnd w:id="2"/>
          </w:p>
        </w:tc>
        <w:tc>
          <w:tcPr>
            <w:tcW w:w="4586" w:type="dxa"/>
            <w:gridSpan w:val="2"/>
          </w:tcPr>
          <w:p w14:paraId="66E586A8" w14:textId="77777777" w:rsidR="005D4EF5" w:rsidRDefault="005D4EF5">
            <w:pPr>
              <w:spacing w:after="80" w:line="320" w:lineRule="exact"/>
              <w:rPr>
                <w:b/>
                <w:bCs/>
                <w:sz w:val="24"/>
                <w:szCs w:val="24"/>
              </w:rPr>
            </w:pPr>
            <w:r>
              <w:rPr>
                <w:rFonts w:hint="cs"/>
                <w:b/>
                <w:bCs/>
                <w:sz w:val="24"/>
                <w:szCs w:val="24"/>
                <w:rtl/>
              </w:rPr>
              <w:t>ע"י ב"כ עו"ד ואדים שוב</w:t>
            </w:r>
          </w:p>
        </w:tc>
        <w:tc>
          <w:tcPr>
            <w:tcW w:w="234" w:type="dxa"/>
          </w:tcPr>
          <w:p w14:paraId="0E6BC6DB" w14:textId="77777777" w:rsidR="005D4EF5" w:rsidRDefault="005D4EF5">
            <w:pPr>
              <w:spacing w:after="80" w:line="320" w:lineRule="exact"/>
              <w:rPr>
                <w:b/>
                <w:bCs/>
                <w:sz w:val="24"/>
                <w:szCs w:val="24"/>
              </w:rPr>
            </w:pPr>
          </w:p>
        </w:tc>
        <w:tc>
          <w:tcPr>
            <w:tcW w:w="2409" w:type="dxa"/>
          </w:tcPr>
          <w:p w14:paraId="57B881A5" w14:textId="77777777" w:rsidR="005D4EF5" w:rsidRDefault="005D4EF5">
            <w:pPr>
              <w:pStyle w:val="Heading5"/>
              <w:keepNext w:val="0"/>
              <w:spacing w:after="80" w:line="320" w:lineRule="exact"/>
              <w:rPr>
                <w:sz w:val="24"/>
                <w:szCs w:val="24"/>
                <w:u w:val="none"/>
              </w:rPr>
            </w:pPr>
            <w:r>
              <w:rPr>
                <w:rFonts w:hint="cs"/>
                <w:sz w:val="24"/>
                <w:szCs w:val="24"/>
                <w:u w:val="none"/>
                <w:rtl/>
              </w:rPr>
              <w:t>הנאשם</w:t>
            </w:r>
          </w:p>
        </w:tc>
      </w:tr>
    </w:tbl>
    <w:p w14:paraId="62EE2C9E" w14:textId="77777777" w:rsidR="005D4EF5" w:rsidRDefault="005D4EF5">
      <w:pPr>
        <w:spacing w:line="240" w:lineRule="auto"/>
        <w:rPr>
          <w:rFonts w:hint="cs"/>
          <w:sz w:val="24"/>
          <w:szCs w:val="24"/>
          <w:rtl/>
        </w:rPr>
      </w:pPr>
      <w:bookmarkStart w:id="5" w:name="צד_ג"/>
      <w:bookmarkEnd w:id="3"/>
      <w:bookmarkEnd w:id="4"/>
      <w:bookmarkEnd w:id="5"/>
    </w:p>
    <w:p w14:paraId="66329A50" w14:textId="77777777" w:rsidR="00DA62A3" w:rsidRDefault="00DA62A3">
      <w:pPr>
        <w:pStyle w:val="Heading1"/>
        <w:rPr>
          <w:b w:val="0"/>
          <w:bCs w:val="0"/>
          <w:sz w:val="24"/>
          <w:szCs w:val="28"/>
          <w:u w:val="none"/>
          <w:rtl/>
        </w:rPr>
      </w:pPr>
      <w:bookmarkStart w:id="6" w:name="סוג_מסמך"/>
      <w:bookmarkStart w:id="7" w:name="LawTable"/>
      <w:bookmarkEnd w:id="6"/>
      <w:bookmarkEnd w:id="7"/>
    </w:p>
    <w:p w14:paraId="3E56E500" w14:textId="77777777" w:rsidR="00DA62A3" w:rsidRPr="00DA62A3" w:rsidRDefault="00DA62A3" w:rsidP="00DA62A3">
      <w:pPr>
        <w:pStyle w:val="Heading1"/>
        <w:spacing w:after="120" w:line="240" w:lineRule="exact"/>
        <w:ind w:left="283" w:hanging="283"/>
        <w:jc w:val="both"/>
        <w:rPr>
          <w:rFonts w:ascii="FrankRuehl" w:hAnsi="FrankRuehl" w:cs="FrankRuehl"/>
          <w:b w:val="0"/>
          <w:bCs w:val="0"/>
          <w:sz w:val="24"/>
          <w:szCs w:val="24"/>
          <w:u w:val="none"/>
          <w:rtl/>
        </w:rPr>
      </w:pPr>
    </w:p>
    <w:p w14:paraId="269C0718" w14:textId="77777777" w:rsidR="00DA62A3" w:rsidRPr="00DA62A3" w:rsidRDefault="00DA62A3" w:rsidP="00DA62A3">
      <w:pPr>
        <w:pStyle w:val="Heading1"/>
        <w:spacing w:after="120" w:line="240" w:lineRule="exact"/>
        <w:ind w:left="283" w:hanging="283"/>
        <w:jc w:val="both"/>
        <w:rPr>
          <w:rFonts w:ascii="FrankRuehl" w:hAnsi="FrankRuehl" w:cs="FrankRuehl"/>
          <w:b w:val="0"/>
          <w:bCs w:val="0"/>
          <w:sz w:val="24"/>
          <w:szCs w:val="24"/>
          <w:u w:val="none"/>
          <w:rtl/>
        </w:rPr>
      </w:pPr>
      <w:r w:rsidRPr="00DA62A3">
        <w:rPr>
          <w:rFonts w:ascii="FrankRuehl" w:hAnsi="FrankRuehl" w:cs="FrankRuehl"/>
          <w:b w:val="0"/>
          <w:bCs w:val="0"/>
          <w:sz w:val="24"/>
          <w:szCs w:val="24"/>
          <w:u w:val="none"/>
          <w:rtl/>
        </w:rPr>
        <w:t xml:space="preserve">חקיקה שאוזכרה: </w:t>
      </w:r>
    </w:p>
    <w:p w14:paraId="4AC8F23E" w14:textId="77777777" w:rsidR="00DA62A3" w:rsidRPr="00DA62A3" w:rsidRDefault="00DA62A3" w:rsidP="00DA62A3">
      <w:pPr>
        <w:pStyle w:val="Heading1"/>
        <w:spacing w:after="120" w:line="240" w:lineRule="exact"/>
        <w:ind w:left="283" w:hanging="283"/>
        <w:jc w:val="both"/>
        <w:rPr>
          <w:rFonts w:ascii="FrankRuehl" w:hAnsi="FrankRuehl" w:cs="FrankRuehl"/>
          <w:b w:val="0"/>
          <w:bCs w:val="0"/>
          <w:color w:val="0000FF"/>
          <w:sz w:val="24"/>
          <w:szCs w:val="24"/>
          <w:rtl/>
        </w:rPr>
      </w:pPr>
      <w:hyperlink r:id="rId7" w:history="1">
        <w:r w:rsidRPr="00DA62A3">
          <w:rPr>
            <w:rStyle w:val="Hyperlink"/>
            <w:rFonts w:ascii="FrankRuehl" w:hAnsi="FrankRuehl" w:cs="FrankRuehl"/>
            <w:b w:val="0"/>
            <w:bCs w:val="0"/>
            <w:sz w:val="24"/>
            <w:szCs w:val="24"/>
            <w:rtl/>
          </w:rPr>
          <w:t>חוק העונשין, תשל"ז-1977</w:t>
        </w:r>
      </w:hyperlink>
      <w:r w:rsidRPr="00DA62A3">
        <w:rPr>
          <w:rFonts w:ascii="FrankRuehl" w:hAnsi="FrankRuehl" w:cs="FrankRuehl"/>
          <w:b w:val="0"/>
          <w:bCs w:val="0"/>
          <w:color w:val="0000FF"/>
          <w:sz w:val="24"/>
          <w:szCs w:val="24"/>
          <w:rtl/>
        </w:rPr>
        <w:t xml:space="preserve">: סע'  </w:t>
      </w:r>
      <w:hyperlink r:id="rId8" w:history="1">
        <w:r w:rsidRPr="00DA62A3">
          <w:rPr>
            <w:rStyle w:val="Hyperlink"/>
            <w:rFonts w:ascii="FrankRuehl" w:hAnsi="FrankRuehl" w:cs="FrankRuehl"/>
            <w:b w:val="0"/>
            <w:bCs w:val="0"/>
            <w:sz w:val="24"/>
            <w:szCs w:val="24"/>
          </w:rPr>
          <w:t>348(</w:t>
        </w:r>
        <w:r w:rsidRPr="00DA62A3">
          <w:rPr>
            <w:rStyle w:val="Hyperlink"/>
            <w:rFonts w:ascii="FrankRuehl" w:hAnsi="FrankRuehl" w:cs="FrankRuehl"/>
            <w:b w:val="0"/>
            <w:bCs w:val="0"/>
            <w:sz w:val="24"/>
            <w:szCs w:val="24"/>
            <w:rtl/>
          </w:rPr>
          <w:t>ג</w:t>
        </w:r>
        <w:r w:rsidRPr="00DA62A3">
          <w:rPr>
            <w:rStyle w:val="Hyperlink"/>
            <w:rFonts w:ascii="FrankRuehl" w:hAnsi="FrankRuehl" w:cs="FrankRuehl"/>
            <w:b w:val="0"/>
            <w:bCs w:val="0"/>
            <w:sz w:val="24"/>
            <w:szCs w:val="24"/>
          </w:rPr>
          <w:t>)</w:t>
        </w:r>
      </w:hyperlink>
      <w:r w:rsidRPr="00DA62A3">
        <w:rPr>
          <w:rFonts w:ascii="FrankRuehl" w:hAnsi="FrankRuehl" w:cs="FrankRuehl"/>
          <w:b w:val="0"/>
          <w:bCs w:val="0"/>
          <w:color w:val="0000FF"/>
          <w:sz w:val="24"/>
          <w:szCs w:val="24"/>
          <w:rtl/>
        </w:rPr>
        <w:t xml:space="preserve">, </w:t>
      </w:r>
      <w:hyperlink r:id="rId9" w:history="1">
        <w:r w:rsidRPr="00DA62A3">
          <w:rPr>
            <w:rStyle w:val="Hyperlink"/>
            <w:rFonts w:ascii="FrankRuehl" w:hAnsi="FrankRuehl" w:cs="FrankRuehl"/>
            <w:b w:val="0"/>
            <w:bCs w:val="0"/>
            <w:sz w:val="24"/>
            <w:szCs w:val="24"/>
          </w:rPr>
          <w:t>349</w:t>
        </w:r>
        <w:r w:rsidRPr="00DA62A3">
          <w:rPr>
            <w:rStyle w:val="Hyperlink"/>
            <w:rFonts w:ascii="FrankRuehl" w:hAnsi="FrankRuehl" w:cs="FrankRuehl"/>
            <w:b w:val="0"/>
            <w:bCs w:val="0"/>
            <w:sz w:val="24"/>
            <w:szCs w:val="24"/>
            <w:rtl/>
          </w:rPr>
          <w:t>ב</w:t>
        </w:r>
        <w:r w:rsidRPr="00DA62A3">
          <w:rPr>
            <w:rStyle w:val="Hyperlink"/>
            <w:rFonts w:ascii="FrankRuehl" w:hAnsi="FrankRuehl" w:cs="FrankRuehl"/>
            <w:b w:val="0"/>
            <w:bCs w:val="0"/>
            <w:sz w:val="24"/>
            <w:szCs w:val="24"/>
          </w:rPr>
          <w:t>'</w:t>
        </w:r>
      </w:hyperlink>
    </w:p>
    <w:p w14:paraId="1A021C27" w14:textId="77777777" w:rsidR="00DA62A3" w:rsidRPr="00DA62A3" w:rsidRDefault="00DA62A3" w:rsidP="00DA62A3">
      <w:pPr>
        <w:pStyle w:val="Heading1"/>
        <w:spacing w:after="120" w:line="240" w:lineRule="exact"/>
        <w:ind w:left="283" w:hanging="283"/>
        <w:jc w:val="both"/>
        <w:rPr>
          <w:rFonts w:ascii="FrankRuehl" w:hAnsi="FrankRuehl" w:cs="FrankRuehl"/>
          <w:b w:val="0"/>
          <w:bCs w:val="0"/>
          <w:sz w:val="24"/>
          <w:szCs w:val="24"/>
          <w:u w:val="none"/>
          <w:rtl/>
        </w:rPr>
      </w:pPr>
    </w:p>
    <w:p w14:paraId="5DFEBFA9" w14:textId="77777777" w:rsidR="00DA62A3" w:rsidRPr="00DA62A3" w:rsidRDefault="00DA62A3">
      <w:pPr>
        <w:pStyle w:val="Heading1"/>
        <w:rPr>
          <w:b w:val="0"/>
          <w:bCs w:val="0"/>
          <w:sz w:val="24"/>
          <w:szCs w:val="28"/>
          <w:u w:val="none"/>
          <w:rtl/>
        </w:rPr>
      </w:pPr>
      <w:bookmarkStart w:id="8" w:name="LawTable_End"/>
      <w:bookmarkEnd w:id="8"/>
    </w:p>
    <w:p w14:paraId="110B98C7" w14:textId="77777777" w:rsidR="00DA62A3" w:rsidRPr="00DA62A3" w:rsidRDefault="00DA62A3">
      <w:pPr>
        <w:pStyle w:val="Heading1"/>
        <w:rPr>
          <w:sz w:val="24"/>
          <w:szCs w:val="28"/>
          <w:u w:val="none"/>
          <w:rtl/>
        </w:rPr>
      </w:pPr>
    </w:p>
    <w:p w14:paraId="04F0D0BB" w14:textId="77777777" w:rsidR="005D4EF5" w:rsidRPr="00DA62A3" w:rsidRDefault="005D4EF5">
      <w:pPr>
        <w:pStyle w:val="Heading1"/>
        <w:rPr>
          <w:sz w:val="24"/>
          <w:szCs w:val="28"/>
          <w:u w:val="none"/>
          <w:rtl/>
        </w:rPr>
      </w:pPr>
    </w:p>
    <w:p w14:paraId="25843F85" w14:textId="77777777" w:rsidR="005D4EF5" w:rsidRDefault="005D4EF5">
      <w:pPr>
        <w:jc w:val="center"/>
        <w:rPr>
          <w:b/>
          <w:bCs/>
          <w:sz w:val="24"/>
          <w:szCs w:val="28"/>
          <w:u w:val="single"/>
          <w:rtl/>
        </w:rPr>
      </w:pPr>
      <w:bookmarkStart w:id="9" w:name="PsakDin"/>
      <w:r>
        <w:rPr>
          <w:b/>
          <w:bCs/>
          <w:sz w:val="24"/>
          <w:szCs w:val="28"/>
          <w:u w:val="single"/>
          <w:rtl/>
        </w:rPr>
        <w:t>הכרעת דין</w:t>
      </w:r>
    </w:p>
    <w:bookmarkEnd w:id="9"/>
    <w:p w14:paraId="5D85A3E3" w14:textId="77777777" w:rsidR="005D4EF5" w:rsidRDefault="005D4EF5">
      <w:pPr>
        <w:rPr>
          <w:rFonts w:hint="cs"/>
          <w:sz w:val="24"/>
          <w:szCs w:val="24"/>
          <w:rtl/>
        </w:rPr>
      </w:pPr>
    </w:p>
    <w:p w14:paraId="6AED1BBF" w14:textId="77777777" w:rsidR="005D4EF5" w:rsidRDefault="005D4EF5">
      <w:pPr>
        <w:rPr>
          <w:rFonts w:hint="cs"/>
          <w:sz w:val="24"/>
          <w:szCs w:val="24"/>
          <w:rtl/>
        </w:rPr>
      </w:pPr>
      <w:r>
        <w:rPr>
          <w:rFonts w:hint="cs"/>
          <w:sz w:val="24"/>
          <w:szCs w:val="24"/>
          <w:rtl/>
        </w:rPr>
        <w:t>נגד הנאשם הוגש כתב אישום לפיו בתאריך 20.12.01 בבית הכנסת "</w:t>
      </w:r>
      <w:r>
        <w:rPr>
          <w:rFonts w:hint="cs"/>
          <w:b/>
          <w:bCs/>
          <w:sz w:val="24"/>
          <w:szCs w:val="24"/>
          <w:rtl/>
        </w:rPr>
        <w:t xml:space="preserve">נר יוסף" </w:t>
      </w:r>
      <w:r>
        <w:rPr>
          <w:rFonts w:hint="cs"/>
          <w:sz w:val="24"/>
          <w:szCs w:val="24"/>
          <w:rtl/>
        </w:rPr>
        <w:t>בירושלים, בשעת אחר הצהריים, פגש את הקטין מ.פ. יליד 09.12.87 (להלן: "</w:t>
      </w:r>
      <w:r>
        <w:rPr>
          <w:rFonts w:hint="cs"/>
          <w:b/>
          <w:bCs/>
          <w:sz w:val="24"/>
          <w:szCs w:val="24"/>
          <w:rtl/>
        </w:rPr>
        <w:t>הקטין</w:t>
      </w:r>
      <w:r>
        <w:rPr>
          <w:rFonts w:hint="cs"/>
          <w:sz w:val="24"/>
          <w:szCs w:val="24"/>
          <w:rtl/>
        </w:rPr>
        <w:t>") בצאתו מהשירותים.</w:t>
      </w:r>
    </w:p>
    <w:p w14:paraId="254E57E3" w14:textId="77777777" w:rsidR="005D4EF5" w:rsidRDefault="005D4EF5">
      <w:pPr>
        <w:rPr>
          <w:rFonts w:hint="cs"/>
          <w:sz w:val="24"/>
          <w:szCs w:val="24"/>
          <w:rtl/>
        </w:rPr>
      </w:pPr>
    </w:p>
    <w:p w14:paraId="498E6FB6" w14:textId="77777777" w:rsidR="005D4EF5" w:rsidRDefault="005D4EF5">
      <w:pPr>
        <w:rPr>
          <w:rFonts w:hint="cs"/>
          <w:sz w:val="24"/>
          <w:szCs w:val="24"/>
          <w:rtl/>
        </w:rPr>
      </w:pPr>
      <w:r>
        <w:rPr>
          <w:rFonts w:hint="cs"/>
          <w:sz w:val="24"/>
          <w:szCs w:val="24"/>
          <w:rtl/>
        </w:rPr>
        <w:t>בהתאם לאמור בכתב האישום, פנה הנאשם אל הקטין והחל לשוחח עימו ובהגיעם לחדר הסמוך אמר לקטין "</w:t>
      </w:r>
      <w:r>
        <w:rPr>
          <w:rFonts w:hint="cs"/>
          <w:b/>
          <w:bCs/>
          <w:sz w:val="24"/>
          <w:szCs w:val="24"/>
          <w:rtl/>
        </w:rPr>
        <w:t>אתה חמוד</w:t>
      </w:r>
      <w:r>
        <w:rPr>
          <w:rFonts w:hint="cs"/>
          <w:sz w:val="24"/>
          <w:szCs w:val="24"/>
          <w:rtl/>
        </w:rPr>
        <w:t xml:space="preserve">" תפס אותו בניגוד לרצונו והחל לנשק ולחבק אותו בחוזקה כשהוא מציין שאינו יכול להתאפק. </w:t>
      </w:r>
    </w:p>
    <w:p w14:paraId="7860878F" w14:textId="77777777" w:rsidR="005D4EF5" w:rsidRDefault="005D4EF5">
      <w:pPr>
        <w:rPr>
          <w:rFonts w:hint="cs"/>
          <w:color w:val="FFFFFF"/>
          <w:sz w:val="4"/>
          <w:szCs w:val="4"/>
          <w:rtl/>
        </w:rPr>
      </w:pPr>
    </w:p>
    <w:p w14:paraId="2A3D6F1D" w14:textId="77777777" w:rsidR="005D4EF5" w:rsidRDefault="005D4EF5">
      <w:pPr>
        <w:rPr>
          <w:rFonts w:hint="cs"/>
          <w:sz w:val="24"/>
          <w:szCs w:val="24"/>
          <w:rtl/>
        </w:rPr>
      </w:pPr>
      <w:r>
        <w:rPr>
          <w:color w:val="FFFFFF"/>
          <w:sz w:val="4"/>
          <w:szCs w:val="4"/>
          <w:rtl/>
        </w:rPr>
        <w:t>5129371</w:t>
      </w:r>
    </w:p>
    <w:p w14:paraId="11DC703F" w14:textId="77777777" w:rsidR="005D4EF5" w:rsidRDefault="005D4EF5">
      <w:pPr>
        <w:rPr>
          <w:rFonts w:hint="cs"/>
          <w:sz w:val="24"/>
          <w:szCs w:val="24"/>
          <w:rtl/>
        </w:rPr>
      </w:pPr>
      <w:r>
        <w:rPr>
          <w:rFonts w:hint="cs"/>
          <w:sz w:val="24"/>
          <w:szCs w:val="24"/>
          <w:rtl/>
        </w:rPr>
        <w:t>בהמשך כתב האישום נטען, כי לאחר מכן התיישב הנאשם על כסא שהיה במקום וקרא לקטין שיבוא ויתישב לצידו. הקטין ישב לצידו ואז קם הנאשם, פתח את רוכסן מכנסיו ואמר לו "</w:t>
      </w:r>
      <w:r>
        <w:rPr>
          <w:rFonts w:hint="cs"/>
          <w:b/>
          <w:bCs/>
          <w:sz w:val="24"/>
          <w:szCs w:val="24"/>
          <w:rtl/>
        </w:rPr>
        <w:t>אתה רוצה לשפשף לי מה אכפת לך</w:t>
      </w:r>
      <w:r>
        <w:rPr>
          <w:rFonts w:hint="cs"/>
          <w:sz w:val="24"/>
          <w:szCs w:val="24"/>
          <w:rtl/>
        </w:rPr>
        <w:t>" וציין בפניו, כי ראה אותו בעבר מחבק את חברו וכי הוא סבור שהקטין אוהב את זה וכן הציע הנאשם לקטין שיתן לו 50 ₪ "</w:t>
      </w:r>
      <w:r>
        <w:rPr>
          <w:rFonts w:hint="cs"/>
          <w:b/>
          <w:bCs/>
          <w:sz w:val="24"/>
          <w:szCs w:val="24"/>
          <w:rtl/>
        </w:rPr>
        <w:t>אם ישפשף לו</w:t>
      </w:r>
      <w:r>
        <w:rPr>
          <w:rFonts w:hint="cs"/>
          <w:sz w:val="24"/>
          <w:szCs w:val="24"/>
          <w:rtl/>
        </w:rPr>
        <w:t>", כדבריו.</w:t>
      </w:r>
      <w:r>
        <w:rPr>
          <w:color w:val="FFFFFF"/>
          <w:sz w:val="4"/>
          <w:szCs w:val="4"/>
          <w:rtl/>
        </w:rPr>
        <w:t>נ</w:t>
      </w:r>
    </w:p>
    <w:p w14:paraId="50CAEA04" w14:textId="77777777" w:rsidR="005D4EF5" w:rsidRDefault="005D4EF5">
      <w:pPr>
        <w:rPr>
          <w:rFonts w:hint="cs"/>
          <w:sz w:val="24"/>
          <w:szCs w:val="24"/>
          <w:rtl/>
        </w:rPr>
      </w:pPr>
    </w:p>
    <w:p w14:paraId="13808016" w14:textId="77777777" w:rsidR="005D4EF5" w:rsidRDefault="005D4EF5">
      <w:pPr>
        <w:rPr>
          <w:rFonts w:hint="cs"/>
          <w:sz w:val="24"/>
          <w:szCs w:val="24"/>
          <w:rtl/>
        </w:rPr>
      </w:pPr>
      <w:r>
        <w:rPr>
          <w:rFonts w:hint="cs"/>
          <w:sz w:val="24"/>
          <w:szCs w:val="24"/>
          <w:rtl/>
        </w:rPr>
        <w:t>בנוסף, נטען בכתב האישום, כי הנאשם נגע באיבר מינו של הקטין מעל מכנסיו ושאלו אם עומד לו, אך, הקטין הסית את ידו של הנאשם.</w:t>
      </w:r>
      <w:r>
        <w:rPr>
          <w:color w:val="FFFFFF"/>
          <w:sz w:val="4"/>
          <w:szCs w:val="4"/>
          <w:rtl/>
        </w:rPr>
        <w:t>ב</w:t>
      </w:r>
    </w:p>
    <w:p w14:paraId="43BE7D4C" w14:textId="77777777" w:rsidR="005D4EF5" w:rsidRDefault="005D4EF5">
      <w:pPr>
        <w:rPr>
          <w:rFonts w:hint="cs"/>
          <w:sz w:val="24"/>
          <w:szCs w:val="24"/>
          <w:rtl/>
        </w:rPr>
      </w:pPr>
    </w:p>
    <w:p w14:paraId="7DD99403" w14:textId="77777777" w:rsidR="005D4EF5" w:rsidRDefault="005D4EF5">
      <w:pPr>
        <w:rPr>
          <w:rFonts w:hint="cs"/>
          <w:sz w:val="24"/>
          <w:szCs w:val="24"/>
          <w:rtl/>
        </w:rPr>
      </w:pPr>
      <w:r>
        <w:rPr>
          <w:rFonts w:hint="cs"/>
          <w:sz w:val="24"/>
          <w:szCs w:val="24"/>
          <w:rtl/>
        </w:rPr>
        <w:t>בסיפא לכתב האישום נטען, כי לאחר שהקטין סרב לבצע את המעשה, הכניס הנאשם את איבר מינו למכנסיו ועזב את המקום.</w:t>
      </w:r>
      <w:r>
        <w:rPr>
          <w:color w:val="FFFFFF"/>
          <w:sz w:val="4"/>
          <w:szCs w:val="4"/>
          <w:rtl/>
        </w:rPr>
        <w:t>ו</w:t>
      </w:r>
    </w:p>
    <w:p w14:paraId="1F103B44" w14:textId="77777777" w:rsidR="005D4EF5" w:rsidRDefault="005D4EF5">
      <w:pPr>
        <w:rPr>
          <w:rFonts w:hint="cs"/>
          <w:sz w:val="24"/>
          <w:szCs w:val="24"/>
          <w:rtl/>
        </w:rPr>
      </w:pPr>
    </w:p>
    <w:p w14:paraId="4CBE6310" w14:textId="77777777" w:rsidR="005D4EF5" w:rsidRDefault="005D4EF5">
      <w:pPr>
        <w:rPr>
          <w:rFonts w:hint="cs"/>
          <w:sz w:val="24"/>
          <w:szCs w:val="24"/>
          <w:rtl/>
        </w:rPr>
      </w:pPr>
      <w:r>
        <w:rPr>
          <w:rFonts w:hint="cs"/>
          <w:sz w:val="24"/>
          <w:szCs w:val="24"/>
          <w:rtl/>
        </w:rPr>
        <w:t>התביעה טוענת, כי במעשיו המתוארים לעיל, עשה הנאשם מעשה לשם גירוי, סיפוק או ביזוי מיניים באדם ללא הסכמתו וכן עשה, בכל מקום שהוא, מעשה מגונה בפני אדם שטרם מלאו לו 16 שנים.</w:t>
      </w:r>
      <w:r>
        <w:rPr>
          <w:color w:val="FFFFFF"/>
          <w:sz w:val="4"/>
          <w:szCs w:val="4"/>
          <w:rtl/>
        </w:rPr>
        <w:t>נ</w:t>
      </w:r>
    </w:p>
    <w:p w14:paraId="3EEB41F7" w14:textId="77777777" w:rsidR="005D4EF5" w:rsidRDefault="005D4EF5">
      <w:pPr>
        <w:rPr>
          <w:rFonts w:hint="cs"/>
          <w:sz w:val="24"/>
          <w:szCs w:val="24"/>
          <w:rtl/>
        </w:rPr>
      </w:pPr>
    </w:p>
    <w:p w14:paraId="624E82CF" w14:textId="77777777" w:rsidR="005D4EF5" w:rsidRDefault="005D4EF5">
      <w:pPr>
        <w:rPr>
          <w:rFonts w:hint="cs"/>
          <w:sz w:val="24"/>
          <w:szCs w:val="24"/>
          <w:rtl/>
        </w:rPr>
      </w:pPr>
      <w:r>
        <w:rPr>
          <w:rFonts w:hint="cs"/>
          <w:sz w:val="24"/>
          <w:szCs w:val="24"/>
          <w:rtl/>
        </w:rPr>
        <w:t>הנאשם כפר בעבירות שיוחסו לו בכתב האישום. בתשובתו לכתב האישום הודה, כי פגש באותו יום את הקטין וכי נישק אותו במצח בהסכמתו, על רקע היכרות קודמת ומתוך חיבה. לדבריו, "</w:t>
      </w:r>
      <w:r>
        <w:rPr>
          <w:rFonts w:hint="cs"/>
          <w:b/>
          <w:bCs/>
          <w:sz w:val="24"/>
          <w:szCs w:val="24"/>
          <w:rtl/>
        </w:rPr>
        <w:t>הסיפור עם הכסף זה המצאה של הקטין</w:t>
      </w:r>
      <w:r>
        <w:rPr>
          <w:rFonts w:hint="cs"/>
          <w:sz w:val="24"/>
          <w:szCs w:val="24"/>
          <w:rtl/>
        </w:rPr>
        <w:t>".</w:t>
      </w:r>
      <w:r>
        <w:rPr>
          <w:color w:val="FFFFFF"/>
          <w:sz w:val="4"/>
          <w:szCs w:val="4"/>
          <w:rtl/>
        </w:rPr>
        <w:t>ב</w:t>
      </w:r>
    </w:p>
    <w:p w14:paraId="78FD367B" w14:textId="77777777" w:rsidR="005D4EF5" w:rsidRDefault="005D4EF5">
      <w:pPr>
        <w:rPr>
          <w:rFonts w:hint="cs"/>
          <w:sz w:val="24"/>
          <w:szCs w:val="24"/>
          <w:rtl/>
        </w:rPr>
      </w:pPr>
    </w:p>
    <w:p w14:paraId="2520137B" w14:textId="77777777" w:rsidR="005D4EF5" w:rsidRDefault="005D4EF5">
      <w:pPr>
        <w:rPr>
          <w:rFonts w:hint="cs"/>
          <w:sz w:val="24"/>
          <w:szCs w:val="24"/>
          <w:rtl/>
        </w:rPr>
      </w:pPr>
      <w:r>
        <w:rPr>
          <w:rFonts w:hint="cs"/>
          <w:sz w:val="24"/>
          <w:szCs w:val="24"/>
          <w:rtl/>
        </w:rPr>
        <w:t>מטבע הדברים, עומדות בתיק זה עדותו של הקטין מול עדותו של הנאשם וכפי שיובהר בהמשך, אני מאמין לקטין ומעדיף את גירסתו ועדותו על פני זו של הנאשם.</w:t>
      </w:r>
      <w:r>
        <w:rPr>
          <w:color w:val="FFFFFF"/>
          <w:sz w:val="4"/>
          <w:szCs w:val="4"/>
          <w:rtl/>
        </w:rPr>
        <w:t>ו</w:t>
      </w:r>
    </w:p>
    <w:p w14:paraId="5A9826D4" w14:textId="77777777" w:rsidR="005D4EF5" w:rsidRDefault="005D4EF5">
      <w:pPr>
        <w:rPr>
          <w:rFonts w:hint="cs"/>
          <w:sz w:val="24"/>
          <w:szCs w:val="24"/>
          <w:rtl/>
        </w:rPr>
      </w:pPr>
    </w:p>
    <w:p w14:paraId="1A16885B" w14:textId="77777777" w:rsidR="005D4EF5" w:rsidRDefault="005D4EF5">
      <w:pPr>
        <w:rPr>
          <w:rFonts w:hint="cs"/>
          <w:sz w:val="24"/>
          <w:szCs w:val="24"/>
          <w:rtl/>
        </w:rPr>
      </w:pPr>
      <w:r>
        <w:rPr>
          <w:rFonts w:hint="cs"/>
          <w:sz w:val="24"/>
          <w:szCs w:val="24"/>
          <w:rtl/>
        </w:rPr>
        <w:t>בעת האירוע היה הקטין בן 14 ושבועיים והנאשם כבן 63. אין מחלוקת, כי הקטין נכנס לבית הכנסת "</w:t>
      </w:r>
      <w:r>
        <w:rPr>
          <w:rFonts w:hint="cs"/>
          <w:b/>
          <w:bCs/>
          <w:sz w:val="24"/>
          <w:szCs w:val="24"/>
          <w:rtl/>
        </w:rPr>
        <w:t>נר יוסף</w:t>
      </w:r>
      <w:r>
        <w:rPr>
          <w:rFonts w:hint="cs"/>
          <w:sz w:val="24"/>
          <w:szCs w:val="24"/>
          <w:rtl/>
        </w:rPr>
        <w:t xml:space="preserve">", שם פגש את הנאשם. אין גם מחלוקת, כי הנאשם יצא מהשירותים. </w:t>
      </w:r>
    </w:p>
    <w:p w14:paraId="6D79CFC4" w14:textId="77777777" w:rsidR="005D4EF5" w:rsidRDefault="005D4EF5">
      <w:pPr>
        <w:rPr>
          <w:rFonts w:hint="cs"/>
          <w:sz w:val="24"/>
          <w:szCs w:val="24"/>
          <w:rtl/>
        </w:rPr>
      </w:pPr>
    </w:p>
    <w:p w14:paraId="752481B2" w14:textId="77777777" w:rsidR="005D4EF5" w:rsidRDefault="005D4EF5">
      <w:pPr>
        <w:rPr>
          <w:rFonts w:hint="cs"/>
          <w:sz w:val="24"/>
          <w:szCs w:val="24"/>
          <w:rtl/>
        </w:rPr>
      </w:pPr>
      <w:r>
        <w:rPr>
          <w:rFonts w:hint="cs"/>
          <w:sz w:val="24"/>
          <w:szCs w:val="24"/>
          <w:rtl/>
        </w:rPr>
        <w:t>וכך העיד הקטין בחקירתו הראשית על אשר התרחש:</w:t>
      </w:r>
    </w:p>
    <w:p w14:paraId="14906E4C" w14:textId="77777777" w:rsidR="005D4EF5" w:rsidRDefault="005D4EF5">
      <w:pPr>
        <w:pStyle w:val="a1"/>
        <w:rPr>
          <w:rFonts w:hint="cs"/>
          <w:rtl/>
        </w:rPr>
      </w:pPr>
      <w:r>
        <w:rPr>
          <w:rFonts w:hint="cs"/>
          <w:rtl/>
        </w:rPr>
        <w:t>"</w:t>
      </w:r>
      <w:r>
        <w:rPr>
          <w:rFonts w:hint="cs"/>
          <w:b/>
          <w:bCs/>
          <w:rtl/>
        </w:rPr>
        <w:t>נתן לי נשיקה ונכנסתי לשירותים. אחר כך יצאתי החוצה, אמר לי, נתן לי יד שאל אותי אם קר לי או חם לי ושפשף את ידי תוך כדי, שאל אם חם או קר בחוץ. לא זכור לי מה עניתי לו, שאל אותי אם אני רוצה קרם ידיים. עניתי לו בתור שתיקה כהודאה. התקדמתי איתו... שאל אותי מה שלום אבא שלי ואיפה אני לומד ומה אני עושה...הוא נכנס לחדר של הלימוד, הביא משם קרם ידיים ותוך כדי דיבור התקדם איתי לחדר הספרים. הוא הביא את הקרם מהז'קט. הוא הלך לשירותים... יש עוד כמה חדרים וממשיכים ישר יש מטבח ויש אחר כך חדר של ספרים. נכנסתי איתו לחדר הספרים, הוא התיישב שם ואמר לי קח קרם ידיים, לקחתי ושמתי ואמר לי אתה רוצה ליהנות? עדיין לא הבנתי את התמונה, לא עיכלתי ששאל אותי כזה דבר ואמרתי נראה מה הוא רוצה. אמרתי לו מה הכוונה הוא אמר אתה רוצה לשפשף לי טיפה? הוציא את האיבר שלו והתיישב על הכסא וניסה לחבק אותי בכח ולנשק אותי. נישק אותי בכח וחיבק אותי בכח</w:t>
      </w:r>
      <w:r>
        <w:rPr>
          <w:rFonts w:hint="cs"/>
          <w:rtl/>
        </w:rPr>
        <w:t>" (עמ' 4 שורות 27-14).</w:t>
      </w:r>
      <w:r>
        <w:rPr>
          <w:color w:val="FFFFFF"/>
          <w:sz w:val="4"/>
          <w:szCs w:val="4"/>
          <w:rtl/>
        </w:rPr>
        <w:t>נ</w:t>
      </w:r>
    </w:p>
    <w:p w14:paraId="03E40AFE" w14:textId="77777777" w:rsidR="005D4EF5" w:rsidRDefault="005D4EF5">
      <w:pPr>
        <w:pStyle w:val="a1"/>
        <w:rPr>
          <w:rFonts w:hint="cs"/>
          <w:rtl/>
        </w:rPr>
      </w:pPr>
    </w:p>
    <w:p w14:paraId="5E865A49" w14:textId="77777777" w:rsidR="005D4EF5" w:rsidRDefault="005D4EF5">
      <w:pPr>
        <w:rPr>
          <w:rFonts w:hint="cs"/>
          <w:sz w:val="24"/>
          <w:szCs w:val="24"/>
          <w:rtl/>
        </w:rPr>
      </w:pPr>
      <w:r>
        <w:rPr>
          <w:rFonts w:hint="cs"/>
          <w:sz w:val="24"/>
          <w:szCs w:val="24"/>
          <w:rtl/>
        </w:rPr>
        <w:t>בהמשך פירט הקטין את השתלשלות העניינים כדלקמן:</w:t>
      </w:r>
    </w:p>
    <w:p w14:paraId="63427C35" w14:textId="77777777" w:rsidR="005D4EF5" w:rsidRDefault="005D4EF5">
      <w:pPr>
        <w:rPr>
          <w:rFonts w:hint="cs"/>
          <w:rtl/>
        </w:rPr>
      </w:pPr>
    </w:p>
    <w:p w14:paraId="08A3E75B" w14:textId="77777777" w:rsidR="005D4EF5" w:rsidRDefault="005D4EF5">
      <w:pPr>
        <w:pStyle w:val="a1"/>
        <w:rPr>
          <w:rFonts w:hint="cs"/>
          <w:rtl/>
        </w:rPr>
      </w:pPr>
      <w:r>
        <w:rPr>
          <w:rFonts w:hint="cs"/>
          <w:rtl/>
        </w:rPr>
        <w:t>"</w:t>
      </w:r>
      <w:r>
        <w:rPr>
          <w:rFonts w:hint="cs"/>
          <w:b/>
          <w:bCs/>
          <w:rtl/>
        </w:rPr>
        <w:t xml:space="preserve">נכנסתי איתו לחדר, הוא הוציא את הקרם, שמתי מעט על הידיים שלי ואז אמר לי אתה חמוד, לא יודע בדיוק מה אמר לפני כן ואחרי כן, אך אני אומר מה הוא אמר. הוא התחיל להגיד לי אתה חמוד ופתאום אמר אני לא יכול להתאפק, הוציא את </w:t>
      </w:r>
      <w:r>
        <w:rPr>
          <w:rFonts w:hint="cs"/>
          <w:b/>
          <w:bCs/>
          <w:rtl/>
        </w:rPr>
        <w:lastRenderedPageBreak/>
        <w:t>איבר המין שלו וקם ונעמד מלפני הדלת ואמרתי לו זה לא מתאים לי. אני לא בקטע. אמר לי שהוא ראה אותי מתנשק עם חבר לפני שבוע. אמרתי לו נכון, חברים מתנשקים, מה יש בזה, אמרתי לו זה לא במטרה בכוון של אותו כוון של הראש שלך אז הוא אמר לי למה אתה קשוח. אתה לא רוצה ליהנות טיפה אמרתי לו  לא. אמר לי אתה יודע שאתה חמוד, אמרתי לו שכן... הוא אמר שהוא יתן לי 50 ₪... בקיצור הוא עמד אחרי הדלת ואמר למה אתה לא רוצה... אך הוא לא נתן  לי  ללכת הוא עמד בדלת ולא נתן לי לצאת. הוא סיים את השיחה וראה שאני כבד והוא נפל עם מישהו לא מתאים ולא תמים, נתן לי לצאת... יצאתי החוצה וחיפשתי את הרב סמדג'ה של בית הכנסת כדי לספר לו על המעשה המגונה של אבא שאול. לא מצאתי אותו. אמרו שהוא איננו. עליתי למעלה הייתי בלחץ והרגשתי שאני חייב לספר למישהו. ראיתי מישהו מהשכונה, דני כבירי, סיפרתי לו את הסיפור ואמר לי להתקשר למשטרה, התקשרתי וסיפרתי לשוטר את הסיפור בטלפון</w:t>
      </w:r>
      <w:r>
        <w:rPr>
          <w:rFonts w:hint="cs"/>
          <w:rtl/>
        </w:rPr>
        <w:t>" (עמ' 2 שורות 26-8).</w:t>
      </w:r>
      <w:r>
        <w:rPr>
          <w:color w:val="FFFFFF"/>
          <w:sz w:val="4"/>
          <w:szCs w:val="4"/>
          <w:rtl/>
        </w:rPr>
        <w:t>ב</w:t>
      </w:r>
    </w:p>
    <w:p w14:paraId="12EF4954" w14:textId="77777777" w:rsidR="005D4EF5" w:rsidRDefault="005D4EF5">
      <w:pPr>
        <w:pStyle w:val="a1"/>
        <w:rPr>
          <w:rFonts w:hint="cs"/>
          <w:rtl/>
        </w:rPr>
      </w:pPr>
    </w:p>
    <w:p w14:paraId="00DCE8FF" w14:textId="77777777" w:rsidR="005D4EF5" w:rsidRDefault="005D4EF5">
      <w:pPr>
        <w:rPr>
          <w:rFonts w:hint="cs"/>
          <w:sz w:val="24"/>
          <w:szCs w:val="24"/>
          <w:rtl/>
        </w:rPr>
      </w:pPr>
      <w:r>
        <w:rPr>
          <w:rFonts w:hint="cs"/>
          <w:sz w:val="24"/>
          <w:szCs w:val="24"/>
          <w:rtl/>
        </w:rPr>
        <w:t>הקטין עמד בחקירה נגדית קשה (אך לגיטימית) מצד ב"כ הנאשם וענה היטב גם לשאלות מביכות, שחלקן אינן קשורות לאירוע נשוא כתב האישום. הוא לא ניסה להגזים, אלא ניכר היה, כי הוא משתדל לדייק בדבריו.</w:t>
      </w:r>
      <w:r>
        <w:rPr>
          <w:color w:val="FFFFFF"/>
          <w:sz w:val="4"/>
          <w:szCs w:val="4"/>
          <w:rtl/>
        </w:rPr>
        <w:t>ו</w:t>
      </w:r>
    </w:p>
    <w:p w14:paraId="35E32B12" w14:textId="77777777" w:rsidR="005D4EF5" w:rsidRDefault="005D4EF5">
      <w:pPr>
        <w:rPr>
          <w:rFonts w:hint="cs"/>
          <w:sz w:val="24"/>
          <w:szCs w:val="24"/>
          <w:rtl/>
        </w:rPr>
      </w:pPr>
    </w:p>
    <w:p w14:paraId="66F8205D" w14:textId="77777777" w:rsidR="005D4EF5" w:rsidRDefault="005D4EF5">
      <w:pPr>
        <w:rPr>
          <w:rFonts w:hint="cs"/>
          <w:sz w:val="24"/>
          <w:szCs w:val="24"/>
          <w:rtl/>
        </w:rPr>
      </w:pPr>
      <w:r>
        <w:rPr>
          <w:rFonts w:hint="cs"/>
          <w:sz w:val="24"/>
          <w:szCs w:val="24"/>
          <w:rtl/>
        </w:rPr>
        <w:t xml:space="preserve">כאמור, התקשר הקטין מיד מטלפון ציבורי למשטרה ולמקום הוזעקה ניידת משטרה, אשר הביאה לתחנת המשטרה את הקטין ואת הנאשם. </w:t>
      </w:r>
    </w:p>
    <w:p w14:paraId="57FE7862" w14:textId="77777777" w:rsidR="005D4EF5" w:rsidRDefault="005D4EF5">
      <w:pPr>
        <w:rPr>
          <w:rFonts w:hint="cs"/>
          <w:sz w:val="24"/>
          <w:szCs w:val="24"/>
          <w:rtl/>
        </w:rPr>
      </w:pPr>
    </w:p>
    <w:p w14:paraId="585D3752" w14:textId="77777777" w:rsidR="005D4EF5" w:rsidRDefault="005D4EF5">
      <w:pPr>
        <w:rPr>
          <w:rFonts w:hint="cs"/>
          <w:sz w:val="24"/>
          <w:szCs w:val="24"/>
          <w:rtl/>
        </w:rPr>
      </w:pPr>
      <w:r>
        <w:rPr>
          <w:rFonts w:hint="cs"/>
          <w:sz w:val="24"/>
          <w:szCs w:val="24"/>
          <w:rtl/>
        </w:rPr>
        <w:t>בו ביום נחקר הנאשם במשטרה (ת/1) ומסר גירסה, שבלשון המעטה מעוררת תמיהות רבות.</w:t>
      </w:r>
      <w:r>
        <w:rPr>
          <w:color w:val="FFFFFF"/>
          <w:sz w:val="4"/>
          <w:szCs w:val="4"/>
          <w:rtl/>
        </w:rPr>
        <w:t>נ</w:t>
      </w:r>
    </w:p>
    <w:p w14:paraId="0B2017F7" w14:textId="77777777" w:rsidR="005D4EF5" w:rsidRDefault="005D4EF5">
      <w:pPr>
        <w:rPr>
          <w:rFonts w:hint="cs"/>
          <w:sz w:val="24"/>
          <w:szCs w:val="24"/>
          <w:rtl/>
        </w:rPr>
      </w:pPr>
    </w:p>
    <w:p w14:paraId="694403AB" w14:textId="77777777" w:rsidR="005D4EF5" w:rsidRDefault="005D4EF5">
      <w:pPr>
        <w:rPr>
          <w:rFonts w:hint="cs"/>
          <w:sz w:val="24"/>
          <w:szCs w:val="24"/>
          <w:rtl/>
        </w:rPr>
      </w:pPr>
      <w:r>
        <w:rPr>
          <w:rFonts w:hint="cs"/>
          <w:sz w:val="24"/>
          <w:szCs w:val="24"/>
          <w:rtl/>
        </w:rPr>
        <w:t>להלן עיקרי הדברים שמסר הנאשם במשטרה:</w:t>
      </w:r>
    </w:p>
    <w:p w14:paraId="714DA603" w14:textId="77777777" w:rsidR="005D4EF5" w:rsidRDefault="005D4EF5">
      <w:pPr>
        <w:pStyle w:val="a1"/>
        <w:rPr>
          <w:rFonts w:hint="cs"/>
          <w:rtl/>
        </w:rPr>
      </w:pPr>
      <w:r>
        <w:rPr>
          <w:rFonts w:hint="cs"/>
          <w:rtl/>
        </w:rPr>
        <w:t>"</w:t>
      </w:r>
      <w:r>
        <w:rPr>
          <w:rFonts w:hint="cs"/>
          <w:b/>
          <w:bCs/>
          <w:rtl/>
        </w:rPr>
        <w:t>יש לי חתכים בידיים ואני משתמש תמיד עם קרם ידיים, הייתי בשירותים של בית הכנסת, ועשיתי נטילת ידיים כמקובל אחרי שניגבתי ידיים לקחתי מעט קרם ידיים שהיה אצלי ראיתי את הילד שאת שמו אני לא יודע ואני מכיר את  אבא שלו ואז הושטתי אל הילד את היד שלי ליד שלו ולחץ את היד שלי לא שאלתי אותו אם קר או חם אלא אמרתי לו היד שלך קרה באת מהגשם... אמרתי לו אתה ילד מתוק ותשמור על עצמך מהבחור הזה... כשעשיתי נטילת ידיים קודם לכן  אחרי שיצאתי מהשירותים העיר לי הילד שהחוט של הציצית יוצא מרוכסן המכנסיים שלי ואני נכנסתי את החוט של הציצית וסגרתי את הרוכסן של המכנסיים. בתוך המטבח נתתי לילד נשיקה או במצח או בפנים אני לא זוכר בדיוק. לא תפסתי את הילד בכח ולא חיבקתי אותו. עד שאני אעשה את התה אמרתי לילד שתירגע  בכסא ולא שמתי לב אם הילד ישב בכסא עשיתי כוס תה והילד נעלם</w:t>
      </w:r>
      <w:r>
        <w:rPr>
          <w:rFonts w:hint="cs"/>
          <w:rtl/>
        </w:rPr>
        <w:t>".</w:t>
      </w:r>
      <w:r>
        <w:rPr>
          <w:color w:val="FFFFFF"/>
          <w:sz w:val="4"/>
          <w:szCs w:val="4"/>
          <w:rtl/>
        </w:rPr>
        <w:t>ב</w:t>
      </w:r>
    </w:p>
    <w:p w14:paraId="4AE6BAB3" w14:textId="77777777" w:rsidR="005D4EF5" w:rsidRDefault="005D4EF5">
      <w:pPr>
        <w:pStyle w:val="a1"/>
        <w:rPr>
          <w:rFonts w:hint="cs"/>
          <w:rtl/>
        </w:rPr>
      </w:pPr>
    </w:p>
    <w:p w14:paraId="10953760" w14:textId="77777777" w:rsidR="005D4EF5" w:rsidRDefault="005D4EF5">
      <w:pPr>
        <w:rPr>
          <w:rFonts w:hint="cs"/>
          <w:sz w:val="24"/>
          <w:szCs w:val="24"/>
          <w:rtl/>
        </w:rPr>
      </w:pPr>
      <w:r>
        <w:rPr>
          <w:rFonts w:hint="cs"/>
          <w:sz w:val="24"/>
          <w:szCs w:val="24"/>
          <w:rtl/>
        </w:rPr>
        <w:lastRenderedPageBreak/>
        <w:t>הנאשם הכחיש, כי פתח את רוכסן המכנסיים שלו וכי הוציא את איבר מינו והכחיש, כי ביקש מהקטין לשפשף לו את איבר המין או, כי הציע תשלום כלשהו לקטין. הוא גם הכחיש, כי ראה אי פעם בעבר את הקטין.</w:t>
      </w:r>
      <w:r>
        <w:rPr>
          <w:color w:val="FFFFFF"/>
          <w:sz w:val="4"/>
          <w:szCs w:val="4"/>
          <w:rtl/>
        </w:rPr>
        <w:t>ו</w:t>
      </w:r>
    </w:p>
    <w:p w14:paraId="477A2941" w14:textId="77777777" w:rsidR="005D4EF5" w:rsidRDefault="005D4EF5">
      <w:pPr>
        <w:rPr>
          <w:rFonts w:hint="cs"/>
          <w:sz w:val="24"/>
          <w:szCs w:val="24"/>
          <w:rtl/>
        </w:rPr>
      </w:pPr>
    </w:p>
    <w:p w14:paraId="348D721D" w14:textId="77777777" w:rsidR="005D4EF5" w:rsidRDefault="005D4EF5">
      <w:pPr>
        <w:rPr>
          <w:rFonts w:hint="cs"/>
          <w:sz w:val="24"/>
          <w:szCs w:val="24"/>
          <w:rtl/>
        </w:rPr>
      </w:pPr>
      <w:r>
        <w:rPr>
          <w:rFonts w:hint="cs"/>
          <w:sz w:val="24"/>
          <w:szCs w:val="24"/>
          <w:rtl/>
        </w:rPr>
        <w:t>לעומת זאת, בבית המשפט טען הנאשם, כי הוא מכיר את הקטין מאז שהיה ילד וכי הוא הכיר את הקטין כקטין בעייתי שלא מסתדר בבתי ספר. הוא חזר על כך שכאשר יצא מהשירותים אמר לו הקטין שהציצית שלו יוצאת החוצה וטען, כי הקטין ידע על המשחה מאחר ולחץ את ידו. הוא חזר והעיד, כי חיבק ונישק אותו וכי אמר לו "</w:t>
      </w:r>
      <w:r>
        <w:rPr>
          <w:rFonts w:hint="cs"/>
          <w:b/>
          <w:bCs/>
          <w:sz w:val="24"/>
          <w:szCs w:val="24"/>
          <w:rtl/>
        </w:rPr>
        <w:t>בוא אני אקרב אותך</w:t>
      </w:r>
      <w:r>
        <w:rPr>
          <w:rFonts w:hint="cs"/>
          <w:sz w:val="24"/>
          <w:szCs w:val="24"/>
          <w:rtl/>
        </w:rPr>
        <w:t>" (עמ' 18 שורה 18).</w:t>
      </w:r>
      <w:r>
        <w:rPr>
          <w:color w:val="FFFFFF"/>
          <w:sz w:val="4"/>
          <w:szCs w:val="4"/>
          <w:rtl/>
        </w:rPr>
        <w:t>נ</w:t>
      </w:r>
    </w:p>
    <w:p w14:paraId="315F91A9" w14:textId="77777777" w:rsidR="005D4EF5" w:rsidRDefault="005D4EF5">
      <w:pPr>
        <w:rPr>
          <w:rFonts w:hint="cs"/>
          <w:sz w:val="24"/>
          <w:szCs w:val="24"/>
          <w:rtl/>
        </w:rPr>
      </w:pPr>
    </w:p>
    <w:p w14:paraId="3A63D30B" w14:textId="77777777" w:rsidR="005D4EF5" w:rsidRDefault="005D4EF5">
      <w:pPr>
        <w:rPr>
          <w:rFonts w:hint="cs"/>
          <w:sz w:val="24"/>
          <w:szCs w:val="24"/>
          <w:rtl/>
        </w:rPr>
      </w:pPr>
      <w:r>
        <w:rPr>
          <w:rFonts w:hint="cs"/>
          <w:sz w:val="24"/>
          <w:szCs w:val="24"/>
          <w:rtl/>
        </w:rPr>
        <w:t>בנוסף העיד, כי הקטין ניסה ללחוץ אותו באמצעות אחרים ובעיקר ציין "</w:t>
      </w:r>
      <w:r>
        <w:rPr>
          <w:rFonts w:hint="cs"/>
          <w:b/>
          <w:bCs/>
          <w:sz w:val="24"/>
          <w:szCs w:val="24"/>
          <w:rtl/>
        </w:rPr>
        <w:t>אחד בשם בצרי</w:t>
      </w:r>
      <w:r>
        <w:rPr>
          <w:rFonts w:hint="cs"/>
          <w:sz w:val="24"/>
          <w:szCs w:val="24"/>
          <w:rtl/>
        </w:rPr>
        <w:t>" שאמר לו בשמו של הקטין שהוא רוצה 250 ₪. כמו כן, העיד, כי אחד בשם מרציאנו ביקש עבור הקטין סך של 1,000 ₪, אך הוא סרב.</w:t>
      </w:r>
      <w:r>
        <w:rPr>
          <w:color w:val="FFFFFF"/>
          <w:sz w:val="4"/>
          <w:szCs w:val="4"/>
          <w:rtl/>
        </w:rPr>
        <w:t>ב</w:t>
      </w:r>
    </w:p>
    <w:p w14:paraId="22A40DE3" w14:textId="77777777" w:rsidR="005D4EF5" w:rsidRDefault="005D4EF5">
      <w:pPr>
        <w:rPr>
          <w:rFonts w:hint="cs"/>
          <w:sz w:val="24"/>
          <w:szCs w:val="24"/>
          <w:rtl/>
        </w:rPr>
      </w:pPr>
    </w:p>
    <w:p w14:paraId="0AB57C7C" w14:textId="77777777" w:rsidR="005D4EF5" w:rsidRDefault="005D4EF5">
      <w:pPr>
        <w:rPr>
          <w:rFonts w:hint="cs"/>
          <w:sz w:val="24"/>
          <w:szCs w:val="24"/>
          <w:rtl/>
        </w:rPr>
      </w:pPr>
      <w:r>
        <w:rPr>
          <w:rFonts w:hint="cs"/>
          <w:sz w:val="24"/>
          <w:szCs w:val="24"/>
          <w:rtl/>
        </w:rPr>
        <w:t>כאשר נשאל מדוע הוא סבור שהקטין מספר סיפור כזה חמור עליו הוא השיב "</w:t>
      </w:r>
      <w:r>
        <w:rPr>
          <w:rFonts w:hint="cs"/>
          <w:b/>
          <w:bCs/>
          <w:sz w:val="24"/>
          <w:szCs w:val="24"/>
          <w:rtl/>
        </w:rPr>
        <w:t>הילד הזה נפגע קשות כי אבא שלו הרבה טיפל בו ולא הצליח, הוא מסתובב ברחובות עד עכשיו. אם היה לומד זה לא היה. אני הצעתי לו ישיבה נמוכה סוג ג' לכן נפגע ממני</w:t>
      </w:r>
      <w:r>
        <w:rPr>
          <w:rFonts w:hint="cs"/>
          <w:sz w:val="24"/>
          <w:szCs w:val="24"/>
          <w:rtl/>
        </w:rPr>
        <w:t>" (עמ' 19 שורה 19).</w:t>
      </w:r>
      <w:r>
        <w:rPr>
          <w:color w:val="FFFFFF"/>
          <w:sz w:val="4"/>
          <w:szCs w:val="4"/>
          <w:rtl/>
        </w:rPr>
        <w:t>ו</w:t>
      </w:r>
    </w:p>
    <w:p w14:paraId="6F754B4E" w14:textId="77777777" w:rsidR="005D4EF5" w:rsidRDefault="005D4EF5">
      <w:pPr>
        <w:rPr>
          <w:rFonts w:hint="cs"/>
          <w:sz w:val="24"/>
          <w:szCs w:val="24"/>
          <w:rtl/>
        </w:rPr>
      </w:pPr>
    </w:p>
    <w:p w14:paraId="01D6DA43" w14:textId="77777777" w:rsidR="005D4EF5" w:rsidRDefault="005D4EF5">
      <w:pPr>
        <w:rPr>
          <w:rFonts w:hint="cs"/>
          <w:sz w:val="24"/>
          <w:szCs w:val="24"/>
          <w:rtl/>
        </w:rPr>
      </w:pPr>
      <w:r>
        <w:rPr>
          <w:rFonts w:hint="cs"/>
          <w:sz w:val="24"/>
          <w:szCs w:val="24"/>
          <w:rtl/>
        </w:rPr>
        <w:t>הנאשם התקשה בחקירתו הנגדית. לא היה לו הסבר מניח את הדעת מדוע הרשה לעצמו לנשק את הקטין, לאחר, שלדבריו, מעולם פרט לשיחה אחת, לא היתה לו היכרות קודמת עם הקטין. כאשר נשאל "</w:t>
      </w:r>
      <w:r>
        <w:rPr>
          <w:rFonts w:hint="cs"/>
          <w:b/>
          <w:bCs/>
          <w:sz w:val="24"/>
          <w:szCs w:val="24"/>
          <w:rtl/>
        </w:rPr>
        <w:t>האם ראית את עצמך רשאי לנשק אותו ולחבק אותו</w:t>
      </w:r>
      <w:r>
        <w:rPr>
          <w:rFonts w:hint="cs"/>
          <w:sz w:val="24"/>
          <w:szCs w:val="24"/>
          <w:rtl/>
        </w:rPr>
        <w:t>" השיב בחיוב ולשאלה "</w:t>
      </w:r>
      <w:r>
        <w:rPr>
          <w:rFonts w:hint="cs"/>
          <w:b/>
          <w:bCs/>
          <w:sz w:val="24"/>
          <w:szCs w:val="24"/>
          <w:rtl/>
        </w:rPr>
        <w:t>מדוע</w:t>
      </w:r>
      <w:r>
        <w:rPr>
          <w:rFonts w:hint="cs"/>
          <w:sz w:val="24"/>
          <w:szCs w:val="24"/>
          <w:rtl/>
        </w:rPr>
        <w:t>" השיב "</w:t>
      </w:r>
      <w:r>
        <w:rPr>
          <w:rFonts w:hint="cs"/>
          <w:b/>
          <w:bCs/>
          <w:sz w:val="24"/>
          <w:szCs w:val="24"/>
          <w:rtl/>
        </w:rPr>
        <w:t>למה שאני אוהב ישראל...</w:t>
      </w:r>
      <w:r>
        <w:rPr>
          <w:rFonts w:hint="cs"/>
          <w:sz w:val="24"/>
          <w:szCs w:val="24"/>
          <w:rtl/>
        </w:rPr>
        <w:t>" (עמ' 27 שורה 31).</w:t>
      </w:r>
      <w:r>
        <w:rPr>
          <w:color w:val="FFFFFF"/>
          <w:sz w:val="4"/>
          <w:szCs w:val="4"/>
          <w:rtl/>
        </w:rPr>
        <w:t>נ</w:t>
      </w:r>
    </w:p>
    <w:p w14:paraId="2A7FF79C" w14:textId="77777777" w:rsidR="005D4EF5" w:rsidRDefault="005D4EF5">
      <w:pPr>
        <w:rPr>
          <w:rFonts w:hint="cs"/>
          <w:sz w:val="24"/>
          <w:szCs w:val="24"/>
          <w:rtl/>
        </w:rPr>
      </w:pPr>
    </w:p>
    <w:p w14:paraId="0A4AE927" w14:textId="77777777" w:rsidR="005D4EF5" w:rsidRDefault="005D4EF5">
      <w:pPr>
        <w:rPr>
          <w:rFonts w:hint="cs"/>
          <w:sz w:val="24"/>
          <w:szCs w:val="24"/>
          <w:rtl/>
        </w:rPr>
      </w:pPr>
      <w:r>
        <w:rPr>
          <w:rFonts w:hint="cs"/>
          <w:sz w:val="24"/>
          <w:szCs w:val="24"/>
          <w:rtl/>
        </w:rPr>
        <w:t xml:space="preserve">הנאשם התקשה להסביר מדוע לפתע נעלם הקטין אם  לא היה שום דבר ביניהם, בעודו מכין לו כוס תה. </w:t>
      </w:r>
    </w:p>
    <w:p w14:paraId="76DF409A" w14:textId="77777777" w:rsidR="005D4EF5" w:rsidRDefault="005D4EF5">
      <w:pPr>
        <w:rPr>
          <w:rFonts w:hint="cs"/>
          <w:sz w:val="24"/>
          <w:szCs w:val="24"/>
          <w:rtl/>
        </w:rPr>
      </w:pPr>
    </w:p>
    <w:p w14:paraId="6DBE4010" w14:textId="77777777" w:rsidR="005D4EF5" w:rsidRDefault="005D4EF5">
      <w:pPr>
        <w:rPr>
          <w:rFonts w:hint="cs"/>
          <w:b/>
          <w:bCs/>
          <w:sz w:val="24"/>
          <w:szCs w:val="24"/>
          <w:rtl/>
        </w:rPr>
      </w:pPr>
      <w:r>
        <w:rPr>
          <w:rFonts w:hint="cs"/>
          <w:sz w:val="24"/>
          <w:szCs w:val="24"/>
          <w:rtl/>
        </w:rPr>
        <w:t>בנסיון להשחיר את פניו של הקטין, הובא להעיד מטעם ההגנה אדם כבן 66 בשם בראון יוליוס מאיר (להלן: "</w:t>
      </w:r>
      <w:r>
        <w:rPr>
          <w:rFonts w:hint="cs"/>
          <w:b/>
          <w:bCs/>
          <w:sz w:val="24"/>
          <w:szCs w:val="24"/>
          <w:rtl/>
        </w:rPr>
        <w:t>יוליוס</w:t>
      </w:r>
      <w:r>
        <w:rPr>
          <w:rFonts w:hint="cs"/>
          <w:sz w:val="24"/>
          <w:szCs w:val="24"/>
          <w:rtl/>
        </w:rPr>
        <w:t>"). יוליוס העיד, כי הוא פגש את הקטין במקרה בעיר ובסופה של שיחה ידידותית, הוא הזמין את הקטין לישון אצלו בבית. הקטין ישן אצלו לילה אחד ולאחר מכן אביו של הקטין התקשר אליו וכעס עליו. יוליוס העיד, כי כשנה קודם למתן עדותו, הגיע אליו הקטין עם שניים נוספים והשלושה היכו אותו. כמו כן, העיד, כי הקטין ביקש ממנו סכום כסף "</w:t>
      </w:r>
      <w:r>
        <w:rPr>
          <w:rFonts w:hint="cs"/>
          <w:b/>
          <w:bCs/>
          <w:sz w:val="24"/>
          <w:szCs w:val="24"/>
          <w:rtl/>
        </w:rPr>
        <w:t>ואם לא אני אגיד שניסית להתחיל איתי".</w:t>
      </w:r>
      <w:r>
        <w:rPr>
          <w:b/>
          <w:bCs/>
          <w:color w:val="FFFFFF"/>
          <w:sz w:val="4"/>
          <w:szCs w:val="4"/>
          <w:rtl/>
        </w:rPr>
        <w:t>ב</w:t>
      </w:r>
    </w:p>
    <w:p w14:paraId="36ACAA36" w14:textId="77777777" w:rsidR="005D4EF5" w:rsidRDefault="005D4EF5">
      <w:pPr>
        <w:rPr>
          <w:rFonts w:hint="cs"/>
          <w:sz w:val="24"/>
          <w:szCs w:val="24"/>
          <w:rtl/>
        </w:rPr>
      </w:pPr>
    </w:p>
    <w:p w14:paraId="190AB1F6" w14:textId="77777777" w:rsidR="005D4EF5" w:rsidRDefault="005D4EF5">
      <w:pPr>
        <w:pStyle w:val="BodyText"/>
        <w:rPr>
          <w:rFonts w:hint="cs"/>
          <w:rtl/>
        </w:rPr>
      </w:pPr>
      <w:r>
        <w:rPr>
          <w:rFonts w:hint="cs"/>
          <w:rtl/>
        </w:rPr>
        <w:t xml:space="preserve">מעדותו של יוליוס עולה תמונה עגומה של אדם מבוגר החי בגפו, המזמין לביתו קטין בן 13.5, ישן איתו באותה מיטה (למרות שמדובר בדירה בת שניים וחצי חדרים ואף לדבריו של יוליוס, ישנה ספה נוספת באחד החדרים), כאשר לגופו של יוליוס תחתונים בלבד. יוליוס העיד, כי הוא שוחח עם הקטין, הכניס אותו לביתו, אך לא שאל אותו לגילו. </w:t>
      </w:r>
    </w:p>
    <w:p w14:paraId="4A59E3C3" w14:textId="77777777" w:rsidR="005D4EF5" w:rsidRDefault="005D4EF5">
      <w:pPr>
        <w:pStyle w:val="BodyText"/>
        <w:rPr>
          <w:rFonts w:hint="cs"/>
          <w:rtl/>
        </w:rPr>
      </w:pPr>
    </w:p>
    <w:p w14:paraId="75838EEC" w14:textId="77777777" w:rsidR="005D4EF5" w:rsidRDefault="005D4EF5">
      <w:pPr>
        <w:pStyle w:val="BodyText"/>
        <w:rPr>
          <w:rFonts w:hint="cs"/>
          <w:rtl/>
        </w:rPr>
      </w:pPr>
      <w:r>
        <w:rPr>
          <w:rFonts w:hint="cs"/>
          <w:rtl/>
        </w:rPr>
        <w:t>האמת ניתנת להאמר, כי פרט לרושם העגום ביותר שהותיר יוליוס בבית המשפט, בסיפור שהיה, רב הנסתר על הנגלה.</w:t>
      </w:r>
      <w:r>
        <w:rPr>
          <w:color w:val="FFFFFF"/>
          <w:sz w:val="4"/>
          <w:szCs w:val="4"/>
          <w:rtl/>
        </w:rPr>
        <w:t>ו</w:t>
      </w:r>
    </w:p>
    <w:p w14:paraId="530EE0D4" w14:textId="77777777" w:rsidR="005D4EF5" w:rsidRDefault="005D4EF5">
      <w:pPr>
        <w:pStyle w:val="BodyText"/>
        <w:rPr>
          <w:rFonts w:hint="cs"/>
          <w:rtl/>
        </w:rPr>
      </w:pPr>
    </w:p>
    <w:p w14:paraId="7CD410D6" w14:textId="77777777" w:rsidR="005D4EF5" w:rsidRDefault="005D4EF5">
      <w:pPr>
        <w:pStyle w:val="BodyText"/>
        <w:rPr>
          <w:rFonts w:hint="cs"/>
          <w:rtl/>
        </w:rPr>
      </w:pPr>
      <w:r>
        <w:rPr>
          <w:rFonts w:hint="cs"/>
          <w:rtl/>
        </w:rPr>
        <w:t>מכל מקום, הקטין הכחיש, כי היכה את יוליוס וכי הוא זה שהיה בביתו עם שניים אחרים.</w:t>
      </w:r>
      <w:r>
        <w:rPr>
          <w:color w:val="FFFFFF"/>
          <w:sz w:val="4"/>
          <w:szCs w:val="4"/>
          <w:rtl/>
        </w:rPr>
        <w:t>נ</w:t>
      </w:r>
    </w:p>
    <w:p w14:paraId="6E96CA31" w14:textId="77777777" w:rsidR="005D4EF5" w:rsidRDefault="005D4EF5">
      <w:pPr>
        <w:pStyle w:val="BodyText"/>
        <w:rPr>
          <w:rFonts w:hint="cs"/>
          <w:rtl/>
        </w:rPr>
      </w:pPr>
    </w:p>
    <w:p w14:paraId="29D79BBC" w14:textId="77777777" w:rsidR="005D4EF5" w:rsidRDefault="005D4EF5">
      <w:pPr>
        <w:pStyle w:val="BodyText"/>
        <w:rPr>
          <w:rFonts w:hint="cs"/>
          <w:rtl/>
        </w:rPr>
      </w:pPr>
      <w:r>
        <w:rPr>
          <w:rFonts w:hint="cs"/>
          <w:rtl/>
        </w:rPr>
        <w:t>בנוסף למהימנות שאני רוחש לעדותו של הקטין, ניתן למצוא תימוכין לגירסתו בנקודות הבאות:</w:t>
      </w:r>
    </w:p>
    <w:p w14:paraId="4F7E3E5B" w14:textId="77777777" w:rsidR="005D4EF5" w:rsidRDefault="005D4EF5">
      <w:pPr>
        <w:pStyle w:val="BodyText"/>
        <w:rPr>
          <w:rFonts w:hint="cs"/>
          <w:rtl/>
        </w:rPr>
      </w:pPr>
    </w:p>
    <w:p w14:paraId="392B18B4" w14:textId="77777777" w:rsidR="005D4EF5" w:rsidRDefault="005D4EF5">
      <w:pPr>
        <w:pStyle w:val="BodyText"/>
        <w:numPr>
          <w:ilvl w:val="0"/>
          <w:numId w:val="2"/>
        </w:numPr>
        <w:ind w:right="0"/>
        <w:rPr>
          <w:rFonts w:hint="cs"/>
          <w:rtl/>
        </w:rPr>
      </w:pPr>
      <w:r>
        <w:rPr>
          <w:rFonts w:hint="cs"/>
          <w:rtl/>
        </w:rPr>
        <w:t>התלונה המיידית לחבר כבירי. כאמור, כאשר יצא הקטין מבית הכנסת, הוא פגש את כבירי וסיפר לו על המקרה ולפי עצתו של כבירי, התקשר מטלפון ציבורי למשטרה. בהסכמה הוגש מזכר מיום 24.12.01 (ת/2) שנערך על ידי חוקרת בשם קוגן אורה. בהתאם למזכר, שוחחה החוקרת עם אימו של הקטין וביקשה סיוע באיתור חברו של בנה – כבירי. האם שאלה את הקטין והוא מסר את כתובת מגוריו של החבר ועשה ככל יכולתו, כדי לאתרו. בהתאם למזכר ת/3 שנערך ביום 24.12.01 על ידי החוקרת קוגן, התקשרו מהמשטרה לאמו של כבירי בבקשה שימסור עדות, אך "</w:t>
      </w:r>
      <w:r>
        <w:rPr>
          <w:rFonts w:hint="cs"/>
          <w:b/>
          <w:bCs/>
          <w:rtl/>
        </w:rPr>
        <w:t>זאת סרבה בכל תוקף שהילד שלה יהיה מעורב בסיפור הזה וכן הוסיפה שפנו אליה רבני השכונה ויהיה פיצוץ גדול  בשכונה בעקבות האירוע הזה</w:t>
      </w:r>
      <w:r>
        <w:rPr>
          <w:rFonts w:hint="cs"/>
          <w:rtl/>
        </w:rPr>
        <w:t>".</w:t>
      </w:r>
      <w:r>
        <w:rPr>
          <w:color w:val="FFFFFF"/>
          <w:sz w:val="4"/>
          <w:szCs w:val="4"/>
          <w:rtl/>
        </w:rPr>
        <w:t>ב</w:t>
      </w:r>
    </w:p>
    <w:p w14:paraId="455F7D98" w14:textId="77777777" w:rsidR="005D4EF5" w:rsidRDefault="005D4EF5">
      <w:pPr>
        <w:pStyle w:val="BodyText"/>
        <w:ind w:left="1080" w:hanging="720"/>
        <w:rPr>
          <w:rtl/>
        </w:rPr>
      </w:pPr>
    </w:p>
    <w:p w14:paraId="7B61FFA4" w14:textId="77777777" w:rsidR="005D4EF5" w:rsidRDefault="005D4EF5">
      <w:pPr>
        <w:pStyle w:val="BodyText"/>
        <w:numPr>
          <w:ilvl w:val="0"/>
          <w:numId w:val="2"/>
        </w:numPr>
        <w:ind w:right="0"/>
        <w:rPr>
          <w:rFonts w:hint="cs"/>
          <w:rtl/>
        </w:rPr>
      </w:pPr>
      <w:r>
        <w:rPr>
          <w:rFonts w:hint="cs"/>
          <w:rtl/>
        </w:rPr>
        <w:t>כאמור, התקשר הקטין מטלפון ציבורי למשטרה. למקום הוזעקה ניידת ובענין זה נערך דו"ח פעולה על ידי השוטרת סולצטנקי מרינה, אשר ערכה דו"ח פעולה (ת/5). מרינה רשמה את תמצית תלונת הקטין ולקחה את השניים לתחנת המשטרה לחקירה. מרינה העידה בבית המשפט כדלקמן: "</w:t>
      </w:r>
      <w:r>
        <w:rPr>
          <w:rFonts w:hint="cs"/>
          <w:b/>
          <w:bCs/>
          <w:rtl/>
        </w:rPr>
        <w:t>הגענו, הוא היה מפוחד, הוא פחד שיראו שהוא מספר, כי הוא פחד מהחשוד ועלה איתנו לניידת וסיפר לנו את זה בניידת, כי לא רצה שאנשים ישמעו את זה. היה מפוחד מכל הסיפור הזה</w:t>
      </w:r>
      <w:r>
        <w:rPr>
          <w:rFonts w:hint="cs"/>
          <w:rtl/>
        </w:rPr>
        <w:t>" (עמ' 1 שורות 22-20). בחקירתה הנגדית התברר, כי העדה לא רשמה בדו"ח הפעולה ת/5 שהקטין היה מפוחד. בחקירתה הנגדית נשאלה על סמך מה הגיעה למסקנה שהקטין היה מפוחד והיא אמרה "</w:t>
      </w:r>
      <w:r>
        <w:rPr>
          <w:rFonts w:hint="cs"/>
          <w:b/>
          <w:bCs/>
          <w:rtl/>
        </w:rPr>
        <w:t>ראיתי</w:t>
      </w:r>
      <w:r>
        <w:rPr>
          <w:rFonts w:hint="cs"/>
          <w:rtl/>
        </w:rPr>
        <w:t>" (עמ' 25). למרות שהיה על השוטרת לרשום את מצבו של הקטין סמוך לאירוע, עדיין אין להתעלם מעדותה זו בדבר מצבו הנפשי של הקטין, גם אם אייחס לעדותה בבית המשפט משקל נמוך.</w:t>
      </w:r>
      <w:r>
        <w:rPr>
          <w:color w:val="FFFFFF"/>
          <w:sz w:val="4"/>
          <w:szCs w:val="4"/>
          <w:rtl/>
        </w:rPr>
        <w:t>ו</w:t>
      </w:r>
    </w:p>
    <w:p w14:paraId="79992518" w14:textId="77777777" w:rsidR="005D4EF5" w:rsidRDefault="005D4EF5">
      <w:pPr>
        <w:pStyle w:val="BodyText"/>
        <w:rPr>
          <w:rFonts w:hint="cs"/>
          <w:rtl/>
        </w:rPr>
      </w:pPr>
    </w:p>
    <w:p w14:paraId="033106EE" w14:textId="77777777" w:rsidR="005D4EF5" w:rsidRDefault="005D4EF5">
      <w:pPr>
        <w:pStyle w:val="BodyText"/>
        <w:numPr>
          <w:ilvl w:val="0"/>
          <w:numId w:val="2"/>
        </w:numPr>
        <w:ind w:right="0"/>
        <w:rPr>
          <w:rFonts w:hint="cs"/>
          <w:rtl/>
        </w:rPr>
      </w:pPr>
      <w:r>
        <w:rPr>
          <w:rFonts w:hint="cs"/>
          <w:rtl/>
        </w:rPr>
        <w:t>יצויין, כי השוטרת רשמה בדו"ח הפעולה שהקטין התלונן ש"</w:t>
      </w:r>
      <w:r>
        <w:rPr>
          <w:rFonts w:hint="cs"/>
          <w:b/>
          <w:bCs/>
          <w:rtl/>
        </w:rPr>
        <w:t>הנאשם ביקש ללקק את איבר המין שלו</w:t>
      </w:r>
      <w:r>
        <w:rPr>
          <w:rFonts w:hint="cs"/>
          <w:rtl/>
        </w:rPr>
        <w:t xml:space="preserve">" והקטין הכחיש בחקירתו, כי אמר את מה שנרשם. ואולם, אינני מוצא לנכון לגרוע מהמהימנות שאני רוחש לעדותו של הקטין בגלל רישום זה וניתן אף לומר, כי העובדה שהקטין לא הגזים ונשאר צמוד להודעה שמסר במשטרה, פועלת דווקא לטובתו. </w:t>
      </w:r>
    </w:p>
    <w:p w14:paraId="0AE379A8" w14:textId="77777777" w:rsidR="005D4EF5" w:rsidRDefault="005D4EF5">
      <w:pPr>
        <w:pStyle w:val="BodyText"/>
        <w:rPr>
          <w:rtl/>
        </w:rPr>
      </w:pPr>
    </w:p>
    <w:p w14:paraId="53BEE76B" w14:textId="77777777" w:rsidR="005D4EF5" w:rsidRDefault="005D4EF5">
      <w:pPr>
        <w:pStyle w:val="BodyText"/>
        <w:numPr>
          <w:ilvl w:val="0"/>
          <w:numId w:val="2"/>
        </w:numPr>
        <w:ind w:right="0"/>
        <w:rPr>
          <w:rFonts w:hint="cs"/>
          <w:rtl/>
        </w:rPr>
      </w:pPr>
      <w:r>
        <w:rPr>
          <w:rFonts w:hint="cs"/>
          <w:rtl/>
        </w:rPr>
        <w:t xml:space="preserve">כאמור, טען הנאשם, כי הקטין ניסה לסחוט אותו באמצעות עזרא בצרי. הקטין הכחיש את כל טענות הנאשם בענין הנסיון, כביכול, לסחוט אותו ולמרות שבצרי הינו קרוב משפחה של הנאשם, לא הובא בצרי להעיד כעד הגנה. בענין זה, קיימת משמעות להימנעות מהבאת עד שיכול היה לתמוך, אולי, בטענת הנאשם. לא למותר לציין, כי הנאשם לא טרח כלל להתלונן במשטרה על נסיון לסחוט אותו. </w:t>
      </w:r>
    </w:p>
    <w:p w14:paraId="5DC0C5FB" w14:textId="77777777" w:rsidR="005D4EF5" w:rsidRDefault="005D4EF5">
      <w:pPr>
        <w:pStyle w:val="BodyText"/>
        <w:rPr>
          <w:rFonts w:hint="cs"/>
          <w:rtl/>
        </w:rPr>
      </w:pPr>
    </w:p>
    <w:p w14:paraId="47782219" w14:textId="77777777" w:rsidR="005D4EF5" w:rsidRDefault="005D4EF5">
      <w:pPr>
        <w:pStyle w:val="BodyText"/>
        <w:rPr>
          <w:rFonts w:hint="cs"/>
          <w:rtl/>
        </w:rPr>
      </w:pPr>
      <w:r>
        <w:rPr>
          <w:rFonts w:hint="cs"/>
          <w:rtl/>
        </w:rPr>
        <w:t>כאן מן הראוי לציין, כי עובר לשמיעת הסיכומים, הודיע ב"כ הנאשם, כי נודע לו שהקטין עבר עבירה בבית משפט לנוער ימים ספורים לפני מועד הסיכומים. הוסכם, כי במידת הצורך יגישו הצדדים הודעה תוך 7 ימים לגבי התיק של הקטין.</w:t>
      </w:r>
    </w:p>
    <w:p w14:paraId="66C0F2D8" w14:textId="77777777" w:rsidR="005D4EF5" w:rsidRDefault="005D4EF5">
      <w:pPr>
        <w:pStyle w:val="BodyText"/>
        <w:rPr>
          <w:rFonts w:hint="cs"/>
          <w:rtl/>
        </w:rPr>
      </w:pPr>
    </w:p>
    <w:p w14:paraId="1331398A" w14:textId="77777777" w:rsidR="005D4EF5" w:rsidRDefault="005D4EF5">
      <w:pPr>
        <w:pStyle w:val="BodyText"/>
        <w:rPr>
          <w:rFonts w:hint="cs"/>
          <w:rtl/>
        </w:rPr>
      </w:pPr>
      <w:r>
        <w:rPr>
          <w:rFonts w:hint="cs"/>
          <w:rtl/>
        </w:rPr>
        <w:t>ביום שנקבע למתן הכרעת הדין, הגישו הצדדים הודעה דחופה ומוסכמת לבית המשפט, לפיה "</w:t>
      </w:r>
      <w:r>
        <w:rPr>
          <w:rFonts w:hint="cs"/>
          <w:b/>
          <w:bCs/>
          <w:rtl/>
        </w:rPr>
        <w:t>הובא לידיעת ב"כ הנאשם, כי בתאריך 02.12.04 במסגרת ת.פ. 587/04 קבע בית המשפט לנוער שהמתלונן ביצע עבירות מרמה שעניינן הפקדת שיק גנוב תוך עצימת עיניים ועבירה של סיוע לאיומים כלפי העד ממנו נגנב העד בכך שנכח במקום עת אויים העד מילולית על ידי אחרים</w:t>
      </w:r>
      <w:r>
        <w:rPr>
          <w:rFonts w:hint="cs"/>
          <w:rtl/>
        </w:rPr>
        <w:t xml:space="preserve">". </w:t>
      </w:r>
    </w:p>
    <w:p w14:paraId="62791A47" w14:textId="77777777" w:rsidR="005D4EF5" w:rsidRDefault="005D4EF5">
      <w:pPr>
        <w:pStyle w:val="BodyText"/>
        <w:rPr>
          <w:rFonts w:hint="cs"/>
          <w:rtl/>
        </w:rPr>
      </w:pPr>
    </w:p>
    <w:p w14:paraId="5AF20A01" w14:textId="77777777" w:rsidR="005D4EF5" w:rsidRDefault="005D4EF5">
      <w:pPr>
        <w:pStyle w:val="BodyText"/>
        <w:rPr>
          <w:rFonts w:hint="cs"/>
          <w:rtl/>
        </w:rPr>
      </w:pPr>
      <w:r>
        <w:rPr>
          <w:rFonts w:hint="cs"/>
          <w:rtl/>
        </w:rPr>
        <w:t>בהתאם להודעה זו, טען ב"כ המאשימה, כי אין כל רלוונטיות לענין זה, "</w:t>
      </w:r>
      <w:r>
        <w:rPr>
          <w:rFonts w:hint="cs"/>
          <w:b/>
          <w:bCs/>
          <w:rtl/>
        </w:rPr>
        <w:t>אך למען הזהירות והשקיפות אין הוא מתנגד להבאת עובדות אלה בפני בית המשפט</w:t>
      </w:r>
      <w:r>
        <w:rPr>
          <w:rFonts w:hint="cs"/>
          <w:rtl/>
        </w:rPr>
        <w:t>". לעומת זאת, ביקש ב"כ הנאשם מבית המשפט לתת את דעתו להודעה זו "</w:t>
      </w:r>
      <w:r>
        <w:rPr>
          <w:rFonts w:hint="cs"/>
          <w:b/>
          <w:bCs/>
          <w:rtl/>
        </w:rPr>
        <w:t>ולהתחשב בה בענין קביעת מהימנותו של המתלונן</w:t>
      </w:r>
      <w:r>
        <w:rPr>
          <w:rFonts w:hint="cs"/>
          <w:rtl/>
        </w:rPr>
        <w:t>".</w:t>
      </w:r>
    </w:p>
    <w:p w14:paraId="1276BE01" w14:textId="77777777" w:rsidR="005D4EF5" w:rsidRDefault="005D4EF5">
      <w:pPr>
        <w:pStyle w:val="BodyText"/>
        <w:rPr>
          <w:rFonts w:hint="cs"/>
          <w:rtl/>
        </w:rPr>
      </w:pPr>
    </w:p>
    <w:p w14:paraId="7063E694" w14:textId="77777777" w:rsidR="005D4EF5" w:rsidRDefault="005D4EF5">
      <w:pPr>
        <w:pStyle w:val="BodyText"/>
        <w:rPr>
          <w:rFonts w:hint="cs"/>
          <w:rtl/>
        </w:rPr>
      </w:pPr>
      <w:r>
        <w:rPr>
          <w:rFonts w:hint="cs"/>
          <w:rtl/>
        </w:rPr>
        <w:t xml:space="preserve">לא מצאתי בהודעה זו, כדי לפגום במהימנותו של הקטין ובהתרשמות החיובית שלי מעדותו בקשר לאירוע נשוא כתב האישום, כמו שלא מצאתי ממש בטענה בענין מצבו הרפואי של הנאשם. </w:t>
      </w:r>
    </w:p>
    <w:p w14:paraId="4391C123" w14:textId="77777777" w:rsidR="005D4EF5" w:rsidRDefault="005D4EF5">
      <w:pPr>
        <w:pStyle w:val="BodyText"/>
        <w:rPr>
          <w:rFonts w:hint="cs"/>
          <w:rtl/>
        </w:rPr>
      </w:pPr>
    </w:p>
    <w:p w14:paraId="49AB41D8" w14:textId="77777777" w:rsidR="005D4EF5" w:rsidRDefault="005D4EF5">
      <w:pPr>
        <w:rPr>
          <w:rFonts w:hint="cs"/>
          <w:sz w:val="24"/>
          <w:szCs w:val="24"/>
          <w:rtl/>
        </w:rPr>
      </w:pPr>
      <w:r>
        <w:rPr>
          <w:rFonts w:hint="cs"/>
          <w:sz w:val="24"/>
          <w:szCs w:val="24"/>
          <w:rtl/>
        </w:rPr>
        <w:t>אשר על כן, אני מרשיע את הנאשם בעבירות שיוחסו לו בכתב האישום, דהיינו, מעשה מגונה בניגוד ל</w:t>
      </w:r>
      <w:hyperlink r:id="rId10" w:history="1">
        <w:r w:rsidR="00DA62A3" w:rsidRPr="00DA62A3">
          <w:rPr>
            <w:rStyle w:val="Hyperlink"/>
            <w:rFonts w:hint="eastAsia"/>
            <w:color w:val="0000FF"/>
            <w:sz w:val="24"/>
            <w:szCs w:val="24"/>
            <w:rtl/>
          </w:rPr>
          <w:t>סעיף</w:t>
        </w:r>
        <w:r w:rsidR="00DA62A3" w:rsidRPr="00DA62A3">
          <w:rPr>
            <w:rStyle w:val="Hyperlink"/>
            <w:color w:val="0000FF"/>
            <w:sz w:val="24"/>
            <w:szCs w:val="24"/>
            <w:rtl/>
          </w:rPr>
          <w:t xml:space="preserve"> 348(ג)</w:t>
        </w:r>
      </w:hyperlink>
      <w:r>
        <w:rPr>
          <w:rFonts w:hint="cs"/>
          <w:sz w:val="24"/>
          <w:szCs w:val="24"/>
          <w:rtl/>
        </w:rPr>
        <w:t xml:space="preserve"> ל</w:t>
      </w:r>
      <w:hyperlink r:id="rId11" w:history="1">
        <w:r w:rsidR="00DA62A3" w:rsidRPr="00DA62A3">
          <w:rPr>
            <w:rStyle w:val="Hyperlink"/>
            <w:rFonts w:hint="eastAsia"/>
            <w:color w:val="0000FF"/>
            <w:sz w:val="24"/>
            <w:szCs w:val="24"/>
            <w:rtl/>
          </w:rPr>
          <w:t>חוק</w:t>
        </w:r>
        <w:r w:rsidR="00DA62A3" w:rsidRPr="00DA62A3">
          <w:rPr>
            <w:rStyle w:val="Hyperlink"/>
            <w:color w:val="0000FF"/>
            <w:sz w:val="24"/>
            <w:szCs w:val="24"/>
            <w:rtl/>
          </w:rPr>
          <w:t xml:space="preserve"> העונשין</w:t>
        </w:r>
      </w:hyperlink>
      <w:r>
        <w:rPr>
          <w:rFonts w:hint="cs"/>
          <w:sz w:val="24"/>
          <w:szCs w:val="24"/>
          <w:rtl/>
        </w:rPr>
        <w:t xml:space="preserve"> התשל"ז – 1977 (להלן: "</w:t>
      </w:r>
      <w:r>
        <w:rPr>
          <w:rFonts w:hint="cs"/>
          <w:b/>
          <w:bCs/>
          <w:sz w:val="24"/>
          <w:szCs w:val="24"/>
          <w:rtl/>
        </w:rPr>
        <w:t>החוק</w:t>
      </w:r>
      <w:r>
        <w:rPr>
          <w:rFonts w:hint="cs"/>
          <w:sz w:val="24"/>
          <w:szCs w:val="24"/>
          <w:rtl/>
        </w:rPr>
        <w:t>") ומעשה מגונה בפומבי בניגוד ל</w:t>
      </w:r>
      <w:hyperlink r:id="rId12" w:history="1">
        <w:r w:rsidR="00DA62A3" w:rsidRPr="00DA62A3">
          <w:rPr>
            <w:rStyle w:val="Hyperlink"/>
            <w:rFonts w:hint="eastAsia"/>
            <w:color w:val="0000FF"/>
            <w:sz w:val="24"/>
            <w:szCs w:val="24"/>
            <w:rtl/>
          </w:rPr>
          <w:t>סעיף</w:t>
        </w:r>
        <w:r w:rsidR="00DA62A3" w:rsidRPr="00DA62A3">
          <w:rPr>
            <w:rStyle w:val="Hyperlink"/>
            <w:color w:val="0000FF"/>
            <w:sz w:val="24"/>
            <w:szCs w:val="24"/>
            <w:rtl/>
          </w:rPr>
          <w:t xml:space="preserve"> 349ב'</w:t>
        </w:r>
      </w:hyperlink>
      <w:r>
        <w:rPr>
          <w:rFonts w:hint="cs"/>
          <w:sz w:val="24"/>
          <w:szCs w:val="24"/>
          <w:rtl/>
        </w:rPr>
        <w:t xml:space="preserve"> לחוק.</w:t>
      </w:r>
    </w:p>
    <w:p w14:paraId="4A09C50C" w14:textId="77777777" w:rsidR="005D4EF5" w:rsidRDefault="005D4EF5">
      <w:pPr>
        <w:rPr>
          <w:sz w:val="24"/>
          <w:szCs w:val="24"/>
          <w:rtl/>
        </w:rPr>
      </w:pPr>
    </w:p>
    <w:p w14:paraId="73D9456F" w14:textId="77777777" w:rsidR="005D4EF5" w:rsidRDefault="005D4EF5">
      <w:pPr>
        <w:rPr>
          <w:rFonts w:hint="cs"/>
          <w:color w:val="000000"/>
          <w:sz w:val="24"/>
          <w:szCs w:val="24"/>
          <w:rtl/>
        </w:rPr>
      </w:pPr>
      <w:r>
        <w:rPr>
          <w:rFonts w:hint="cs"/>
          <w:color w:val="000000"/>
          <w:sz w:val="24"/>
          <w:szCs w:val="24"/>
          <w:rtl/>
        </w:rPr>
        <w:t>ניתנה היום י' בשבט, תשס"ה (20 בינואר 2005) ב"כ המאשימה, הנאשם ובא כוחו.</w:t>
      </w:r>
    </w:p>
    <w:p w14:paraId="714998A0" w14:textId="77777777" w:rsidR="005D4EF5" w:rsidRDefault="005D4EF5">
      <w:pPr>
        <w:rPr>
          <w:rFonts w:hint="cs"/>
          <w:b/>
          <w:bCs/>
          <w:color w:val="000080"/>
          <w:sz w:val="24"/>
          <w:szCs w:val="24"/>
          <w:rtl/>
        </w:rPr>
      </w:pPr>
    </w:p>
    <w:tbl>
      <w:tblPr>
        <w:tblW w:w="0" w:type="auto"/>
        <w:tblInd w:w="6153" w:type="dxa"/>
        <w:tblBorders>
          <w:top w:val="single" w:sz="4" w:space="0" w:color="auto"/>
        </w:tblBorders>
        <w:tblLook w:val="0000" w:firstRow="0" w:lastRow="0" w:firstColumn="0" w:lastColumn="0" w:noHBand="0" w:noVBand="0"/>
      </w:tblPr>
      <w:tblGrid>
        <w:gridCol w:w="2369"/>
      </w:tblGrid>
      <w:tr w:rsidR="005D4EF5" w14:paraId="43D39555" w14:textId="77777777">
        <w:tc>
          <w:tcPr>
            <w:tcW w:w="2376" w:type="dxa"/>
            <w:tcBorders>
              <w:top w:val="single" w:sz="4" w:space="0" w:color="auto"/>
              <w:left w:val="nil"/>
              <w:bottom w:val="nil"/>
              <w:right w:val="nil"/>
            </w:tcBorders>
          </w:tcPr>
          <w:p w14:paraId="2F712225" w14:textId="77777777" w:rsidR="005D4EF5" w:rsidRDefault="005D4EF5">
            <w:pPr>
              <w:jc w:val="center"/>
              <w:rPr>
                <w:sz w:val="24"/>
                <w:szCs w:val="24"/>
              </w:rPr>
            </w:pPr>
            <w:r>
              <w:rPr>
                <w:rFonts w:hint="cs"/>
                <w:sz w:val="24"/>
                <w:szCs w:val="24"/>
                <w:rtl/>
              </w:rPr>
              <w:t>אמנון כהן</w:t>
            </w:r>
          </w:p>
          <w:p w14:paraId="2237AE33" w14:textId="77777777" w:rsidR="005D4EF5" w:rsidRDefault="005D4EF5">
            <w:pPr>
              <w:jc w:val="center"/>
              <w:rPr>
                <w:rFonts w:hint="cs"/>
                <w:sz w:val="24"/>
                <w:szCs w:val="24"/>
                <w:rtl/>
              </w:rPr>
            </w:pPr>
            <w:r>
              <w:rPr>
                <w:rFonts w:hint="cs"/>
                <w:sz w:val="24"/>
                <w:szCs w:val="24"/>
                <w:rtl/>
              </w:rPr>
              <w:t>שופט בית משפט מחוזי</w:t>
            </w:r>
          </w:p>
          <w:p w14:paraId="4D229C50" w14:textId="77777777" w:rsidR="005D4EF5" w:rsidRDefault="005D4EF5">
            <w:pPr>
              <w:jc w:val="center"/>
              <w:rPr>
                <w:sz w:val="24"/>
                <w:szCs w:val="24"/>
              </w:rPr>
            </w:pPr>
            <w:r>
              <w:rPr>
                <w:rFonts w:hint="cs"/>
                <w:sz w:val="24"/>
                <w:szCs w:val="24"/>
                <w:rtl/>
              </w:rPr>
              <w:t>נשיא בית משפט השלום</w:t>
            </w:r>
          </w:p>
        </w:tc>
      </w:tr>
    </w:tbl>
    <w:p w14:paraId="2714C9C7" w14:textId="77777777" w:rsidR="005D4EF5" w:rsidRDefault="005D4EF5">
      <w:pPr>
        <w:rPr>
          <w:rFonts w:hint="cs"/>
          <w:sz w:val="24"/>
          <w:szCs w:val="24"/>
          <w:rtl/>
        </w:rPr>
      </w:pPr>
      <w:r>
        <w:rPr>
          <w:rFonts w:hint="cs"/>
          <w:sz w:val="24"/>
          <w:szCs w:val="24"/>
          <w:rtl/>
        </w:rPr>
        <w:t>קלדנית: זהבה נחום</w:t>
      </w:r>
    </w:p>
    <w:p w14:paraId="638DA059" w14:textId="77777777" w:rsidR="005D4EF5" w:rsidRDefault="005D4EF5">
      <w:pPr>
        <w:rPr>
          <w:rFonts w:hint="cs"/>
          <w:sz w:val="24"/>
          <w:szCs w:val="24"/>
          <w:rtl/>
        </w:rPr>
      </w:pPr>
      <w:r>
        <w:rPr>
          <w:sz w:val="24"/>
          <w:szCs w:val="24"/>
          <w:rtl/>
        </w:rPr>
        <w:t>נוסח מסמך זה כפוף לשינויי ניסוח ועריכה</w:t>
      </w:r>
    </w:p>
    <w:sectPr w:rsidR="005D4EF5">
      <w:headerReference w:type="even" r:id="rId13"/>
      <w:headerReference w:type="default" r:id="rId14"/>
      <w:footerReference w:type="even" r:id="rId15"/>
      <w:footerReference w:type="default" r:id="rId16"/>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5E70" w14:textId="77777777" w:rsidR="001D077A" w:rsidRDefault="001D077A">
      <w:r>
        <w:separator/>
      </w:r>
    </w:p>
  </w:endnote>
  <w:endnote w:type="continuationSeparator" w:id="0">
    <w:p w14:paraId="1381FB6D" w14:textId="77777777" w:rsidR="001D077A" w:rsidRDefault="001D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B898" w14:textId="77777777" w:rsidR="00C4496A" w:rsidRDefault="00C4496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605E9202" w14:textId="77777777" w:rsidR="00C4496A" w:rsidRDefault="00C4496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143B0F" w14:textId="77777777" w:rsidR="00C4496A" w:rsidRDefault="00C4496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M:\00000000\05-01-23\ps-all\03 = 05-01-20-tali\OutDoc\s02004105-256.doc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A46A" w14:textId="77777777" w:rsidR="00C4496A" w:rsidRDefault="00C4496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6480D">
      <w:rPr>
        <w:rFonts w:hAnsi="FrankRuehl" w:cs="FrankRuehl"/>
        <w:noProof/>
        <w:sz w:val="24"/>
        <w:rtl/>
      </w:rPr>
      <w:t>2</w:t>
    </w:r>
    <w:r>
      <w:rPr>
        <w:rFonts w:hAnsi="FrankRuehl" w:cs="FrankRuehl"/>
        <w:sz w:val="24"/>
        <w:rtl/>
      </w:rPr>
      <w:fldChar w:fldCharType="end"/>
    </w:r>
  </w:p>
  <w:p w14:paraId="00C252D3" w14:textId="77777777" w:rsidR="00C4496A" w:rsidRDefault="00C4496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F013BD" w14:textId="77777777" w:rsidR="00C4496A" w:rsidRDefault="00C4496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M:\00000000\05-01-23\ps-all\03 = 05-01-20-tali\OutDoc\s02004105-256.doc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53FE" w14:textId="77777777" w:rsidR="001D077A" w:rsidRDefault="001D077A">
      <w:r>
        <w:separator/>
      </w:r>
    </w:p>
  </w:footnote>
  <w:footnote w:type="continuationSeparator" w:id="0">
    <w:p w14:paraId="2E9413D9" w14:textId="77777777" w:rsidR="001D077A" w:rsidRDefault="001D0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F417" w14:textId="77777777" w:rsidR="00C4496A" w:rsidRDefault="00C4496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4105/02</w:t>
    </w:r>
    <w:r>
      <w:rPr>
        <w:rFonts w:hAnsi="David"/>
        <w:color w:val="000000"/>
        <w:sz w:val="22"/>
        <w:szCs w:val="22"/>
        <w:rtl/>
      </w:rPr>
      <w:tab/>
      <w:t xml:space="preserve"> מדינת ישראל נ' מרדכי אבא שאול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026B" w14:textId="77777777" w:rsidR="00C4496A" w:rsidRDefault="00C4496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4105/02</w:t>
    </w:r>
    <w:r>
      <w:rPr>
        <w:rFonts w:hAnsi="David"/>
        <w:color w:val="000000"/>
        <w:sz w:val="22"/>
        <w:szCs w:val="22"/>
        <w:rtl/>
      </w:rPr>
      <w:tab/>
      <w:t xml:space="preserve"> מדינת ישראל נ' מרדכי אבא שאול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2E74"/>
    <w:multiLevelType w:val="hybridMultilevel"/>
    <w:tmpl w:val="C8BC4DBC"/>
    <w:lvl w:ilvl="0" w:tplc="3AEE1CBC">
      <w:start w:val="1"/>
      <w:numFmt w:val="hebrew1"/>
      <w:lvlText w:val="%1."/>
      <w:lvlJc w:val="left"/>
      <w:pPr>
        <w:tabs>
          <w:tab w:val="num" w:pos="1080"/>
        </w:tabs>
        <w:ind w:left="1080" w:right="10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908804778">
    <w:abstractNumId w:val="0"/>
  </w:num>
  <w:num w:numId="2" w16cid:durableId="1129322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5D4EF5"/>
    <w:rsid w:val="001D077A"/>
    <w:rsid w:val="00482DE7"/>
    <w:rsid w:val="005D4EF5"/>
    <w:rsid w:val="005F3978"/>
    <w:rsid w:val="00A6480D"/>
    <w:rsid w:val="00C4496A"/>
    <w:rsid w:val="00DA62A3"/>
    <w:rsid w:val="00DF52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039CA9"/>
  <w15:chartTrackingRefBased/>
  <w15:docId w15:val="{2B3854B5-C191-4CDC-8042-E15EE308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jc w:val="center"/>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outlineLvl w:val="5"/>
    </w:pPr>
    <w:rPr>
      <w:b/>
      <w:bCs/>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rPr>
      <w:sz w:val="24"/>
      <w:szCs w:val="24"/>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צטוט"/>
    <w:basedOn w:val="Normal"/>
    <w:pPr>
      <w:ind w:left="567" w:right="567"/>
    </w:pPr>
    <w:rPr>
      <w:sz w:val="24"/>
      <w:szCs w:val="24"/>
    </w:r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character" w:styleId="PageNumber">
    <w:name w:val="page number"/>
    <w:rPr>
      <w:rFonts w:cs="David"/>
    </w:rPr>
  </w:style>
  <w:style w:type="character" w:styleId="Hyperlink">
    <w:name w:val="Hyperlink"/>
    <w:rsid w:val="00DA62A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349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70301/348.c" TargetMode="External"/><Relationship Id="rId4" Type="http://schemas.openxmlformats.org/officeDocument/2006/relationships/webSettings" Target="webSettings.xml"/><Relationship Id="rId9" Type="http://schemas.openxmlformats.org/officeDocument/2006/relationships/hyperlink" Target="http://www.nevo.co.il/law/70301/349b"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1643</Words>
  <Characters>9366</Characters>
  <Application>Microsoft Office Word</Application>
  <DocSecurity>0</DocSecurity>
  <Lines>78</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10988</CharactersWithSpaces>
  <SharedDoc>false</SharedDoc>
  <HLinks>
    <vt:vector size="36" baseType="variant">
      <vt:variant>
        <vt:i4>196703</vt:i4>
      </vt:variant>
      <vt:variant>
        <vt:i4>15</vt:i4>
      </vt:variant>
      <vt:variant>
        <vt:i4>0</vt:i4>
      </vt:variant>
      <vt:variant>
        <vt:i4>5</vt:i4>
      </vt:variant>
      <vt:variant>
        <vt:lpwstr>http://www.nevo.co.il/law/70301/349b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196703</vt:i4>
      </vt:variant>
      <vt:variant>
        <vt:i4>6</vt:i4>
      </vt:variant>
      <vt:variant>
        <vt:i4>0</vt:i4>
      </vt:variant>
      <vt:variant>
        <vt:i4>5</vt:i4>
      </vt:variant>
      <vt:variant>
        <vt:lpwstr>http://www.nevo.co.il/law/70301/349b</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2005-01-20T12:35:00Z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4105</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מרדכי אבא שאול</vt:lpwstr>
  </property>
  <property fmtid="{D5CDD505-2E9C-101B-9397-08002B2CF9AE}" pid="9" name="LAWYER">
    <vt:lpwstr>ואדים שוב</vt:lpwstr>
  </property>
  <property fmtid="{D5CDD505-2E9C-101B-9397-08002B2CF9AE}" pid="10" name="JUDGE">
    <vt:lpwstr>אמנון כהן</vt:lpwstr>
  </property>
  <property fmtid="{D5CDD505-2E9C-101B-9397-08002B2CF9AE}" pid="11" name="CITY">
    <vt:lpwstr>י-ם</vt:lpwstr>
  </property>
  <property fmtid="{D5CDD505-2E9C-101B-9397-08002B2CF9AE}" pid="12" name="DATE">
    <vt:lpwstr>20050120</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NOTES1">
    <vt:lpwstr>ProcID=209&amp;PartA=587&amp;PartC=04</vt:lpwstr>
  </property>
  <property fmtid="{D5CDD505-2E9C-101B-9397-08002B2CF9AE}" pid="31" name="CASENOTES2">
    <vt:lpwstr>ProcID=213&amp;PartA=27&amp;PartC=14</vt:lpwstr>
  </property>
  <property fmtid="{D5CDD505-2E9C-101B-9397-08002B2CF9AE}" pid="32" name="CASENOTES3">
    <vt:lpwstr>ProcID=213&amp;PartA=22&amp;PartC=20</vt:lpwstr>
  </property>
  <property fmtid="{D5CDD505-2E9C-101B-9397-08002B2CF9AE}" pid="33" name="LAWLISTTMP1">
    <vt:lpwstr>70301/348.c;349b</vt:lpwstr>
  </property>
</Properties>
</file>