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C20A" w14:textId="77777777" w:rsidR="00E314B3" w:rsidRDefault="00E314B3">
      <w:pPr>
        <w:pStyle w:val="Header"/>
        <w:rPr>
          <w:rtl/>
        </w:rPr>
      </w:pPr>
    </w:p>
    <w:p w14:paraId="7B6AD15F" w14:textId="77777777" w:rsidR="00E314B3" w:rsidRDefault="00E314B3">
      <w:pPr>
        <w:jc w:val="center"/>
        <w:rPr>
          <w:rFonts w:hint="cs"/>
          <w:rtl/>
        </w:rPr>
      </w:pPr>
    </w:p>
    <w:p w14:paraId="4BEF1E40" w14:textId="77777777" w:rsidR="00E314B3" w:rsidRDefault="00E314B3">
      <w:pPr>
        <w:jc w:val="center"/>
        <w:rPr>
          <w:rFonts w:hint="cs"/>
          <w:rtl/>
        </w:rPr>
      </w:pPr>
    </w:p>
    <w:p w14:paraId="2F685717" w14:textId="77777777" w:rsidR="00E314B3" w:rsidRDefault="00E314B3">
      <w:pPr>
        <w:jc w:val="center"/>
        <w:rPr>
          <w:rtl/>
        </w:rPr>
      </w:pPr>
      <w:r>
        <w:rPr>
          <w:rFonts w:hint="cs"/>
          <w:b/>
          <w:b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822"/>
        <w:gridCol w:w="2092"/>
      </w:tblGrid>
      <w:tr w:rsidR="00E314B3" w14:paraId="0435E8F0" w14:textId="77777777" w:rsidTr="00E314B3">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50E1DF07" w14:textId="77777777" w:rsidR="00E314B3" w:rsidRDefault="00E314B3">
            <w:pPr>
              <w:pStyle w:val="Heading7"/>
            </w:pPr>
          </w:p>
        </w:tc>
      </w:tr>
      <w:tr w:rsidR="00E314B3" w14:paraId="698B794C" w14:textId="77777777" w:rsidTr="00E314B3">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335E70D" w14:textId="77777777" w:rsidR="00E314B3" w:rsidRDefault="00E314B3">
            <w:pPr>
              <w:rPr>
                <w:b/>
                <w:bCs/>
                <w:sz w:val="26"/>
                <w:szCs w:val="26"/>
              </w:rPr>
            </w:pPr>
            <w:r>
              <w:rPr>
                <w:rFonts w:hint="cs"/>
                <w:b/>
                <w:bCs/>
                <w:sz w:val="26"/>
                <w:szCs w:val="26"/>
                <w:rtl/>
              </w:rPr>
              <w:t>בית משפט השלום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65EDA979" w14:textId="77777777" w:rsidR="00E314B3" w:rsidRDefault="00E314B3">
            <w:pPr>
              <w:rPr>
                <w:b/>
                <w:bCs/>
                <w:sz w:val="26"/>
                <w:szCs w:val="26"/>
              </w:rPr>
            </w:pPr>
            <w:r>
              <w:rPr>
                <w:rFonts w:hint="cs"/>
                <w:b/>
                <w:bCs/>
                <w:sz w:val="26"/>
                <w:szCs w:val="26"/>
                <w:rtl/>
              </w:rPr>
              <w:t>פ  005251/02</w:t>
            </w:r>
          </w:p>
        </w:tc>
      </w:tr>
      <w:tr w:rsidR="00E314B3" w14:paraId="5823F1E3" w14:textId="77777777" w:rsidTr="00E314B3">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6B9397E" w14:textId="77777777" w:rsidR="00E314B3" w:rsidRDefault="00E314B3">
            <w:pPr>
              <w:bidi w:val="0"/>
              <w:spacing w:line="240" w:lineRule="auto"/>
              <w:jc w:val="left"/>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2ADF6B4B" w14:textId="77777777" w:rsidR="00E314B3" w:rsidRDefault="00E314B3">
            <w:pPr>
              <w:rPr>
                <w:b/>
                <w:bCs/>
                <w:sz w:val="26"/>
                <w:szCs w:val="26"/>
              </w:rPr>
            </w:pPr>
          </w:p>
        </w:tc>
      </w:tr>
      <w:tr w:rsidR="00E314B3" w14:paraId="503D965F" w14:textId="77777777" w:rsidTr="00E314B3">
        <w:trPr>
          <w:trHeight w:val="286"/>
        </w:trPr>
        <w:tc>
          <w:tcPr>
            <w:tcW w:w="908" w:type="dxa"/>
            <w:tcBorders>
              <w:top w:val="single" w:sz="4" w:space="0" w:color="auto"/>
              <w:left w:val="single" w:sz="4" w:space="0" w:color="auto"/>
              <w:bottom w:val="single" w:sz="4" w:space="0" w:color="auto"/>
              <w:right w:val="single" w:sz="4" w:space="0" w:color="auto"/>
            </w:tcBorders>
          </w:tcPr>
          <w:p w14:paraId="760382E7" w14:textId="77777777" w:rsidR="00E314B3" w:rsidRDefault="00E314B3">
            <w:pPr>
              <w:rPr>
                <w:b/>
                <w:bCs/>
                <w:sz w:val="26"/>
                <w:szCs w:val="26"/>
              </w:rPr>
            </w:pPr>
            <w:bookmarkStart w:id="0" w:name="LastJudge"/>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7FC1D844" w14:textId="77777777" w:rsidR="00E314B3" w:rsidRDefault="00E314B3">
            <w:pPr>
              <w:rPr>
                <w:b/>
                <w:bCs/>
                <w:sz w:val="26"/>
                <w:szCs w:val="30"/>
              </w:rPr>
            </w:pPr>
            <w:r>
              <w:rPr>
                <w:rFonts w:hint="cs"/>
                <w:b/>
                <w:bCs/>
                <w:sz w:val="26"/>
                <w:szCs w:val="30"/>
                <w:rtl/>
              </w:rPr>
              <w:t>כבוד השופט  ד. מגד- סגן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92AEC0" w14:textId="77777777" w:rsidR="00E314B3" w:rsidRDefault="00E314B3">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7846D3F0" w14:textId="77777777" w:rsidR="00E314B3" w:rsidRDefault="00E314B3">
            <w:pPr>
              <w:rPr>
                <w:b/>
                <w:bCs/>
                <w:sz w:val="26"/>
                <w:szCs w:val="26"/>
              </w:rPr>
            </w:pPr>
            <w:r>
              <w:rPr>
                <w:rFonts w:hint="cs"/>
                <w:b/>
                <w:bCs/>
                <w:sz w:val="26"/>
                <w:szCs w:val="26"/>
                <w:rtl/>
              </w:rPr>
              <w:t>17/04/2005</w:t>
            </w:r>
          </w:p>
        </w:tc>
      </w:tr>
      <w:bookmarkEnd w:id="0"/>
    </w:tbl>
    <w:p w14:paraId="65BEA1D6" w14:textId="77777777" w:rsidR="00E314B3" w:rsidRDefault="00E314B3">
      <w:pPr>
        <w:rPr>
          <w:rFonts w:hint="cs"/>
          <w:szCs w:val="22"/>
          <w:rtl/>
        </w:rPr>
      </w:pPr>
    </w:p>
    <w:p w14:paraId="5D537B16" w14:textId="77777777" w:rsidR="00E314B3" w:rsidRDefault="00E314B3">
      <w:pPr>
        <w:rPr>
          <w:rFonts w:hint="cs"/>
          <w:rtl/>
        </w:rPr>
      </w:pPr>
    </w:p>
    <w:p w14:paraId="66A5EDDB" w14:textId="77777777" w:rsidR="00E314B3" w:rsidRDefault="00E314B3">
      <w:pPr>
        <w:pStyle w:val="Heading1"/>
        <w:rPr>
          <w:rFonts w:hint="cs"/>
          <w:u w:val="none"/>
          <w:rtl/>
        </w:rPr>
      </w:pPr>
    </w:p>
    <w:tbl>
      <w:tblPr>
        <w:bidiVisual/>
        <w:tblW w:w="8647" w:type="dxa"/>
        <w:tblCellMar>
          <w:left w:w="107" w:type="dxa"/>
          <w:right w:w="107" w:type="dxa"/>
        </w:tblCellMar>
        <w:tblLook w:val="0000" w:firstRow="0" w:lastRow="0" w:firstColumn="0" w:lastColumn="0" w:noHBand="0" w:noVBand="0"/>
      </w:tblPr>
      <w:tblGrid>
        <w:gridCol w:w="56"/>
        <w:gridCol w:w="1276"/>
        <w:gridCol w:w="86"/>
        <w:gridCol w:w="1757"/>
        <w:gridCol w:w="3063"/>
        <w:gridCol w:w="2324"/>
        <w:gridCol w:w="85"/>
      </w:tblGrid>
      <w:tr w:rsidR="00E314B3" w14:paraId="4951C0D6" w14:textId="77777777" w:rsidTr="00E314B3">
        <w:trPr>
          <w:gridBefore w:val="1"/>
          <w:wBefore w:w="56" w:type="dxa"/>
        </w:trPr>
        <w:tc>
          <w:tcPr>
            <w:tcW w:w="1362" w:type="dxa"/>
            <w:gridSpan w:val="2"/>
          </w:tcPr>
          <w:p w14:paraId="06A2D5DC" w14:textId="77777777" w:rsidR="00E314B3" w:rsidRDefault="00E314B3">
            <w:bookmarkStart w:id="1" w:name="FirstAppellant"/>
            <w:r>
              <w:rPr>
                <w:rFonts w:hint="cs"/>
                <w:rtl/>
              </w:rPr>
              <w:t>בעניין:</w:t>
            </w:r>
            <w:bookmarkStart w:id="2" w:name="בא_כוח_ב"/>
            <w:bookmarkEnd w:id="2"/>
          </w:p>
        </w:tc>
        <w:tc>
          <w:tcPr>
            <w:tcW w:w="4820" w:type="dxa"/>
            <w:gridSpan w:val="2"/>
          </w:tcPr>
          <w:p w14:paraId="2FF31098" w14:textId="77777777" w:rsidR="00E314B3" w:rsidRDefault="00E314B3">
            <w:pPr>
              <w:rPr>
                <w:b/>
                <w:bCs/>
              </w:rPr>
            </w:pPr>
            <w:r>
              <w:rPr>
                <w:rFonts w:hint="cs"/>
                <w:b/>
                <w:bCs/>
                <w:rtl/>
              </w:rPr>
              <w:t>מדינת ישראל – משטרת ישראל</w:t>
            </w:r>
          </w:p>
        </w:tc>
        <w:tc>
          <w:tcPr>
            <w:tcW w:w="2409" w:type="dxa"/>
            <w:gridSpan w:val="2"/>
          </w:tcPr>
          <w:p w14:paraId="1AD06F7D" w14:textId="77777777" w:rsidR="00E314B3" w:rsidRDefault="00E314B3">
            <w:pPr>
              <w:rPr>
                <w:b/>
                <w:bCs/>
              </w:rPr>
            </w:pPr>
          </w:p>
        </w:tc>
      </w:tr>
      <w:tr w:rsidR="00E314B3" w14:paraId="3E217F78" w14:textId="77777777" w:rsidTr="00E314B3">
        <w:trPr>
          <w:gridBefore w:val="1"/>
          <w:wBefore w:w="56" w:type="dxa"/>
        </w:trPr>
        <w:tc>
          <w:tcPr>
            <w:tcW w:w="1362" w:type="dxa"/>
            <w:gridSpan w:val="2"/>
          </w:tcPr>
          <w:p w14:paraId="605FB4F2" w14:textId="77777777" w:rsidR="00E314B3" w:rsidRDefault="00E314B3">
            <w:pPr>
              <w:rPr>
                <w:b/>
                <w:bCs/>
              </w:rPr>
            </w:pPr>
            <w:bookmarkStart w:id="3" w:name="FirstLawyer"/>
            <w:bookmarkEnd w:id="1"/>
          </w:p>
        </w:tc>
        <w:tc>
          <w:tcPr>
            <w:tcW w:w="1757" w:type="dxa"/>
          </w:tcPr>
          <w:p w14:paraId="52AD94A2" w14:textId="77777777" w:rsidR="00E314B3" w:rsidRDefault="00E314B3">
            <w:pPr>
              <w:rPr>
                <w:b/>
                <w:bCs/>
              </w:rPr>
            </w:pPr>
            <w:r>
              <w:rPr>
                <w:rFonts w:hint="cs"/>
                <w:b/>
                <w:bCs/>
                <w:rtl/>
              </w:rPr>
              <w:t>ע"י ב"כ עו"ד</w:t>
            </w:r>
          </w:p>
        </w:tc>
        <w:tc>
          <w:tcPr>
            <w:tcW w:w="3063" w:type="dxa"/>
          </w:tcPr>
          <w:p w14:paraId="682BFA31" w14:textId="77777777" w:rsidR="00E314B3" w:rsidRDefault="00E314B3">
            <w:pPr>
              <w:rPr>
                <w:b/>
                <w:bCs/>
              </w:rPr>
            </w:pPr>
            <w:r>
              <w:rPr>
                <w:rFonts w:hint="cs"/>
                <w:b/>
                <w:bCs/>
                <w:rtl/>
              </w:rPr>
              <w:t>דקלה סרן</w:t>
            </w:r>
            <w:bookmarkStart w:id="4" w:name="בא_כוח_א"/>
            <w:bookmarkEnd w:id="4"/>
          </w:p>
        </w:tc>
        <w:tc>
          <w:tcPr>
            <w:tcW w:w="2409" w:type="dxa"/>
            <w:gridSpan w:val="2"/>
          </w:tcPr>
          <w:p w14:paraId="7A2A26DA" w14:textId="77777777" w:rsidR="00E314B3" w:rsidRDefault="00E314B3">
            <w:pPr>
              <w:pStyle w:val="Heading4"/>
              <w:rPr>
                <w:u w:val="none"/>
              </w:rPr>
            </w:pPr>
            <w:r>
              <w:rPr>
                <w:rFonts w:hint="cs"/>
                <w:u w:val="none"/>
                <w:rtl/>
              </w:rPr>
              <w:t>המאשימה</w:t>
            </w:r>
          </w:p>
        </w:tc>
      </w:tr>
      <w:bookmarkEnd w:id="3"/>
      <w:tr w:rsidR="00E314B3" w14:paraId="5A2499DC" w14:textId="77777777" w:rsidTr="00E314B3">
        <w:trPr>
          <w:gridBefore w:val="1"/>
          <w:wBefore w:w="56" w:type="dxa"/>
        </w:trPr>
        <w:tc>
          <w:tcPr>
            <w:tcW w:w="1362" w:type="dxa"/>
            <w:gridSpan w:val="2"/>
          </w:tcPr>
          <w:p w14:paraId="2623E541" w14:textId="77777777" w:rsidR="00E314B3" w:rsidRDefault="00E314B3">
            <w:pPr>
              <w:rPr>
                <w:b/>
                <w:bCs/>
              </w:rPr>
            </w:pPr>
          </w:p>
        </w:tc>
        <w:tc>
          <w:tcPr>
            <w:tcW w:w="4820" w:type="dxa"/>
            <w:gridSpan w:val="2"/>
          </w:tcPr>
          <w:p w14:paraId="4A1EAD1A" w14:textId="77777777" w:rsidR="00E314B3" w:rsidRDefault="00E314B3">
            <w:pPr>
              <w:jc w:val="center"/>
              <w:rPr>
                <w:b/>
                <w:bCs/>
              </w:rPr>
            </w:pPr>
            <w:r>
              <w:rPr>
                <w:rFonts w:hint="cs"/>
                <w:b/>
                <w:bCs/>
                <w:rtl/>
              </w:rPr>
              <w:t>נ  ג  ד</w:t>
            </w:r>
          </w:p>
        </w:tc>
        <w:tc>
          <w:tcPr>
            <w:tcW w:w="2409" w:type="dxa"/>
            <w:gridSpan w:val="2"/>
          </w:tcPr>
          <w:p w14:paraId="15E3AB05" w14:textId="77777777" w:rsidR="00E314B3" w:rsidRDefault="00E314B3">
            <w:pPr>
              <w:rPr>
                <w:b/>
                <w:bCs/>
              </w:rPr>
            </w:pPr>
          </w:p>
        </w:tc>
      </w:tr>
      <w:tr w:rsidR="00E314B3" w14:paraId="0360E333" w14:textId="77777777" w:rsidTr="00E314B3">
        <w:trPr>
          <w:gridBefore w:val="1"/>
          <w:wBefore w:w="56" w:type="dxa"/>
        </w:trPr>
        <w:tc>
          <w:tcPr>
            <w:tcW w:w="1362" w:type="dxa"/>
            <w:gridSpan w:val="2"/>
          </w:tcPr>
          <w:p w14:paraId="492F6BDB" w14:textId="77777777" w:rsidR="00E314B3" w:rsidRDefault="00E314B3">
            <w:pPr>
              <w:rPr>
                <w:b/>
                <w:bCs/>
              </w:rPr>
            </w:pPr>
            <w:bookmarkStart w:id="5" w:name="שם_ב" w:colFirst="0" w:colLast="0"/>
          </w:p>
        </w:tc>
        <w:tc>
          <w:tcPr>
            <w:tcW w:w="4820" w:type="dxa"/>
            <w:gridSpan w:val="2"/>
          </w:tcPr>
          <w:p w14:paraId="3B498FB8" w14:textId="77777777" w:rsidR="00E314B3" w:rsidRDefault="00E314B3">
            <w:pPr>
              <w:rPr>
                <w:b/>
                <w:bCs/>
              </w:rPr>
            </w:pPr>
            <w:r>
              <w:rPr>
                <w:rFonts w:hint="cs"/>
                <w:b/>
                <w:bCs/>
                <w:rtl/>
              </w:rPr>
              <w:t>טלמור חיים - בעצמו</w:t>
            </w:r>
          </w:p>
        </w:tc>
        <w:tc>
          <w:tcPr>
            <w:tcW w:w="2409" w:type="dxa"/>
            <w:gridSpan w:val="2"/>
          </w:tcPr>
          <w:p w14:paraId="101B538C" w14:textId="77777777" w:rsidR="00E314B3" w:rsidRDefault="00E314B3">
            <w:pPr>
              <w:rPr>
                <w:b/>
                <w:bCs/>
              </w:rPr>
            </w:pPr>
          </w:p>
        </w:tc>
      </w:tr>
      <w:bookmarkEnd w:id="5"/>
      <w:tr w:rsidR="00E314B3" w14:paraId="4306F750" w14:textId="77777777" w:rsidTr="00E314B3">
        <w:trPr>
          <w:gridBefore w:val="1"/>
          <w:wBefore w:w="56" w:type="dxa"/>
        </w:trPr>
        <w:tc>
          <w:tcPr>
            <w:tcW w:w="1362" w:type="dxa"/>
            <w:gridSpan w:val="2"/>
          </w:tcPr>
          <w:p w14:paraId="36F8DDFD" w14:textId="77777777" w:rsidR="00E314B3" w:rsidRDefault="00E314B3">
            <w:pPr>
              <w:rPr>
                <w:b/>
                <w:bCs/>
              </w:rPr>
            </w:pPr>
          </w:p>
        </w:tc>
        <w:tc>
          <w:tcPr>
            <w:tcW w:w="1757" w:type="dxa"/>
          </w:tcPr>
          <w:p w14:paraId="0469112D" w14:textId="77777777" w:rsidR="00E314B3" w:rsidRDefault="00E314B3">
            <w:pPr>
              <w:rPr>
                <w:b/>
                <w:bCs/>
              </w:rPr>
            </w:pPr>
          </w:p>
        </w:tc>
        <w:tc>
          <w:tcPr>
            <w:tcW w:w="3063" w:type="dxa"/>
          </w:tcPr>
          <w:p w14:paraId="4DC48BCB" w14:textId="77777777" w:rsidR="00E314B3" w:rsidRDefault="00E314B3">
            <w:pPr>
              <w:rPr>
                <w:b/>
                <w:bCs/>
              </w:rPr>
            </w:pPr>
          </w:p>
        </w:tc>
        <w:tc>
          <w:tcPr>
            <w:tcW w:w="2409" w:type="dxa"/>
            <w:gridSpan w:val="2"/>
          </w:tcPr>
          <w:p w14:paraId="0833B72D" w14:textId="77777777" w:rsidR="00E314B3" w:rsidRDefault="00E314B3">
            <w:pPr>
              <w:pStyle w:val="Heading5"/>
              <w:rPr>
                <w:u w:val="none"/>
              </w:rPr>
            </w:pPr>
            <w:r>
              <w:rPr>
                <w:rFonts w:hint="cs"/>
                <w:u w:val="none"/>
                <w:rtl/>
              </w:rPr>
              <w:t>הנאשם</w:t>
            </w:r>
          </w:p>
        </w:tc>
      </w:tr>
      <w:tr w:rsidR="00E314B3" w14:paraId="0E1D337E" w14:textId="77777777" w:rsidTr="00E314B3">
        <w:trPr>
          <w:gridAfter w:val="1"/>
          <w:wAfter w:w="85" w:type="dxa"/>
        </w:trPr>
        <w:tc>
          <w:tcPr>
            <w:tcW w:w="1332" w:type="dxa"/>
            <w:gridSpan w:val="2"/>
          </w:tcPr>
          <w:p w14:paraId="7D4A9A37" w14:textId="77777777" w:rsidR="00E314B3" w:rsidRDefault="00E314B3">
            <w:pPr>
              <w:rPr>
                <w:b/>
                <w:bCs/>
              </w:rPr>
            </w:pPr>
            <w:r>
              <w:rPr>
                <w:rFonts w:hint="cs"/>
                <w:b/>
                <w:bCs/>
                <w:rtl/>
              </w:rPr>
              <w:t>נוכחים:</w:t>
            </w:r>
          </w:p>
        </w:tc>
        <w:tc>
          <w:tcPr>
            <w:tcW w:w="7230" w:type="dxa"/>
            <w:gridSpan w:val="4"/>
          </w:tcPr>
          <w:p w14:paraId="320B2E3C" w14:textId="77777777" w:rsidR="00E314B3" w:rsidRDefault="00E314B3">
            <w:pPr>
              <w:rPr>
                <w:b/>
                <w:bCs/>
              </w:rPr>
            </w:pPr>
            <w:r>
              <w:rPr>
                <w:rFonts w:hint="cs"/>
                <w:b/>
                <w:bCs/>
                <w:rtl/>
              </w:rPr>
              <w:t xml:space="preserve">ב"כ המאשימה </w:t>
            </w:r>
          </w:p>
          <w:p w14:paraId="71F9902E" w14:textId="77777777" w:rsidR="00E314B3" w:rsidRDefault="00E314B3">
            <w:pPr>
              <w:rPr>
                <w:b/>
                <w:bCs/>
              </w:rPr>
            </w:pPr>
            <w:r>
              <w:rPr>
                <w:rFonts w:hint="cs"/>
                <w:b/>
                <w:bCs/>
                <w:rtl/>
              </w:rPr>
              <w:t xml:space="preserve">הנאשם </w:t>
            </w:r>
          </w:p>
        </w:tc>
      </w:tr>
    </w:tbl>
    <w:p w14:paraId="114D2924" w14:textId="77777777" w:rsidR="00436420" w:rsidRDefault="00436420">
      <w:pPr>
        <w:pStyle w:val="Heading1"/>
        <w:rPr>
          <w:b w:val="0"/>
          <w:bCs w:val="0"/>
          <w:u w:val="none"/>
          <w:rtl/>
        </w:rPr>
      </w:pPr>
      <w:bookmarkStart w:id="6" w:name="LawTable"/>
      <w:bookmarkEnd w:id="6"/>
    </w:p>
    <w:p w14:paraId="582FFEAD" w14:textId="77777777" w:rsidR="00436420" w:rsidRPr="00436420" w:rsidRDefault="00436420" w:rsidP="00436420">
      <w:pPr>
        <w:pStyle w:val="Heading1"/>
        <w:spacing w:after="120" w:line="240" w:lineRule="exact"/>
        <w:ind w:left="283" w:hanging="283"/>
        <w:jc w:val="both"/>
        <w:rPr>
          <w:rFonts w:ascii="FrankRuehl" w:hAnsi="FrankRuehl" w:cs="FrankRuehl"/>
          <w:b w:val="0"/>
          <w:bCs w:val="0"/>
          <w:sz w:val="24"/>
          <w:szCs w:val="24"/>
          <w:u w:val="none"/>
          <w:rtl/>
        </w:rPr>
      </w:pPr>
    </w:p>
    <w:p w14:paraId="444A2051" w14:textId="77777777" w:rsidR="00436420" w:rsidRPr="00436420" w:rsidRDefault="00436420" w:rsidP="00436420">
      <w:pPr>
        <w:pStyle w:val="Heading1"/>
        <w:spacing w:after="120" w:line="240" w:lineRule="exact"/>
        <w:ind w:left="283" w:hanging="283"/>
        <w:jc w:val="both"/>
        <w:rPr>
          <w:rFonts w:ascii="FrankRuehl" w:hAnsi="FrankRuehl" w:cs="FrankRuehl"/>
          <w:b w:val="0"/>
          <w:bCs w:val="0"/>
          <w:sz w:val="24"/>
          <w:szCs w:val="24"/>
          <w:u w:val="none"/>
          <w:rtl/>
        </w:rPr>
      </w:pPr>
      <w:r w:rsidRPr="00436420">
        <w:rPr>
          <w:rFonts w:ascii="FrankRuehl" w:hAnsi="FrankRuehl" w:cs="FrankRuehl"/>
          <w:b w:val="0"/>
          <w:bCs w:val="0"/>
          <w:sz w:val="24"/>
          <w:szCs w:val="24"/>
          <w:u w:val="none"/>
          <w:rtl/>
        </w:rPr>
        <w:t xml:space="preserve">חקיקה שאוזכרה: </w:t>
      </w:r>
    </w:p>
    <w:p w14:paraId="6AC6ABB9" w14:textId="77777777" w:rsidR="00436420" w:rsidRPr="00436420" w:rsidRDefault="00436420" w:rsidP="00436420">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436420">
          <w:rPr>
            <w:rStyle w:val="Hyperlink"/>
            <w:rFonts w:ascii="FrankRuehl" w:hAnsi="FrankRuehl" w:cs="FrankRuehl"/>
            <w:b w:val="0"/>
            <w:bCs w:val="0"/>
            <w:sz w:val="24"/>
            <w:szCs w:val="24"/>
            <w:rtl/>
          </w:rPr>
          <w:t>חוק העונשין, תשל"ז-1977</w:t>
        </w:r>
      </w:hyperlink>
      <w:r w:rsidRPr="00436420">
        <w:rPr>
          <w:rFonts w:ascii="FrankRuehl" w:hAnsi="FrankRuehl" w:cs="FrankRuehl"/>
          <w:b w:val="0"/>
          <w:bCs w:val="0"/>
          <w:color w:val="0000FF"/>
          <w:sz w:val="24"/>
          <w:szCs w:val="24"/>
          <w:rtl/>
        </w:rPr>
        <w:t xml:space="preserve">: סע'  </w:t>
      </w:r>
      <w:hyperlink r:id="rId7" w:history="1">
        <w:r w:rsidRPr="00436420">
          <w:rPr>
            <w:rStyle w:val="Hyperlink"/>
            <w:rFonts w:ascii="FrankRuehl" w:hAnsi="FrankRuehl" w:cs="FrankRuehl"/>
            <w:b w:val="0"/>
            <w:bCs w:val="0"/>
            <w:sz w:val="24"/>
            <w:szCs w:val="24"/>
          </w:rPr>
          <w:t>348 (</w:t>
        </w:r>
        <w:r w:rsidRPr="00436420">
          <w:rPr>
            <w:rStyle w:val="Hyperlink"/>
            <w:rFonts w:ascii="FrankRuehl" w:hAnsi="FrankRuehl" w:cs="FrankRuehl"/>
            <w:b w:val="0"/>
            <w:bCs w:val="0"/>
            <w:sz w:val="24"/>
            <w:szCs w:val="24"/>
            <w:rtl/>
          </w:rPr>
          <w:t>ג</w:t>
        </w:r>
        <w:r w:rsidRPr="00436420">
          <w:rPr>
            <w:rStyle w:val="Hyperlink"/>
            <w:rFonts w:ascii="FrankRuehl" w:hAnsi="FrankRuehl" w:cs="FrankRuehl"/>
            <w:b w:val="0"/>
            <w:bCs w:val="0"/>
            <w:sz w:val="24"/>
            <w:szCs w:val="24"/>
          </w:rPr>
          <w:t>)</w:t>
        </w:r>
      </w:hyperlink>
      <w:r w:rsidRPr="00436420">
        <w:rPr>
          <w:rFonts w:ascii="FrankRuehl" w:hAnsi="FrankRuehl" w:cs="FrankRuehl"/>
          <w:b w:val="0"/>
          <w:bCs w:val="0"/>
          <w:color w:val="0000FF"/>
          <w:sz w:val="24"/>
          <w:szCs w:val="24"/>
          <w:rtl/>
        </w:rPr>
        <w:t xml:space="preserve">, </w:t>
      </w:r>
      <w:hyperlink r:id="rId8" w:history="1">
        <w:r w:rsidRPr="00436420">
          <w:rPr>
            <w:rStyle w:val="Hyperlink"/>
            <w:rFonts w:ascii="FrankRuehl" w:hAnsi="FrankRuehl" w:cs="FrankRuehl"/>
            <w:b w:val="0"/>
            <w:bCs w:val="0"/>
            <w:sz w:val="24"/>
            <w:szCs w:val="24"/>
          </w:rPr>
          <w:t>348(</w:t>
        </w:r>
        <w:r w:rsidRPr="00436420">
          <w:rPr>
            <w:rStyle w:val="Hyperlink"/>
            <w:rFonts w:ascii="FrankRuehl" w:hAnsi="FrankRuehl" w:cs="FrankRuehl"/>
            <w:b w:val="0"/>
            <w:bCs w:val="0"/>
            <w:sz w:val="24"/>
            <w:szCs w:val="24"/>
            <w:rtl/>
          </w:rPr>
          <w:t>ו</w:t>
        </w:r>
        <w:r w:rsidRPr="00436420">
          <w:rPr>
            <w:rStyle w:val="Hyperlink"/>
            <w:rFonts w:ascii="FrankRuehl" w:hAnsi="FrankRuehl" w:cs="FrankRuehl"/>
            <w:b w:val="0"/>
            <w:bCs w:val="0"/>
            <w:sz w:val="24"/>
            <w:szCs w:val="24"/>
          </w:rPr>
          <w:t>)</w:t>
        </w:r>
      </w:hyperlink>
    </w:p>
    <w:p w14:paraId="62B6D26A" w14:textId="77777777" w:rsidR="00436420" w:rsidRPr="00436420" w:rsidRDefault="00436420" w:rsidP="00436420">
      <w:pPr>
        <w:pStyle w:val="Heading1"/>
        <w:spacing w:after="120" w:line="240" w:lineRule="exact"/>
        <w:ind w:left="283" w:hanging="283"/>
        <w:jc w:val="both"/>
        <w:rPr>
          <w:rFonts w:ascii="FrankRuehl" w:hAnsi="FrankRuehl" w:cs="FrankRuehl"/>
          <w:b w:val="0"/>
          <w:bCs w:val="0"/>
          <w:color w:val="0000FF"/>
          <w:sz w:val="24"/>
          <w:szCs w:val="24"/>
          <w:rtl/>
        </w:rPr>
      </w:pPr>
      <w:hyperlink r:id="rId9" w:history="1">
        <w:r w:rsidRPr="00436420">
          <w:rPr>
            <w:rStyle w:val="Hyperlink"/>
            <w:rFonts w:ascii="FrankRuehl" w:hAnsi="FrankRuehl" w:cs="FrankRuehl"/>
            <w:b w:val="0"/>
            <w:bCs w:val="0"/>
            <w:sz w:val="24"/>
            <w:szCs w:val="24"/>
            <w:rtl/>
          </w:rPr>
          <w:t>פקודת הראיות [נוסח חדש], תשל"א-1971</w:t>
        </w:r>
      </w:hyperlink>
      <w:r w:rsidRPr="00436420">
        <w:rPr>
          <w:rFonts w:ascii="FrankRuehl" w:hAnsi="FrankRuehl" w:cs="FrankRuehl"/>
          <w:b w:val="0"/>
          <w:bCs w:val="0"/>
          <w:color w:val="0000FF"/>
          <w:sz w:val="24"/>
          <w:szCs w:val="24"/>
          <w:rtl/>
        </w:rPr>
        <w:t xml:space="preserve">: סע'  </w:t>
      </w:r>
      <w:hyperlink r:id="rId10" w:history="1">
        <w:r w:rsidRPr="00436420">
          <w:rPr>
            <w:rStyle w:val="Hyperlink"/>
            <w:rFonts w:ascii="FrankRuehl" w:hAnsi="FrankRuehl" w:cs="FrankRuehl"/>
            <w:b w:val="0"/>
            <w:bCs w:val="0"/>
            <w:sz w:val="24"/>
            <w:szCs w:val="24"/>
          </w:rPr>
          <w:t xml:space="preserve">54 </w:t>
        </w:r>
        <w:r w:rsidRPr="00436420">
          <w:rPr>
            <w:rStyle w:val="Hyperlink"/>
            <w:rFonts w:ascii="FrankRuehl" w:hAnsi="FrankRuehl" w:cs="FrankRuehl"/>
            <w:b w:val="0"/>
            <w:bCs w:val="0"/>
            <w:sz w:val="24"/>
            <w:szCs w:val="24"/>
            <w:rtl/>
          </w:rPr>
          <w:t>א. (ב)</w:t>
        </w:r>
      </w:hyperlink>
    </w:p>
    <w:p w14:paraId="1AB3103D" w14:textId="77777777" w:rsidR="00436420" w:rsidRPr="00436420" w:rsidRDefault="00436420" w:rsidP="00436420">
      <w:pPr>
        <w:pStyle w:val="Heading1"/>
        <w:spacing w:after="120" w:line="240" w:lineRule="exact"/>
        <w:ind w:left="283" w:hanging="283"/>
        <w:jc w:val="both"/>
        <w:rPr>
          <w:rFonts w:ascii="FrankRuehl" w:hAnsi="FrankRuehl" w:cs="FrankRuehl"/>
          <w:b w:val="0"/>
          <w:bCs w:val="0"/>
          <w:sz w:val="24"/>
          <w:szCs w:val="24"/>
          <w:u w:val="none"/>
          <w:rtl/>
        </w:rPr>
      </w:pPr>
    </w:p>
    <w:p w14:paraId="6282C4EE" w14:textId="77777777" w:rsidR="00436420" w:rsidRPr="00436420" w:rsidRDefault="00436420">
      <w:pPr>
        <w:pStyle w:val="Heading1"/>
        <w:rPr>
          <w:b w:val="0"/>
          <w:bCs w:val="0"/>
          <w:u w:val="none"/>
          <w:rtl/>
        </w:rPr>
      </w:pPr>
      <w:bookmarkStart w:id="7" w:name="LawTable_End"/>
      <w:bookmarkEnd w:id="7"/>
    </w:p>
    <w:p w14:paraId="4DC9D752" w14:textId="77777777" w:rsidR="00436420" w:rsidRPr="00436420" w:rsidRDefault="00436420">
      <w:pPr>
        <w:pStyle w:val="Heading1"/>
        <w:rPr>
          <w:u w:val="none"/>
          <w:rtl/>
        </w:rPr>
      </w:pPr>
    </w:p>
    <w:p w14:paraId="53563E1A" w14:textId="77777777" w:rsidR="00E314B3" w:rsidRPr="00436420" w:rsidRDefault="00E314B3">
      <w:pPr>
        <w:pStyle w:val="Heading1"/>
        <w:rPr>
          <w:rFonts w:hint="cs"/>
          <w:u w:val="none"/>
          <w:rtl/>
        </w:rPr>
      </w:pPr>
    </w:p>
    <w:p w14:paraId="2E995911" w14:textId="77777777" w:rsidR="00436420" w:rsidRPr="00436420" w:rsidRDefault="00436420">
      <w:pPr>
        <w:jc w:val="center"/>
        <w:rPr>
          <w:sz w:val="32"/>
          <w:szCs w:val="32"/>
          <w:rtl/>
        </w:rPr>
      </w:pPr>
    </w:p>
    <w:p w14:paraId="4BFAB10D" w14:textId="77777777" w:rsidR="00436420" w:rsidRPr="00436420" w:rsidRDefault="00436420">
      <w:pPr>
        <w:jc w:val="center"/>
        <w:rPr>
          <w:b/>
          <w:bCs/>
          <w:sz w:val="32"/>
          <w:szCs w:val="32"/>
          <w:rtl/>
        </w:rPr>
      </w:pPr>
    </w:p>
    <w:p w14:paraId="6B670B53" w14:textId="77777777" w:rsidR="00E314B3" w:rsidRPr="00436420" w:rsidRDefault="00E314B3">
      <w:pPr>
        <w:jc w:val="center"/>
        <w:rPr>
          <w:b/>
          <w:bCs/>
          <w:sz w:val="32"/>
          <w:szCs w:val="32"/>
          <w:rtl/>
        </w:rPr>
      </w:pPr>
    </w:p>
    <w:p w14:paraId="6B2A538E" w14:textId="77777777" w:rsidR="00E314B3" w:rsidRDefault="00E314B3">
      <w:pPr>
        <w:jc w:val="center"/>
        <w:rPr>
          <w:b/>
          <w:bCs/>
          <w:sz w:val="32"/>
          <w:szCs w:val="32"/>
          <w:u w:val="single"/>
          <w:rtl/>
        </w:rPr>
      </w:pPr>
      <w:bookmarkStart w:id="8" w:name="PsakDin"/>
      <w:r>
        <w:rPr>
          <w:b/>
          <w:bCs/>
          <w:sz w:val="32"/>
          <w:szCs w:val="32"/>
          <w:u w:val="single"/>
          <w:rtl/>
        </w:rPr>
        <w:t>הכרעת-דין</w:t>
      </w:r>
    </w:p>
    <w:bookmarkEnd w:id="8"/>
    <w:p w14:paraId="51D457B6" w14:textId="77777777" w:rsidR="00E314B3" w:rsidRDefault="00E314B3">
      <w:pPr>
        <w:jc w:val="center"/>
        <w:rPr>
          <w:rFonts w:hint="cs"/>
          <w:b/>
          <w:bCs/>
          <w:sz w:val="32"/>
          <w:szCs w:val="32"/>
          <w:u w:val="single"/>
          <w:rtl/>
        </w:rPr>
      </w:pPr>
    </w:p>
    <w:p w14:paraId="5A35B4F6" w14:textId="77777777" w:rsidR="00E314B3" w:rsidRDefault="00E314B3">
      <w:pPr>
        <w:ind w:left="720" w:hanging="720"/>
        <w:rPr>
          <w:rFonts w:hint="cs"/>
          <w:sz w:val="24"/>
          <w:rtl/>
        </w:rPr>
      </w:pPr>
      <w:r>
        <w:rPr>
          <w:rFonts w:hint="cs"/>
          <w:sz w:val="24"/>
          <w:rtl/>
        </w:rPr>
        <w:lastRenderedPageBreak/>
        <w:t>1.</w:t>
      </w:r>
      <w:r>
        <w:rPr>
          <w:rFonts w:hint="cs"/>
          <w:sz w:val="24"/>
          <w:rtl/>
        </w:rPr>
        <w:tab/>
        <w:t xml:space="preserve">האם הנאשם נישק את המתלוננת על לחיה ושפתיה וליטף את רגלה השמאלית, לשם סיפוק מיני כטענת המאשימה, או שמא נישק אותה בלחיה בלבד בהתפרצות של שמחה, כטענתו?  זו השאלה שבפנינו. </w:t>
      </w:r>
    </w:p>
    <w:p w14:paraId="596C2505" w14:textId="77777777" w:rsidR="00E314B3" w:rsidRDefault="00E314B3">
      <w:pPr>
        <w:rPr>
          <w:rFonts w:hint="cs"/>
          <w:sz w:val="24"/>
          <w:rtl/>
        </w:rPr>
      </w:pPr>
      <w:r>
        <w:rPr>
          <w:rFonts w:hint="cs"/>
          <w:sz w:val="24"/>
          <w:rtl/>
        </w:rPr>
        <w:tab/>
      </w:r>
    </w:p>
    <w:p w14:paraId="24D520FC" w14:textId="77777777" w:rsidR="00E314B3" w:rsidRDefault="00E314B3">
      <w:pPr>
        <w:ind w:left="720" w:hanging="720"/>
        <w:rPr>
          <w:rFonts w:hint="cs"/>
          <w:rtl/>
        </w:rPr>
      </w:pPr>
      <w:r>
        <w:rPr>
          <w:rFonts w:hint="cs"/>
          <w:sz w:val="24"/>
          <w:rtl/>
        </w:rPr>
        <w:t>2.</w:t>
      </w:r>
      <w:r>
        <w:rPr>
          <w:rFonts w:hint="cs"/>
          <w:sz w:val="24"/>
          <w:rtl/>
        </w:rPr>
        <w:tab/>
      </w:r>
      <w:bookmarkStart w:id="9" w:name="ABSTRACT_START"/>
      <w:bookmarkEnd w:id="9"/>
      <w:r>
        <w:rPr>
          <w:rFonts w:hint="cs"/>
          <w:sz w:val="24"/>
          <w:rtl/>
        </w:rPr>
        <w:t xml:space="preserve">נגד הנאשם הוגש כתב אישום המייחס לו מעשה מגונה, עבירה לפי </w:t>
      </w:r>
      <w:hyperlink r:id="rId11" w:history="1">
        <w:r w:rsidR="00436420" w:rsidRPr="00436420">
          <w:rPr>
            <w:rStyle w:val="Hyperlink"/>
            <w:rFonts w:hint="eastAsia"/>
            <w:color w:val="0000FF"/>
            <w:sz w:val="24"/>
            <w:rtl/>
          </w:rPr>
          <w:t>סעיף</w:t>
        </w:r>
        <w:r w:rsidR="00436420" w:rsidRPr="00436420">
          <w:rPr>
            <w:rStyle w:val="Hyperlink"/>
            <w:color w:val="0000FF"/>
            <w:sz w:val="24"/>
            <w:rtl/>
          </w:rPr>
          <w:t xml:space="preserve"> 348 (ג)</w:t>
        </w:r>
      </w:hyperlink>
      <w:r>
        <w:rPr>
          <w:rFonts w:hint="cs"/>
          <w:sz w:val="24"/>
          <w:rtl/>
        </w:rPr>
        <w:t xml:space="preserve"> </w:t>
      </w:r>
      <w:r>
        <w:rPr>
          <w:rFonts w:hint="cs"/>
          <w:rtl/>
        </w:rPr>
        <w:t>ל</w:t>
      </w:r>
      <w:hyperlink r:id="rId12" w:history="1">
        <w:r w:rsidR="00436420" w:rsidRPr="00436420">
          <w:rPr>
            <w:rStyle w:val="Hyperlink"/>
            <w:rFonts w:hint="eastAsia"/>
            <w:color w:val="0000FF"/>
            <w:rtl/>
          </w:rPr>
          <w:t>חוק</w:t>
        </w:r>
        <w:r w:rsidR="00436420" w:rsidRPr="00436420">
          <w:rPr>
            <w:rStyle w:val="Hyperlink"/>
            <w:color w:val="0000FF"/>
            <w:rtl/>
          </w:rPr>
          <w:t xml:space="preserve"> העונשין</w:t>
        </w:r>
      </w:hyperlink>
      <w:r>
        <w:rPr>
          <w:rFonts w:hint="cs"/>
          <w:rtl/>
        </w:rPr>
        <w:t xml:space="preserve"> תשל"ז – 1977. נטען בו, כי בתאריך 26.3.01 בסמוך לשעה 13:30 ב"נווה זאב" בבאר-שבע עשה מעשה מגונה במאיה אוחיון (להלן: "המתלוננת") בכך שנישק אותה על לחיה ושפתיה וליטף את ירך רגלה השמאלית</w:t>
      </w:r>
      <w:bookmarkStart w:id="10" w:name="ABSTRACT_END"/>
      <w:bookmarkEnd w:id="10"/>
      <w:r>
        <w:rPr>
          <w:rFonts w:hint="cs"/>
          <w:rtl/>
        </w:rPr>
        <w:t xml:space="preserve">. </w:t>
      </w:r>
    </w:p>
    <w:p w14:paraId="1F5F3A2B" w14:textId="77777777" w:rsidR="00E314B3" w:rsidRDefault="00E314B3">
      <w:pPr>
        <w:ind w:left="720"/>
        <w:rPr>
          <w:rFonts w:hint="cs"/>
          <w:color w:val="FFFFFF"/>
          <w:sz w:val="4"/>
          <w:szCs w:val="4"/>
          <w:rtl/>
        </w:rPr>
      </w:pPr>
    </w:p>
    <w:p w14:paraId="23473633" w14:textId="77777777" w:rsidR="00E314B3" w:rsidRDefault="00E314B3">
      <w:pPr>
        <w:ind w:left="720"/>
        <w:rPr>
          <w:rFonts w:hint="cs"/>
          <w:color w:val="FFFFFF"/>
          <w:sz w:val="4"/>
          <w:szCs w:val="4"/>
          <w:rtl/>
        </w:rPr>
      </w:pPr>
      <w:r>
        <w:rPr>
          <w:color w:val="FFFFFF"/>
          <w:sz w:val="4"/>
          <w:szCs w:val="4"/>
          <w:rtl/>
        </w:rPr>
        <w:t>5129371</w:t>
      </w:r>
    </w:p>
    <w:p w14:paraId="7DF70D4D" w14:textId="77777777" w:rsidR="00E314B3" w:rsidRDefault="00E314B3">
      <w:pPr>
        <w:ind w:left="720"/>
        <w:rPr>
          <w:rFonts w:hint="cs"/>
          <w:sz w:val="24"/>
          <w:rtl/>
        </w:rPr>
      </w:pPr>
      <w:r>
        <w:rPr>
          <w:color w:val="FFFFFF"/>
          <w:sz w:val="4"/>
          <w:szCs w:val="4"/>
          <w:rtl/>
        </w:rPr>
        <w:t>5129371</w:t>
      </w:r>
      <w:r>
        <w:rPr>
          <w:rFonts w:hint="cs"/>
          <w:rtl/>
        </w:rPr>
        <w:t xml:space="preserve">טרם אכנס לעובי הקורה, אפרט בקצרה את השתלשלות האירועים בתיק, עובר לשמיעת הראיות. </w:t>
      </w:r>
      <w:r>
        <w:rPr>
          <w:rFonts w:hint="cs"/>
          <w:sz w:val="24"/>
          <w:rtl/>
        </w:rPr>
        <w:t xml:space="preserve">הנאשם, שלא היה מיוצג, כפר בעובדות המיוחסות לו, הודה כי הראה למתלוננת את הדירה וערך לה סיור באיזור, אך טען כי מדובר בעלילה.  במועד מאוחר יותר,  הושג   הסדר טיעון. סוכם כי  כתב האישום יתוקן, הנאשם  לא יורשע ויוגש תסקיר, שיבחן גם את שאלת ההרשעה. המאשימה התחייבה לקבל את המלצת שירות המבחן. עוד סוכם, כי הנאשם יפקיד בקופת בית המשפט סך  1,000 ₪ פיצוי למתלוננת.  </w:t>
      </w:r>
    </w:p>
    <w:p w14:paraId="09C64DD2" w14:textId="77777777" w:rsidR="00E314B3" w:rsidRDefault="00E314B3">
      <w:pPr>
        <w:ind w:left="720" w:hanging="720"/>
        <w:rPr>
          <w:rFonts w:hint="cs"/>
          <w:sz w:val="24"/>
          <w:rtl/>
        </w:rPr>
      </w:pPr>
      <w:r>
        <w:rPr>
          <w:rFonts w:hint="cs"/>
          <w:sz w:val="24"/>
          <w:rtl/>
        </w:rPr>
        <w:tab/>
        <w:t xml:space="preserve">שירות המבחן ערך תסקיר שלילי בתוכנו, שהמליץ להרשיעו ולגזור עליו מאסר מותנה ושל"צ.  בתגובה על בקשת המאשימה להרשיעו, טען הנאשם, כי נישק את המתלוננת כתוצאה מפרץ של שמחה.  בנסיבות אלה, ומשום סתירה שמצאתי בין הודאתו בבית המשפט לעומת דברים שאמר לקצינת המבחן,  היתרתי לו מיוזמתי לחזור בו מהודאתו וביטלתי את הסדר הטיעון ואת ההרשעה.  התיק נקבע, איפוא, להוכחות. </w:t>
      </w:r>
    </w:p>
    <w:p w14:paraId="17A414BC" w14:textId="77777777" w:rsidR="00E314B3" w:rsidRDefault="00E314B3">
      <w:pPr>
        <w:ind w:left="720" w:hanging="720"/>
        <w:rPr>
          <w:rFonts w:hint="cs"/>
          <w:sz w:val="24"/>
          <w:rtl/>
        </w:rPr>
      </w:pPr>
    </w:p>
    <w:p w14:paraId="0CBC208E" w14:textId="77777777" w:rsidR="00E314B3" w:rsidRDefault="00E314B3">
      <w:pPr>
        <w:ind w:left="720" w:hanging="720"/>
        <w:rPr>
          <w:rFonts w:hint="cs"/>
          <w:sz w:val="24"/>
          <w:rtl/>
        </w:rPr>
      </w:pPr>
      <w:r>
        <w:rPr>
          <w:rFonts w:hint="cs"/>
          <w:sz w:val="24"/>
          <w:rtl/>
        </w:rPr>
        <w:t>3.</w:t>
      </w:r>
      <w:r>
        <w:rPr>
          <w:rFonts w:hint="cs"/>
          <w:sz w:val="24"/>
          <w:rtl/>
        </w:rPr>
        <w:tab/>
        <w:t>על חלק הארי של העובדות  שהוכחו בתיק אין חולק ואפרטן בקצרה.</w:t>
      </w:r>
      <w:r>
        <w:rPr>
          <w:color w:val="FFFFFF"/>
          <w:sz w:val="4"/>
          <w:szCs w:val="4"/>
          <w:rtl/>
        </w:rPr>
        <w:t>נ</w:t>
      </w:r>
    </w:p>
    <w:p w14:paraId="28399A2A" w14:textId="77777777" w:rsidR="00E314B3" w:rsidRDefault="00E314B3">
      <w:pPr>
        <w:ind w:left="720"/>
        <w:rPr>
          <w:rFonts w:hint="cs"/>
          <w:sz w:val="24"/>
          <w:rtl/>
        </w:rPr>
      </w:pPr>
      <w:r>
        <w:rPr>
          <w:rFonts w:hint="cs"/>
          <w:sz w:val="24"/>
          <w:rtl/>
        </w:rPr>
        <w:t xml:space="preserve">במועדים הרלוונטים עבד הנאשם כאיש מכירות בחברת הבניה "אחים אוזן".  המתלוננת, אישה דתיה, בחודש הרביעי להריונה, ובעלה, שלא הכירוהו קודם לכן, פנו אליו במשרדי החברה ערב האירוע וביקשו כי יראה להם דירות, ואכן הם ראו מספר דירות "יד שניה" וגם אירח אותם בביתו. המתלוננת אמרה לו, כי היא מעוניינת לראות דירות חדשות  ונקבעה פגישה למחרת.   </w:t>
      </w:r>
    </w:p>
    <w:p w14:paraId="44DC0809" w14:textId="77777777" w:rsidR="00E314B3" w:rsidRDefault="00E314B3">
      <w:pPr>
        <w:ind w:left="720"/>
        <w:rPr>
          <w:rFonts w:hint="cs"/>
          <w:sz w:val="24"/>
          <w:rtl/>
        </w:rPr>
      </w:pPr>
      <w:r>
        <w:rPr>
          <w:rFonts w:hint="cs"/>
          <w:sz w:val="24"/>
          <w:rtl/>
        </w:rPr>
        <w:t xml:space="preserve">למחרת היום, לקח אותה ברכבו לפרוייקט "נווה זאב", לדירה שהיתה בשלבי בניה. בעת שיצאו למרפסת, שריצפתה היתה מכוסה חומרי בנין,  אחז בידה ותמך בה על מנת לאפשר לה להתרשם מהנוף. התרשמותה היתה חיובית ואף התלהבה מהדירה.  כשנשאלה אם תסכים לרכוש אותה, השיבה לו כי היא ובעלה יחליטו לאחר שיראה את הדירה.  משלב זה הגירסאות חלוקות. </w:t>
      </w:r>
    </w:p>
    <w:p w14:paraId="482D25C0" w14:textId="77777777" w:rsidR="00E314B3" w:rsidRDefault="00E314B3">
      <w:pPr>
        <w:ind w:left="720"/>
        <w:rPr>
          <w:rFonts w:hint="cs"/>
          <w:sz w:val="24"/>
          <w:rtl/>
        </w:rPr>
      </w:pPr>
    </w:p>
    <w:p w14:paraId="070E007C" w14:textId="77777777" w:rsidR="00E314B3" w:rsidRDefault="00E314B3">
      <w:pPr>
        <w:ind w:left="720" w:hanging="720"/>
        <w:rPr>
          <w:rFonts w:hint="cs"/>
          <w:sz w:val="24"/>
          <w:rtl/>
        </w:rPr>
      </w:pPr>
      <w:r>
        <w:rPr>
          <w:rFonts w:hint="cs"/>
          <w:sz w:val="24"/>
          <w:rtl/>
        </w:rPr>
        <w:t>4.</w:t>
      </w:r>
      <w:r>
        <w:rPr>
          <w:rFonts w:hint="cs"/>
          <w:sz w:val="24"/>
          <w:rtl/>
        </w:rPr>
        <w:tab/>
        <w:t xml:space="preserve">המתלוננת העידה,  כי כבר בעת שישבה לצידו ברכבו, בדרכם לפרוייקט,  שאל אותה: "איך בעלי במיטה, ואם הוא בוגד והאם הוא זיין".  משום שבטנה בלטה, סייע לה לטפס במדרגות, עמד מימינה, חיבק אותה, למרות שלא רמזה לו ולא סימנה לו. כשהסתובבה אליו, נישק אותה על לחיה הימנית ובפיה, שאל אם אפשר לנשק אותה שוב בפיה והיא סרבה. לדבריה נתקפה בהלם, חשה ברע ודרשה כי יקח אותה לביתה. בדרכם חזרה, שם את יד ימינו על ירכה השמאלית ואמר: "לא קרה כלום זה בצחוק, אני מקווה שלא תביני </w:t>
      </w:r>
      <w:r>
        <w:rPr>
          <w:rFonts w:hint="cs"/>
          <w:sz w:val="24"/>
          <w:rtl/>
        </w:rPr>
        <w:lastRenderedPageBreak/>
        <w:t xml:space="preserve">אותי לא נכון".  משום שהיד הונחה בקרבת מקום "לאיזור האינטימי שלי", שבה וביקשה כי יקח אותה לביתה משום שאינה חשה בטוב, והוא ביקש ממנה שלא לספר על האירוע.  המתלוננת העידה מפורשות כי: "לא הרגשתי שהנשיקה היתה כתוצאה מפרץ של שמחה, ואני ראיתי את זה בתור הטרדה".  לאחר האירוע, התיעצה עם חברה ומיהרה עוד באותו יום להגיש תלונה במשטרה. </w:t>
      </w:r>
    </w:p>
    <w:p w14:paraId="3F353E55" w14:textId="77777777" w:rsidR="00E314B3" w:rsidRDefault="00E314B3">
      <w:pPr>
        <w:ind w:left="720"/>
        <w:rPr>
          <w:rFonts w:hint="cs"/>
          <w:sz w:val="24"/>
          <w:rtl/>
        </w:rPr>
      </w:pPr>
    </w:p>
    <w:p w14:paraId="78A51FF0" w14:textId="77777777" w:rsidR="00E314B3" w:rsidRDefault="00E314B3">
      <w:pPr>
        <w:ind w:left="720" w:hanging="720"/>
        <w:rPr>
          <w:rFonts w:hint="cs"/>
          <w:sz w:val="24"/>
          <w:rtl/>
        </w:rPr>
      </w:pPr>
      <w:r>
        <w:rPr>
          <w:rFonts w:hint="cs"/>
          <w:sz w:val="24"/>
          <w:rtl/>
        </w:rPr>
        <w:t>5.</w:t>
      </w:r>
      <w:r>
        <w:rPr>
          <w:rFonts w:hint="cs"/>
          <w:sz w:val="24"/>
          <w:rtl/>
        </w:rPr>
        <w:tab/>
        <w:t xml:space="preserve">בחקירתו במשטרה (ת/1) ולאחר שהחשד המיוחס לו הוטח בו, השיב הנאשם וחזר והשיב, כי הארוע לא היה ולא נברא ולא  היו דברים מעולם. בין היתר טען, שחש כי "משהו לא מסתדר בין בני הזוג ולא נראה לי נורמלי לחלוטין בגין השיג ושיח שהיה ביניהם". </w:t>
      </w:r>
    </w:p>
    <w:p w14:paraId="71C72AF4" w14:textId="77777777" w:rsidR="00E314B3" w:rsidRDefault="00E314B3">
      <w:pPr>
        <w:ind w:left="720"/>
        <w:rPr>
          <w:rFonts w:hint="cs"/>
          <w:rtl/>
        </w:rPr>
      </w:pPr>
      <w:r>
        <w:rPr>
          <w:rFonts w:hint="cs"/>
          <w:rtl/>
        </w:rPr>
        <w:t xml:space="preserve">בעדותו בבית המשפט שינה טעמו והודה: "כי נישקתי אותה רק על הלחיים ..., שיתכן שכאשר עברתי מצד לצד מלחי אל לחי, יכול להיות, אני לא אומר שזה קרה, מצב של השקה אולי נגיעה בשפתיים, אבל זאת לא נשיקה מכוונת, לא התמקדות בפה".  מאידך המשיך ועמד על דעתו, כי לא ליטף את ירך רגלה השמאלית.  כשנשאל לסיבת הנשיקה השיב "כשראיתי מול עיני את ה – 1,000 $ שכר טרחתי בעסקה ולכן שמחתי והכל קפץ "בום" מול העינים שלי. לא הייתי בשליטה".  במקום אחר העיד: "  אני עמדתי מולה, לא דחפתי אותה ולא נגעתי בשום אבר מאבריה האינטימיים ולא היתה  לי שום כוונה מינית. לא היתה שום קונוטציה מינית לנשיקה". כשנחקר לגבי השאלות שלטענתה שאל אותה, לרבות "איך בעלה במיטה" השיב כי לא היו ולא נבראו. </w:t>
      </w:r>
    </w:p>
    <w:p w14:paraId="00C7BAB8" w14:textId="77777777" w:rsidR="00E314B3" w:rsidRDefault="00E314B3">
      <w:pPr>
        <w:ind w:left="720"/>
        <w:rPr>
          <w:rFonts w:hint="cs"/>
          <w:rtl/>
        </w:rPr>
      </w:pPr>
    </w:p>
    <w:p w14:paraId="0952E3DD" w14:textId="77777777" w:rsidR="00E314B3" w:rsidRDefault="00E314B3">
      <w:pPr>
        <w:spacing w:line="480" w:lineRule="auto"/>
        <w:rPr>
          <w:rFonts w:hint="cs"/>
          <w:b/>
          <w:bCs/>
          <w:u w:val="single"/>
          <w:rtl/>
        </w:rPr>
      </w:pPr>
      <w:r>
        <w:rPr>
          <w:rFonts w:hint="cs"/>
          <w:b/>
          <w:bCs/>
          <w:u w:val="single"/>
          <w:rtl/>
        </w:rPr>
        <w:t>הרקע הנורמטיבי</w:t>
      </w:r>
    </w:p>
    <w:p w14:paraId="4BFC3F8C" w14:textId="77777777" w:rsidR="00E314B3" w:rsidRDefault="00E314B3">
      <w:pPr>
        <w:ind w:left="720" w:hanging="720"/>
        <w:rPr>
          <w:rFonts w:hint="cs"/>
          <w:rtl/>
        </w:rPr>
      </w:pPr>
      <w:r>
        <w:rPr>
          <w:rFonts w:hint="cs"/>
          <w:rtl/>
        </w:rPr>
        <w:t>6.</w:t>
      </w:r>
      <w:r>
        <w:rPr>
          <w:rFonts w:hint="cs"/>
          <w:rtl/>
        </w:rPr>
        <w:tab/>
      </w:r>
      <w:hyperlink r:id="rId13" w:history="1">
        <w:r w:rsidR="00436420" w:rsidRPr="00436420">
          <w:rPr>
            <w:rStyle w:val="Hyperlink"/>
            <w:rFonts w:hint="eastAsia"/>
            <w:color w:val="0000FF"/>
            <w:rtl/>
          </w:rPr>
          <w:t>סעיף</w:t>
        </w:r>
        <w:r w:rsidR="00436420" w:rsidRPr="00436420">
          <w:rPr>
            <w:rStyle w:val="Hyperlink"/>
            <w:color w:val="0000FF"/>
            <w:rtl/>
          </w:rPr>
          <w:t xml:space="preserve"> 348  (ג)</w:t>
        </w:r>
      </w:hyperlink>
      <w:r>
        <w:rPr>
          <w:rFonts w:hint="cs"/>
          <w:rtl/>
        </w:rPr>
        <w:t xml:space="preserve"> ל</w:t>
      </w:r>
      <w:hyperlink r:id="rId14" w:history="1">
        <w:r w:rsidR="00436420" w:rsidRPr="00436420">
          <w:rPr>
            <w:rStyle w:val="Hyperlink"/>
            <w:rFonts w:hint="eastAsia"/>
            <w:color w:val="0000FF"/>
            <w:rtl/>
          </w:rPr>
          <w:t>חוק</w:t>
        </w:r>
        <w:r w:rsidR="00436420" w:rsidRPr="00436420">
          <w:rPr>
            <w:rStyle w:val="Hyperlink"/>
            <w:color w:val="0000FF"/>
            <w:rtl/>
          </w:rPr>
          <w:t xml:space="preserve"> העונשין</w:t>
        </w:r>
      </w:hyperlink>
      <w:r>
        <w:rPr>
          <w:rFonts w:hint="cs"/>
          <w:rtl/>
        </w:rPr>
        <w:t>, תשל"ז- 1977  קובע:</w:t>
      </w:r>
    </w:p>
    <w:p w14:paraId="271EADEC" w14:textId="77777777" w:rsidR="00E314B3" w:rsidRDefault="00E314B3">
      <w:pPr>
        <w:pStyle w:val="BodyText"/>
        <w:ind w:left="720"/>
        <w:rPr>
          <w:b w:val="0"/>
          <w:bCs w:val="0"/>
          <w:rtl/>
        </w:rPr>
      </w:pPr>
      <w:r>
        <w:rPr>
          <w:rFonts w:hint="cs"/>
          <w:b w:val="0"/>
          <w:bCs w:val="0"/>
          <w:rtl/>
        </w:rPr>
        <w:t>....</w:t>
      </w:r>
      <w:r>
        <w:rPr>
          <w:b w:val="0"/>
          <w:bCs w:val="0"/>
          <w:color w:val="FFFFFF"/>
          <w:sz w:val="4"/>
          <w:szCs w:val="4"/>
          <w:rtl/>
        </w:rPr>
        <w:t>ב</w:t>
      </w:r>
    </w:p>
    <w:p w14:paraId="5F03009D" w14:textId="77777777" w:rsidR="00E314B3" w:rsidRDefault="00E314B3">
      <w:pPr>
        <w:pStyle w:val="BodyText"/>
        <w:ind w:left="720"/>
        <w:rPr>
          <w:rFonts w:hint="cs"/>
          <w:b w:val="0"/>
          <w:bCs w:val="0"/>
          <w:rtl/>
        </w:rPr>
      </w:pPr>
      <w:r>
        <w:rPr>
          <w:rFonts w:hint="cs"/>
          <w:b w:val="0"/>
          <w:bCs w:val="0"/>
          <w:rtl/>
        </w:rPr>
        <w:t>....</w:t>
      </w:r>
      <w:r>
        <w:rPr>
          <w:b w:val="0"/>
          <w:bCs w:val="0"/>
          <w:color w:val="FFFFFF"/>
          <w:sz w:val="4"/>
          <w:szCs w:val="4"/>
          <w:rtl/>
        </w:rPr>
        <w:t>ו</w:t>
      </w:r>
    </w:p>
    <w:p w14:paraId="113B64A0" w14:textId="77777777" w:rsidR="00E314B3" w:rsidRDefault="00E314B3">
      <w:pPr>
        <w:pStyle w:val="BodyText"/>
        <w:ind w:left="720"/>
        <w:rPr>
          <w:rFonts w:hint="cs"/>
          <w:rtl/>
        </w:rPr>
      </w:pPr>
      <w:r>
        <w:rPr>
          <w:rFonts w:hint="cs"/>
          <w:rtl/>
        </w:rPr>
        <w:t xml:space="preserve"> (ג) "העושה מעשה מגונה באדם ללא הסכמתו אך שלא בנסיבות כאמור בסעיפים קטנים (א) (ב) או (ג1) דינו – מאסר 3 שנים.</w:t>
      </w:r>
      <w:r>
        <w:rPr>
          <w:color w:val="FFFFFF"/>
          <w:sz w:val="4"/>
          <w:szCs w:val="4"/>
          <w:rtl/>
        </w:rPr>
        <w:t>נ</w:t>
      </w:r>
    </w:p>
    <w:p w14:paraId="2E8FFC95" w14:textId="77777777" w:rsidR="00E314B3" w:rsidRDefault="00E314B3">
      <w:pPr>
        <w:pStyle w:val="BodyText"/>
        <w:ind w:left="720"/>
        <w:rPr>
          <w:rFonts w:hint="cs"/>
          <w:rtl/>
        </w:rPr>
      </w:pPr>
      <w:r>
        <w:rPr>
          <w:rFonts w:hint="cs"/>
          <w:rtl/>
        </w:rPr>
        <w:t>....</w:t>
      </w:r>
      <w:r>
        <w:rPr>
          <w:color w:val="FFFFFF"/>
          <w:sz w:val="4"/>
          <w:szCs w:val="4"/>
          <w:rtl/>
        </w:rPr>
        <w:t>ב</w:t>
      </w:r>
    </w:p>
    <w:p w14:paraId="64D9AB48" w14:textId="77777777" w:rsidR="00E314B3" w:rsidRDefault="00E314B3">
      <w:pPr>
        <w:pStyle w:val="BodyText"/>
        <w:ind w:left="720"/>
        <w:rPr>
          <w:rFonts w:hint="cs"/>
          <w:rtl/>
        </w:rPr>
      </w:pPr>
      <w:r>
        <w:rPr>
          <w:rFonts w:hint="cs"/>
          <w:rtl/>
        </w:rPr>
        <w:t>....</w:t>
      </w:r>
      <w:r>
        <w:rPr>
          <w:color w:val="FFFFFF"/>
          <w:sz w:val="4"/>
          <w:szCs w:val="4"/>
          <w:rtl/>
        </w:rPr>
        <w:t>ו</w:t>
      </w:r>
    </w:p>
    <w:p w14:paraId="0D8CCA1E" w14:textId="77777777" w:rsidR="00E314B3" w:rsidRDefault="00E314B3">
      <w:pPr>
        <w:spacing w:line="480" w:lineRule="auto"/>
        <w:ind w:firstLine="720"/>
        <w:rPr>
          <w:rFonts w:hint="cs"/>
          <w:b/>
          <w:bCs/>
          <w:rtl/>
        </w:rPr>
      </w:pPr>
      <w:r>
        <w:rPr>
          <w:rFonts w:hint="cs"/>
          <w:b/>
          <w:bCs/>
          <w:rtl/>
        </w:rPr>
        <w:t>(ו) בסימן זה, "מעשה מגונה"- מעשה לשם גירוי, סיפוק או ביזוי מיניים".</w:t>
      </w:r>
      <w:r>
        <w:rPr>
          <w:b/>
          <w:bCs/>
          <w:color w:val="FFFFFF"/>
          <w:sz w:val="4"/>
          <w:szCs w:val="4"/>
          <w:rtl/>
        </w:rPr>
        <w:t>נ</w:t>
      </w:r>
    </w:p>
    <w:p w14:paraId="6D329605" w14:textId="77777777" w:rsidR="00E314B3" w:rsidRDefault="00E314B3">
      <w:pPr>
        <w:pStyle w:val="BodyText"/>
        <w:spacing w:line="360" w:lineRule="auto"/>
        <w:ind w:left="720" w:hanging="720"/>
        <w:rPr>
          <w:rFonts w:hint="cs"/>
          <w:b w:val="0"/>
          <w:bCs w:val="0"/>
          <w:rtl/>
        </w:rPr>
      </w:pPr>
      <w:r>
        <w:rPr>
          <w:rFonts w:hint="cs"/>
          <w:b w:val="0"/>
          <w:bCs w:val="0"/>
          <w:rtl/>
        </w:rPr>
        <w:t>7.</w:t>
      </w:r>
      <w:r>
        <w:rPr>
          <w:rFonts w:hint="cs"/>
          <w:b w:val="0"/>
          <w:bCs w:val="0"/>
          <w:rtl/>
        </w:rPr>
        <w:tab/>
        <w:t>ההגדרה הנוכחית למעשה מגונה ב</w:t>
      </w:r>
      <w:hyperlink r:id="rId15" w:history="1">
        <w:r w:rsidR="00436420" w:rsidRPr="00436420">
          <w:rPr>
            <w:rStyle w:val="Hyperlink"/>
            <w:rFonts w:hint="eastAsia"/>
            <w:b w:val="0"/>
            <w:bCs w:val="0"/>
            <w:color w:val="0000FF"/>
            <w:rtl/>
          </w:rPr>
          <w:t>סעיף</w:t>
        </w:r>
        <w:r w:rsidR="00436420" w:rsidRPr="00436420">
          <w:rPr>
            <w:rStyle w:val="Hyperlink"/>
            <w:b w:val="0"/>
            <w:bCs w:val="0"/>
            <w:color w:val="0000FF"/>
            <w:rtl/>
          </w:rPr>
          <w:t xml:space="preserve"> 348(ו)</w:t>
        </w:r>
      </w:hyperlink>
      <w:r>
        <w:rPr>
          <w:rFonts w:hint="cs"/>
          <w:b w:val="0"/>
          <w:bCs w:val="0"/>
          <w:rtl/>
        </w:rPr>
        <w:t xml:space="preserve"> ל</w:t>
      </w:r>
      <w:hyperlink r:id="rId16" w:history="1">
        <w:r w:rsidR="00436420" w:rsidRPr="00436420">
          <w:rPr>
            <w:rStyle w:val="Hyperlink"/>
            <w:rFonts w:hint="eastAsia"/>
            <w:b w:val="0"/>
            <w:bCs w:val="0"/>
            <w:color w:val="0000FF"/>
            <w:rtl/>
          </w:rPr>
          <w:t>חוק</w:t>
        </w:r>
        <w:r w:rsidR="00436420" w:rsidRPr="00436420">
          <w:rPr>
            <w:rStyle w:val="Hyperlink"/>
            <w:b w:val="0"/>
            <w:bCs w:val="0"/>
            <w:color w:val="0000FF"/>
            <w:rtl/>
          </w:rPr>
          <w:t xml:space="preserve"> העונשין</w:t>
        </w:r>
      </w:hyperlink>
      <w:r>
        <w:rPr>
          <w:rFonts w:hint="cs"/>
          <w:b w:val="0"/>
          <w:bCs w:val="0"/>
          <w:rtl/>
        </w:rPr>
        <w:t xml:space="preserve">, עניינה עשיית מעשה כלשהו "לשם גירוי, סיפוק או ביזוי מיניים". הגדרה זו (אליבא דשופט י' קדמי בספרו </w:t>
      </w:r>
      <w:r>
        <w:rPr>
          <w:rFonts w:hint="cs"/>
          <w:rtl/>
        </w:rPr>
        <w:t>"על הדין</w:t>
      </w:r>
      <w:r>
        <w:rPr>
          <w:rFonts w:hint="cs"/>
          <w:u w:val="single"/>
          <w:rtl/>
        </w:rPr>
        <w:t xml:space="preserve"> </w:t>
      </w:r>
      <w:r>
        <w:rPr>
          <w:rFonts w:hint="cs"/>
          <w:rtl/>
        </w:rPr>
        <w:t>בפלילים",</w:t>
      </w:r>
      <w:r>
        <w:rPr>
          <w:rFonts w:hint="cs"/>
          <w:b w:val="0"/>
          <w:bCs w:val="0"/>
          <w:rtl/>
        </w:rPr>
        <w:t xml:space="preserve"> בעמ' 783-780), מלמדת - לפחות לכאורה - כי אין מעשה הופך מגונה, אלא אם כן מתלווה אליו כוונה להשיג באמצעותו "גירוי, סיפוק או ביזוי מיניים". לשון אחר: הנקיטה במושג "לשם" בהגדרתו של המעשה המגונה, מבטאת דרישה לקיומה של כוונה ספציפית להשגת לפחות אחת משלוש התכליות המפורטות בהגדרה.</w:t>
      </w:r>
      <w:r>
        <w:rPr>
          <w:b w:val="0"/>
          <w:bCs w:val="0"/>
          <w:color w:val="FFFFFF"/>
          <w:sz w:val="4"/>
          <w:szCs w:val="4"/>
          <w:rtl/>
        </w:rPr>
        <w:t>ב</w:t>
      </w:r>
    </w:p>
    <w:p w14:paraId="48B235B4" w14:textId="77777777" w:rsidR="00E314B3" w:rsidRDefault="00E314B3">
      <w:pPr>
        <w:pStyle w:val="BodyText"/>
        <w:spacing w:line="360" w:lineRule="auto"/>
        <w:ind w:left="720"/>
        <w:rPr>
          <w:rFonts w:hint="cs"/>
          <w:b w:val="0"/>
          <w:bCs w:val="0"/>
          <w:rtl/>
        </w:rPr>
      </w:pPr>
      <w:r>
        <w:rPr>
          <w:rFonts w:hint="cs"/>
          <w:b w:val="0"/>
          <w:bCs w:val="0"/>
          <w:rtl/>
        </w:rPr>
        <w:lastRenderedPageBreak/>
        <w:t>קדמי מוסיף וכותב, כי אופיו ה"מגונה"  של המעשה נעוץ בהשלכתו המינית, והשאלה שטרם הוכרעה היא האם המבחן הוא מבחן סובייקטיבי של תכלית עשייתו, או שמא מבחן אובייקטיבי של הערכת המעשה בעיני האדם הסביר.  נטיית הפסיקה היא לכיוון של מבחן סובייקטיבי.</w:t>
      </w:r>
      <w:r>
        <w:rPr>
          <w:b w:val="0"/>
          <w:bCs w:val="0"/>
          <w:color w:val="FFFFFF"/>
          <w:sz w:val="4"/>
          <w:szCs w:val="4"/>
          <w:rtl/>
        </w:rPr>
        <w:t>ו</w:t>
      </w:r>
    </w:p>
    <w:p w14:paraId="77C305D7" w14:textId="77777777" w:rsidR="00E314B3" w:rsidRDefault="00E314B3">
      <w:pPr>
        <w:pStyle w:val="BodyText"/>
        <w:spacing w:line="360" w:lineRule="auto"/>
        <w:ind w:left="720"/>
        <w:rPr>
          <w:rFonts w:hint="cs"/>
          <w:b w:val="0"/>
          <w:bCs w:val="0"/>
          <w:rtl/>
        </w:rPr>
      </w:pPr>
      <w:r>
        <w:rPr>
          <w:rFonts w:hint="cs"/>
          <w:b w:val="0"/>
          <w:bCs w:val="0"/>
          <w:rtl/>
        </w:rPr>
        <w:t>ב</w:t>
      </w:r>
      <w:hyperlink r:id="rId17" w:history="1">
        <w:r w:rsidR="00436420" w:rsidRPr="00436420">
          <w:rPr>
            <w:rStyle w:val="Hyperlink"/>
            <w:rFonts w:hint="eastAsia"/>
            <w:b w:val="0"/>
            <w:bCs w:val="0"/>
            <w:color w:val="0000FF"/>
            <w:rtl/>
          </w:rPr>
          <w:t>ע</w:t>
        </w:r>
        <w:r w:rsidR="00436420" w:rsidRPr="00436420">
          <w:rPr>
            <w:rStyle w:val="Hyperlink"/>
            <w:b w:val="0"/>
            <w:bCs w:val="0"/>
            <w:color w:val="0000FF"/>
            <w:rtl/>
          </w:rPr>
          <w:t>.פ. 616/83</w:t>
        </w:r>
      </w:hyperlink>
      <w:r>
        <w:rPr>
          <w:rFonts w:hint="cs"/>
          <w:b w:val="0"/>
          <w:bCs w:val="0"/>
          <w:rtl/>
        </w:rPr>
        <w:t xml:space="preserve"> </w:t>
      </w:r>
      <w:r>
        <w:rPr>
          <w:rFonts w:hint="cs"/>
          <w:rtl/>
        </w:rPr>
        <w:t>דוד פליישמן נ. מדינת ישראל</w:t>
      </w:r>
      <w:r>
        <w:rPr>
          <w:rFonts w:hint="cs"/>
          <w:b w:val="0"/>
          <w:bCs w:val="0"/>
          <w:rtl/>
        </w:rPr>
        <w:t xml:space="preserve"> פ"ד לט (1), 449 נחלקו הדיעות, אך מוסכם כי:</w:t>
      </w:r>
    </w:p>
    <w:p w14:paraId="0FC405F0" w14:textId="77777777" w:rsidR="00E314B3" w:rsidRDefault="00E314B3">
      <w:pPr>
        <w:pStyle w:val="BodyText"/>
        <w:spacing w:line="360" w:lineRule="auto"/>
        <w:ind w:left="1440" w:right="993" w:firstLine="60"/>
        <w:rPr>
          <w:rFonts w:hint="cs"/>
          <w:rtl/>
        </w:rPr>
      </w:pPr>
      <w:r>
        <w:rPr>
          <w:rFonts w:hint="cs"/>
          <w:rtl/>
        </w:rPr>
        <w:t>"יש שמעשה, שנעשה מתוך מניע מגונה, לא יחשב כ"מעשה מגונה" על פי כלל נסיבותיו; ויש שמעשה יראה כ"מעשה מגונה" בעיני הכל גם בהעדר הרצון לספק תאווה מינית של העושה".</w:t>
      </w:r>
      <w:r>
        <w:rPr>
          <w:color w:val="FFFFFF"/>
          <w:sz w:val="4"/>
          <w:szCs w:val="4"/>
          <w:rtl/>
        </w:rPr>
        <w:t>נ</w:t>
      </w:r>
    </w:p>
    <w:p w14:paraId="6E249357" w14:textId="77777777" w:rsidR="00E314B3" w:rsidRDefault="00E314B3">
      <w:pPr>
        <w:pStyle w:val="BodyText"/>
        <w:spacing w:line="360" w:lineRule="auto"/>
        <w:ind w:left="720"/>
        <w:rPr>
          <w:rFonts w:hint="cs"/>
          <w:b w:val="0"/>
          <w:bCs w:val="0"/>
          <w:rtl/>
        </w:rPr>
      </w:pPr>
      <w:r>
        <w:rPr>
          <w:rFonts w:hint="cs"/>
          <w:b w:val="0"/>
          <w:bCs w:val="0"/>
          <w:rtl/>
        </w:rPr>
        <w:t>ראוי לציין, את דברי כב' השופט זילברג ב</w:t>
      </w:r>
      <w:hyperlink r:id="rId18" w:history="1">
        <w:r w:rsidR="00436420" w:rsidRPr="00436420">
          <w:rPr>
            <w:rStyle w:val="Hyperlink"/>
            <w:rFonts w:hint="eastAsia"/>
            <w:b w:val="0"/>
            <w:bCs w:val="0"/>
            <w:color w:val="0000FF"/>
            <w:rtl/>
          </w:rPr>
          <w:t>ע</w:t>
        </w:r>
        <w:r w:rsidR="00436420" w:rsidRPr="00436420">
          <w:rPr>
            <w:rStyle w:val="Hyperlink"/>
            <w:b w:val="0"/>
            <w:bCs w:val="0"/>
            <w:color w:val="0000FF"/>
            <w:rtl/>
          </w:rPr>
          <w:t>.פ. 315/58</w:t>
        </w:r>
      </w:hyperlink>
      <w:r>
        <w:rPr>
          <w:rFonts w:hint="cs"/>
          <w:b w:val="0"/>
          <w:bCs w:val="0"/>
          <w:rtl/>
        </w:rPr>
        <w:t xml:space="preserve"> </w:t>
      </w:r>
      <w:r>
        <w:rPr>
          <w:rFonts w:hint="cs"/>
          <w:rtl/>
        </w:rPr>
        <w:t>ג'בארה נ. מדינת ישראל</w:t>
      </w:r>
      <w:r>
        <w:rPr>
          <w:rFonts w:hint="cs"/>
          <w:b w:val="0"/>
          <w:bCs w:val="0"/>
          <w:rtl/>
        </w:rPr>
        <w:t xml:space="preserve"> פ"ד יג  566, כדלקמן:</w:t>
      </w:r>
    </w:p>
    <w:p w14:paraId="0C355191" w14:textId="77777777" w:rsidR="00E314B3" w:rsidRDefault="00E314B3">
      <w:pPr>
        <w:pStyle w:val="BodyText"/>
        <w:spacing w:line="360" w:lineRule="auto"/>
        <w:ind w:left="1440" w:right="993"/>
        <w:rPr>
          <w:rFonts w:hint="cs"/>
          <w:b w:val="0"/>
          <w:bCs w:val="0"/>
          <w:rtl/>
        </w:rPr>
      </w:pPr>
      <w:r>
        <w:rPr>
          <w:rFonts w:hint="cs"/>
          <w:rtl/>
        </w:rPr>
        <w:t>"המונח "מעשה מגונה" אינו ניתן להגדרה ממצה ומדוייקת.  דבר זה אין לך בו אלא מקומו ושעתו והשקפות החברה. ברוב המכריע של המקרים מצוי במעשה זה יסוד של יצרי מין".</w:t>
      </w:r>
      <w:r>
        <w:rPr>
          <w:color w:val="FFFFFF"/>
          <w:sz w:val="4"/>
          <w:szCs w:val="4"/>
          <w:rtl/>
        </w:rPr>
        <w:t>ב</w:t>
      </w:r>
    </w:p>
    <w:p w14:paraId="7486DCF2" w14:textId="77777777" w:rsidR="00E314B3" w:rsidRDefault="00E314B3">
      <w:pPr>
        <w:pStyle w:val="BodyText"/>
        <w:spacing w:line="360" w:lineRule="auto"/>
        <w:ind w:left="720"/>
        <w:rPr>
          <w:rFonts w:hint="cs"/>
          <w:b w:val="0"/>
          <w:bCs w:val="0"/>
          <w:rtl/>
        </w:rPr>
      </w:pPr>
      <w:r>
        <w:rPr>
          <w:rFonts w:hint="cs"/>
          <w:b w:val="0"/>
          <w:bCs w:val="0"/>
          <w:rtl/>
        </w:rPr>
        <w:t>קדמי מסכם את ההלכה כדלקמן:</w:t>
      </w:r>
    </w:p>
    <w:p w14:paraId="74D735BC" w14:textId="77777777" w:rsidR="00E314B3" w:rsidRDefault="00E314B3">
      <w:pPr>
        <w:pStyle w:val="BodyText"/>
        <w:spacing w:line="360" w:lineRule="auto"/>
        <w:ind w:left="1440" w:right="851"/>
        <w:rPr>
          <w:rFonts w:hint="cs"/>
          <w:rtl/>
        </w:rPr>
      </w:pPr>
      <w:r>
        <w:rPr>
          <w:rFonts w:hint="cs"/>
          <w:rtl/>
        </w:rPr>
        <w:t xml:space="preserve">"ההגדרה הקבועה כיום בס"ק (ו) מלמדת – לפחות לכאורה – כי נתקבלה דעת הרוב וכי אין "מעשה" הופך "מגונה" בהקשר הנדון כאן, אלא אם כן התלוותה אליו </w:t>
      </w:r>
      <w:r>
        <w:rPr>
          <w:rFonts w:hint="cs"/>
          <w:u w:val="single"/>
          <w:rtl/>
        </w:rPr>
        <w:t>כוונה</w:t>
      </w:r>
      <w:r>
        <w:rPr>
          <w:rFonts w:hint="cs"/>
          <w:rtl/>
        </w:rPr>
        <w:t xml:space="preserve"> להשיג באמצעותו "גירוי, סיפוק או ביזוי מיניים", כאשר המבחן האובייקטיבי משמש כאמצעי הוכחה".</w:t>
      </w:r>
      <w:r>
        <w:rPr>
          <w:color w:val="FFFFFF"/>
          <w:sz w:val="4"/>
          <w:szCs w:val="4"/>
          <w:rtl/>
        </w:rPr>
        <w:t>ו</w:t>
      </w:r>
    </w:p>
    <w:p w14:paraId="7F355704" w14:textId="77777777" w:rsidR="00E314B3" w:rsidRDefault="00E314B3">
      <w:pPr>
        <w:pStyle w:val="BodyText"/>
        <w:spacing w:line="360" w:lineRule="auto"/>
        <w:ind w:left="720"/>
        <w:rPr>
          <w:rFonts w:hint="cs"/>
          <w:b w:val="0"/>
          <w:bCs w:val="0"/>
          <w:rtl/>
        </w:rPr>
      </w:pPr>
    </w:p>
    <w:p w14:paraId="3C58400C" w14:textId="77777777" w:rsidR="00E314B3" w:rsidRDefault="00E314B3">
      <w:pPr>
        <w:ind w:left="720" w:hanging="720"/>
        <w:rPr>
          <w:rFonts w:hint="cs"/>
          <w:b/>
          <w:bCs/>
          <w:sz w:val="24"/>
          <w:rtl/>
        </w:rPr>
      </w:pPr>
      <w:r>
        <w:rPr>
          <w:rFonts w:hint="cs"/>
          <w:sz w:val="24"/>
          <w:rtl/>
        </w:rPr>
        <w:t>8.</w:t>
      </w:r>
      <w:r>
        <w:rPr>
          <w:rFonts w:hint="cs"/>
          <w:sz w:val="24"/>
          <w:rtl/>
        </w:rPr>
        <w:tab/>
        <w:t>לאחרונה דן בית המשפט המחוזי בחיפה ב</w:t>
      </w:r>
      <w:hyperlink r:id="rId19" w:history="1">
        <w:r w:rsidR="00436420" w:rsidRPr="00436420">
          <w:rPr>
            <w:rStyle w:val="Hyperlink"/>
            <w:rFonts w:hint="eastAsia"/>
            <w:color w:val="0000FF"/>
            <w:sz w:val="24"/>
            <w:rtl/>
          </w:rPr>
          <w:t>ע</w:t>
        </w:r>
        <w:r w:rsidR="00436420" w:rsidRPr="00436420">
          <w:rPr>
            <w:rStyle w:val="Hyperlink"/>
            <w:color w:val="0000FF"/>
            <w:sz w:val="24"/>
            <w:rtl/>
          </w:rPr>
          <w:t>.פ. 1828/04</w:t>
        </w:r>
      </w:hyperlink>
      <w:r>
        <w:rPr>
          <w:rFonts w:hint="cs"/>
          <w:sz w:val="24"/>
          <w:rtl/>
        </w:rPr>
        <w:t xml:space="preserve"> </w:t>
      </w:r>
      <w:r>
        <w:rPr>
          <w:rFonts w:hint="cs"/>
          <w:b/>
          <w:bCs/>
          <w:sz w:val="24"/>
          <w:rtl/>
        </w:rPr>
        <w:t>פרי ויקטור נ. מדינת ישראל</w:t>
      </w:r>
      <w:r>
        <w:rPr>
          <w:rFonts w:hint="cs"/>
          <w:sz w:val="24"/>
          <w:rtl/>
        </w:rPr>
        <w:t xml:space="preserve"> (פורסם באתר נבו גיליון 96/05 מיום 14.4.05) בעבירת מעשה מגונה וקבע כדלקמן: גבולותיו והגדרתו של מעשה כ"מגונה" אינם ברורים ונלמדים ממכלול נסיבות ביצוע המעשה בכל מקרה ומקרה. ראו לעניין זה דברים שנאמרו</w:t>
      </w:r>
      <w:r>
        <w:rPr>
          <w:rFonts w:hint="cs"/>
          <w:b/>
          <w:bCs/>
          <w:sz w:val="24"/>
          <w:rtl/>
        </w:rPr>
        <w:t xml:space="preserve"> ב</w:t>
      </w:r>
      <w:hyperlink r:id="rId20" w:history="1">
        <w:r w:rsidR="00436420" w:rsidRPr="00436420">
          <w:rPr>
            <w:rStyle w:val="Hyperlink"/>
            <w:rFonts w:hint="eastAsia"/>
            <w:b/>
            <w:bCs/>
            <w:color w:val="0000FF"/>
            <w:sz w:val="24"/>
            <w:rtl/>
          </w:rPr>
          <w:t>ע</w:t>
        </w:r>
        <w:r w:rsidR="00436420" w:rsidRPr="00436420">
          <w:rPr>
            <w:rStyle w:val="Hyperlink"/>
            <w:b/>
            <w:bCs/>
            <w:color w:val="0000FF"/>
            <w:sz w:val="24"/>
            <w:rtl/>
          </w:rPr>
          <w:t>"פ 6255/03</w:t>
        </w:r>
      </w:hyperlink>
      <w:r>
        <w:rPr>
          <w:rFonts w:hint="cs"/>
          <w:b/>
          <w:bCs/>
          <w:sz w:val="24"/>
          <w:rtl/>
        </w:rPr>
        <w:t xml:space="preserve">  פלוני נ' מדינת ישראל , תק-על 2004(1), 1715, בעמ' 1718:</w:t>
      </w:r>
    </w:p>
    <w:p w14:paraId="209DCF1F" w14:textId="77777777" w:rsidR="00E314B3" w:rsidRDefault="00E314B3">
      <w:pPr>
        <w:ind w:left="720"/>
        <w:rPr>
          <w:rFonts w:hint="cs"/>
          <w:b/>
          <w:bCs/>
          <w:sz w:val="24"/>
          <w:rtl/>
        </w:rPr>
      </w:pPr>
    </w:p>
    <w:p w14:paraId="611FAC08" w14:textId="77777777" w:rsidR="00E314B3" w:rsidRDefault="00E314B3">
      <w:pPr>
        <w:pStyle w:val="a4"/>
        <w:ind w:left="1440"/>
        <w:rPr>
          <w:rFonts w:hint="cs"/>
          <w:b/>
          <w:bCs/>
          <w:sz w:val="24"/>
          <w:szCs w:val="24"/>
          <w:rtl/>
        </w:rPr>
      </w:pPr>
      <w:r>
        <w:rPr>
          <w:rFonts w:hint="cs"/>
          <w:b/>
          <w:bCs/>
          <w:sz w:val="24"/>
          <w:szCs w:val="24"/>
          <w:rtl/>
        </w:rPr>
        <w:t xml:space="preserve">"המונח "מעשה מגונה" אינו נתון להגדרה ממצה ומדוייקת. דבר זה אין לך בו אלא מקומו ושעתו, והשקפות החברה בה מבוצע המעשה. ברוב המכריע של המקרים - אך לא תמיד ממש - מצוי במעשה זה יסוד של יצרי מין...  </w:t>
      </w:r>
    </w:p>
    <w:p w14:paraId="17178B98" w14:textId="77777777" w:rsidR="00E314B3" w:rsidRDefault="00E314B3">
      <w:pPr>
        <w:pStyle w:val="a4"/>
        <w:ind w:left="1440"/>
        <w:rPr>
          <w:rFonts w:hint="cs"/>
          <w:b/>
          <w:bCs/>
          <w:sz w:val="24"/>
          <w:szCs w:val="24"/>
          <w:rtl/>
        </w:rPr>
      </w:pPr>
      <w:r>
        <w:rPr>
          <w:rFonts w:hint="cs"/>
          <w:b/>
          <w:bCs/>
          <w:sz w:val="24"/>
          <w:szCs w:val="24"/>
          <w:rtl/>
        </w:rPr>
        <w:t xml:space="preserve">ואולם מתוך שתחומי פרישתו של המושג "מעשה מגונה" ייגזרו מהשקפות החברה כפי שהן מעת לעת - החברה בכללה או החברה הספציפית שבה מדובר - עניין לנו בעבירה שתחומיה עשויים להשתנות אך עיקריה יישארו יציבים. </w:t>
      </w:r>
    </w:p>
    <w:p w14:paraId="7D531424" w14:textId="77777777" w:rsidR="00E314B3" w:rsidRDefault="00E314B3">
      <w:pPr>
        <w:pStyle w:val="a4"/>
        <w:spacing w:line="240" w:lineRule="auto"/>
        <w:ind w:left="1440"/>
        <w:rPr>
          <w:rFonts w:hint="cs"/>
          <w:b/>
          <w:bCs/>
          <w:sz w:val="24"/>
          <w:szCs w:val="24"/>
          <w:rtl/>
        </w:rPr>
      </w:pPr>
    </w:p>
    <w:p w14:paraId="7738A5AE" w14:textId="77777777" w:rsidR="00E314B3" w:rsidRDefault="00E314B3">
      <w:pPr>
        <w:pStyle w:val="a4"/>
        <w:ind w:left="1440"/>
        <w:rPr>
          <w:rFonts w:hint="cs"/>
          <w:b/>
          <w:bCs/>
          <w:sz w:val="24"/>
          <w:szCs w:val="24"/>
          <w:rtl/>
        </w:rPr>
      </w:pPr>
      <w:r>
        <w:rPr>
          <w:rFonts w:hint="cs"/>
          <w:b/>
          <w:bCs/>
          <w:sz w:val="24"/>
          <w:szCs w:val="24"/>
          <w:rtl/>
        </w:rPr>
        <w:t xml:space="preserve">העבירה של עשיית מעשה מגונה מסווגת עצמה כ"עבירת התנהגות"; החוק רואה בהתנהגותו של אדם - בעשייתו של "מעשה מגונה" - מעשה הראוי לגינוי ולענישה, והעבירה מתגבשת אף באין תוצאה ספציפית מעבר להתנהגות. ראו: ע"פ 6269/99 כהן נ' מדינת ישראל, פ"ד נה(2) 496, 502-501; עש"מ 6737/02 מדינת ישראל נ' זקן, פ"ד נז(2) 312, 326. ואולם מהו "מעשה מגונה"? מהו העושה מעשה להיותו מעשה "מגונה"? הוראת סעיף 348(ו) מורה אותנו מהו אותו יסוד נפשי העושה מעשה להיותו "מעשה מגונה" - מעשה הוא הנעשה לשם גירוי, סיפוק או ביזוי מיניים - ואולם מהם היסודות העובדתיים שבמעשה העושים התנהגות מסויימת להיותה התנהגות "מגונה" בעיני דין העונשין? </w:t>
      </w:r>
    </w:p>
    <w:p w14:paraId="5339071C" w14:textId="77777777" w:rsidR="00E314B3" w:rsidRDefault="00E314B3">
      <w:pPr>
        <w:pStyle w:val="a4"/>
        <w:spacing w:line="240" w:lineRule="auto"/>
        <w:ind w:left="1440"/>
        <w:rPr>
          <w:rFonts w:hint="cs"/>
          <w:b/>
          <w:bCs/>
          <w:sz w:val="24"/>
          <w:szCs w:val="24"/>
          <w:rtl/>
        </w:rPr>
      </w:pPr>
    </w:p>
    <w:p w14:paraId="4DD2A399" w14:textId="77777777" w:rsidR="00E314B3" w:rsidRDefault="00E314B3">
      <w:pPr>
        <w:pStyle w:val="a4"/>
        <w:spacing w:line="240" w:lineRule="auto"/>
        <w:ind w:left="1440"/>
        <w:rPr>
          <w:rFonts w:hint="cs"/>
          <w:b/>
          <w:bCs/>
          <w:sz w:val="24"/>
          <w:szCs w:val="24"/>
          <w:rtl/>
        </w:rPr>
      </w:pPr>
    </w:p>
    <w:p w14:paraId="24DB0A09" w14:textId="77777777" w:rsidR="00E314B3" w:rsidRDefault="00E314B3">
      <w:pPr>
        <w:pStyle w:val="a4"/>
        <w:spacing w:line="240" w:lineRule="auto"/>
        <w:ind w:left="1440"/>
        <w:rPr>
          <w:rFonts w:hint="cs"/>
          <w:b/>
          <w:bCs/>
          <w:sz w:val="24"/>
          <w:szCs w:val="24"/>
          <w:rtl/>
        </w:rPr>
      </w:pPr>
    </w:p>
    <w:p w14:paraId="021CD2DD" w14:textId="77777777" w:rsidR="00E314B3" w:rsidRDefault="00E314B3">
      <w:pPr>
        <w:ind w:left="1440" w:right="993"/>
        <w:rPr>
          <w:rFonts w:hint="cs"/>
          <w:b/>
          <w:bCs/>
          <w:rtl/>
        </w:rPr>
      </w:pPr>
      <w:r>
        <w:rPr>
          <w:rFonts w:hint="cs"/>
          <w:b/>
          <w:bCs/>
          <w:sz w:val="24"/>
          <w:rtl/>
        </w:rPr>
        <w:t xml:space="preserve">קשה להשתחרר מהתרשמות כי מושג זה של "מעשה מגונה" מושג חמקמק הוא לא מעט, ולא אך חמקמק הוא; אף חלקלק הוא. "עם זאת", כפי שאמר השופט זמיר בעש"מ 6713/96 מדינת ישראל בן אשר, פ"ד נב   (1) 650, 682, "...כפי שנאמר לגבי פיל, אף שקשה להגדיר אותו, כשרואים אותו, אין קושי לזהות אותו. המיבחן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w:t>
      </w:r>
      <w:r>
        <w:rPr>
          <w:rFonts w:hint="cs"/>
          <w:sz w:val="24"/>
          <w:rtl/>
        </w:rPr>
        <w:t xml:space="preserve">  </w:t>
      </w:r>
      <w:r>
        <w:rPr>
          <w:rFonts w:hint="cs"/>
          <w:sz w:val="24"/>
          <w:rtl/>
        </w:rPr>
        <w:tab/>
      </w:r>
      <w:r>
        <w:rPr>
          <w:rFonts w:hint="cs"/>
          <w:sz w:val="24"/>
          <w:rtl/>
        </w:rPr>
        <w:tab/>
      </w:r>
    </w:p>
    <w:p w14:paraId="26D228BA" w14:textId="77777777" w:rsidR="00E314B3" w:rsidRDefault="00E314B3">
      <w:pPr>
        <w:pStyle w:val="BodyText"/>
        <w:spacing w:line="360" w:lineRule="auto"/>
        <w:ind w:left="720"/>
        <w:rPr>
          <w:rFonts w:hint="cs"/>
          <w:b w:val="0"/>
          <w:bCs w:val="0"/>
          <w:rtl/>
        </w:rPr>
      </w:pPr>
    </w:p>
    <w:p w14:paraId="67712323" w14:textId="77777777" w:rsidR="00E314B3" w:rsidRDefault="00E314B3">
      <w:pPr>
        <w:pStyle w:val="BodyText"/>
        <w:spacing w:line="360" w:lineRule="auto"/>
        <w:ind w:left="720" w:hanging="720"/>
        <w:rPr>
          <w:rFonts w:hint="cs"/>
          <w:rtl/>
        </w:rPr>
      </w:pPr>
      <w:r>
        <w:rPr>
          <w:rFonts w:hint="cs"/>
          <w:b w:val="0"/>
          <w:bCs w:val="0"/>
          <w:rtl/>
        </w:rPr>
        <w:t xml:space="preserve">9. </w:t>
      </w:r>
      <w:r>
        <w:rPr>
          <w:rFonts w:hint="cs"/>
          <w:b w:val="0"/>
          <w:bCs w:val="0"/>
          <w:rtl/>
        </w:rPr>
        <w:tab/>
        <w:t>השאלה אם יש לראות בנישוקה של אשה מעשה מגונה  נדונה גם בע"פ (תל-אביב-יפו) 341/98</w:t>
      </w:r>
      <w:r>
        <w:rPr>
          <w:rFonts w:hint="cs"/>
          <w:rtl/>
        </w:rPr>
        <w:t xml:space="preserve"> מדינת ישראל נ' מרדכי עובדיה</w:t>
      </w:r>
      <w:r>
        <w:rPr>
          <w:rFonts w:hint="cs"/>
          <w:b w:val="0"/>
          <w:bCs w:val="0"/>
          <w:rtl/>
        </w:rPr>
        <w:t xml:space="preserve"> (תק-מח 99(2), 3700). עפ"י העובדות המתוארות שם, תוך כדי פגישת עבודה במשרדו, תפס הנאשם בכוח את ידיה של המתלוננת ונישק את שפתיה על אף התנגדותה המפורשת. הנאשם ביקש מהמתלוננת "עוד שלוש נשיקות", כשהוא ממשיך לתפוס בה בכוח. </w:t>
      </w:r>
    </w:p>
    <w:p w14:paraId="7A5DF610" w14:textId="77777777" w:rsidR="00E314B3" w:rsidRDefault="00E314B3">
      <w:pPr>
        <w:pStyle w:val="BodyTextIndent"/>
        <w:rPr>
          <w:rFonts w:hint="cs"/>
          <w:sz w:val="24"/>
          <w:rtl/>
        </w:rPr>
      </w:pPr>
      <w:r>
        <w:rPr>
          <w:rFonts w:hint="cs"/>
          <w:rtl/>
        </w:rPr>
        <w:t xml:space="preserve">בערעור נקבע שהנשיקה אכן היתה בעלת אופי מיני - ולא נשיקה תמימה של עמית לעבודה, לאחר שלא התראו זמן רב. ביהמ"ש נימק זאת כך: </w:t>
      </w:r>
    </w:p>
    <w:p w14:paraId="01B5C9CA" w14:textId="77777777" w:rsidR="00E314B3" w:rsidRDefault="00E314B3">
      <w:pPr>
        <w:pStyle w:val="BodyTextIndent"/>
        <w:ind w:left="1440" w:right="993"/>
        <w:rPr>
          <w:rFonts w:hint="cs"/>
          <w:b/>
          <w:bCs/>
          <w:sz w:val="24"/>
          <w:rtl/>
        </w:rPr>
      </w:pPr>
      <w:r>
        <w:rPr>
          <w:rFonts w:hint="cs"/>
          <w:b/>
          <w:bCs/>
          <w:rtl/>
        </w:rPr>
        <w:t xml:space="preserve">"מסקנה זו מתבקשת מן העובדות הבאות: ראשית - תפיסת פרקי ידיה של המתלוננת; שנית - התנגדותה המילולית תוך ניסיון להסיט את ראשה; שלישית - נשיקה על שפתיה של המתלוננת ולא על לחיה או מצחה. עפ"י נסיון החיים, נשיקות של חברים ברמת חברות כזו ללא אופי מיני - ניתנים על הלחי ולא על השפתיים; לא כל שכן, זרים שהם רק חברים רופפים לעבודה; רביעית - מועד הנשיקה, תוך כדי הדיון הענייני ביניהם בענייני עבודה, לאחר כ- 10 דקות מתחילתה. שוב, על פי נסיון החיים חברים הנפגשים אחרי שלא התראו, מתנשקים עוד בתחילתה של הפגישה, ולא "נזכרים" לעשות זאת, באמצעיתה; חמישית - אמירתו של המשיב - ממנה התעלם בימ"ש קמא, כי הוא רוצה "עוד שלוש נשיקות ודי ... </w:t>
      </w:r>
    </w:p>
    <w:p w14:paraId="360AF52B" w14:textId="77777777" w:rsidR="00E314B3" w:rsidRDefault="00E314B3">
      <w:pPr>
        <w:pStyle w:val="BodyTextIndent"/>
        <w:ind w:left="1440" w:right="993"/>
        <w:rPr>
          <w:rFonts w:hint="cs"/>
          <w:b/>
          <w:bCs/>
          <w:rtl/>
        </w:rPr>
      </w:pPr>
      <w:r>
        <w:rPr>
          <w:rFonts w:hint="cs"/>
          <w:b/>
          <w:bCs/>
          <w:rtl/>
        </w:rPr>
        <w:t>מכל מקום, כבר מזה עידן ועידנים נפסק מפורשות, בניגוד לסברת בימ"ש קמא - שנשיקה כשלעצמה ורק נשיקה, יכולה להוות מעשה מגונה אם הכוונה לא היתה לתת נשיקה</w:t>
      </w:r>
      <w:r>
        <w:rPr>
          <w:rFonts w:hint="cs"/>
          <w:rtl/>
        </w:rPr>
        <w:t xml:space="preserve"> </w:t>
      </w:r>
      <w:r>
        <w:rPr>
          <w:rFonts w:hint="cs"/>
          <w:b/>
          <w:bCs/>
          <w:rtl/>
        </w:rPr>
        <w:t xml:space="preserve">אלא לספק חשקו המיני של המנשק". </w:t>
      </w:r>
    </w:p>
    <w:p w14:paraId="5D6C4199" w14:textId="77777777" w:rsidR="00E314B3" w:rsidRDefault="00E314B3">
      <w:pPr>
        <w:pStyle w:val="BodyTextIndent"/>
        <w:rPr>
          <w:rFonts w:hint="cs"/>
          <w:b/>
          <w:bCs/>
          <w:sz w:val="24"/>
          <w:rtl/>
        </w:rPr>
      </w:pPr>
    </w:p>
    <w:p w14:paraId="1D1D664C" w14:textId="77777777" w:rsidR="00E314B3" w:rsidRDefault="00E314B3">
      <w:pPr>
        <w:ind w:firstLine="720"/>
        <w:rPr>
          <w:rFonts w:hint="cs"/>
          <w:rtl/>
        </w:rPr>
      </w:pPr>
      <w:r>
        <w:rPr>
          <w:rFonts w:hint="cs"/>
          <w:rtl/>
        </w:rPr>
        <w:t>י' קדמי בספרו הנ"ל (עמ' 780) כותב:</w:t>
      </w:r>
    </w:p>
    <w:p w14:paraId="0BEA31AD" w14:textId="77777777" w:rsidR="00E314B3" w:rsidRDefault="00E314B3">
      <w:pPr>
        <w:pStyle w:val="BodyTextIndent"/>
        <w:ind w:left="1440" w:right="993"/>
        <w:rPr>
          <w:rFonts w:hint="cs"/>
          <w:b/>
          <w:bCs/>
          <w:sz w:val="24"/>
          <w:rtl/>
        </w:rPr>
      </w:pPr>
      <w:r>
        <w:rPr>
          <w:rFonts w:hint="cs"/>
          <w:b/>
          <w:bCs/>
          <w:rtl/>
        </w:rPr>
        <w:t>"יצאו מכלל ההגדרה מעשי תקיפה כגון נשיקות, שאולי יש בהם גוון מיני אך יש ספק אם ראוי להעלותם לדרגת עבירות מין. תחום זה של מעשים הוא על הגבול שבין תקיפה לעבירת מין ומוצע להשאירו בתחום התקיפות הרגילות".</w:t>
      </w:r>
      <w:r>
        <w:rPr>
          <w:b/>
          <w:bCs/>
          <w:color w:val="FFFFFF"/>
          <w:sz w:val="4"/>
          <w:szCs w:val="4"/>
          <w:rtl/>
        </w:rPr>
        <w:t>נ</w:t>
      </w:r>
    </w:p>
    <w:p w14:paraId="328078F0" w14:textId="77777777" w:rsidR="00E314B3" w:rsidRDefault="00E314B3">
      <w:pPr>
        <w:ind w:left="720"/>
        <w:rPr>
          <w:rFonts w:hint="cs"/>
          <w:sz w:val="24"/>
          <w:rtl/>
        </w:rPr>
      </w:pPr>
    </w:p>
    <w:p w14:paraId="05AC66C8" w14:textId="77777777" w:rsidR="00E314B3" w:rsidRDefault="00E314B3">
      <w:pPr>
        <w:pStyle w:val="BodyText2"/>
        <w:spacing w:line="360" w:lineRule="auto"/>
        <w:ind w:left="720" w:hanging="720"/>
        <w:rPr>
          <w:rFonts w:hint="cs"/>
          <w:rtl/>
        </w:rPr>
      </w:pPr>
      <w:r>
        <w:rPr>
          <w:rFonts w:hint="cs"/>
          <w:rtl/>
        </w:rPr>
        <w:t xml:space="preserve">10. </w:t>
      </w:r>
      <w:r>
        <w:rPr>
          <w:rFonts w:hint="cs"/>
          <w:rtl/>
        </w:rPr>
        <w:tab/>
        <w:t xml:space="preserve">באירוע לא נכחו עדי ראיה. גירסת המתלוננת ניצבת, איפוא, לבדה ולעצמה. לכן, חלה עליו הוראת </w:t>
      </w:r>
      <w:hyperlink r:id="rId21" w:history="1">
        <w:r w:rsidR="00436420" w:rsidRPr="00436420">
          <w:rPr>
            <w:rStyle w:val="Hyperlink"/>
            <w:rFonts w:hint="eastAsia"/>
            <w:color w:val="0000FF"/>
            <w:rtl/>
          </w:rPr>
          <w:t>סעיף</w:t>
        </w:r>
        <w:r w:rsidR="00436420" w:rsidRPr="00436420">
          <w:rPr>
            <w:rStyle w:val="Hyperlink"/>
            <w:color w:val="0000FF"/>
            <w:rtl/>
          </w:rPr>
          <w:t xml:space="preserve"> 54 א. (ב)</w:t>
        </w:r>
      </w:hyperlink>
      <w:r>
        <w:rPr>
          <w:rFonts w:hint="cs"/>
          <w:rtl/>
        </w:rPr>
        <w:t xml:space="preserve"> ל</w:t>
      </w:r>
      <w:hyperlink r:id="rId22" w:history="1">
        <w:r w:rsidR="00436420" w:rsidRPr="00436420">
          <w:rPr>
            <w:rStyle w:val="Hyperlink"/>
            <w:rFonts w:hint="eastAsia"/>
            <w:color w:val="0000FF"/>
            <w:rtl/>
          </w:rPr>
          <w:t>פקודת</w:t>
        </w:r>
        <w:r w:rsidR="00436420" w:rsidRPr="00436420">
          <w:rPr>
            <w:rStyle w:val="Hyperlink"/>
            <w:color w:val="0000FF"/>
            <w:rtl/>
          </w:rPr>
          <w:t xml:space="preserve"> הראיות</w:t>
        </w:r>
      </w:hyperlink>
      <w:r>
        <w:rPr>
          <w:rFonts w:hint="cs"/>
          <w:rtl/>
        </w:rPr>
        <w:t xml:space="preserve"> [נוסח חדש] תשל"א – 1971, שכותרתו </w:t>
      </w:r>
      <w:r>
        <w:rPr>
          <w:rFonts w:hint="cs"/>
          <w:b/>
          <w:bCs/>
          <w:rtl/>
        </w:rPr>
        <w:t>"הכרעה על פי עדות יחידה במשפט פלילי",</w:t>
      </w:r>
      <w:r>
        <w:rPr>
          <w:rFonts w:hint="cs"/>
          <w:rtl/>
        </w:rPr>
        <w:t xml:space="preserve">  שזה לשונו:</w:t>
      </w:r>
    </w:p>
    <w:p w14:paraId="41EFC718" w14:textId="77777777" w:rsidR="00E314B3" w:rsidRDefault="00E314B3">
      <w:pPr>
        <w:ind w:left="1440" w:right="993"/>
        <w:rPr>
          <w:rFonts w:hint="cs"/>
          <w:b/>
          <w:bCs/>
          <w:rtl/>
        </w:rPr>
      </w:pPr>
      <w:r>
        <w:rPr>
          <w:rFonts w:hint="cs"/>
          <w:b/>
          <w:bCs/>
          <w:rtl/>
        </w:rPr>
        <w:t>"הרשיע בית משפט במשפט על עבירה לפי סעיף ה' לפרק י' ל</w:t>
      </w:r>
      <w:hyperlink r:id="rId23" w:history="1">
        <w:r w:rsidR="00436420" w:rsidRPr="00436420">
          <w:rPr>
            <w:rStyle w:val="Hyperlink"/>
            <w:rFonts w:hint="eastAsia"/>
            <w:b/>
            <w:bCs/>
            <w:color w:val="0000FF"/>
            <w:rtl/>
          </w:rPr>
          <w:t>חוק</w:t>
        </w:r>
        <w:r w:rsidR="00436420" w:rsidRPr="00436420">
          <w:rPr>
            <w:rStyle w:val="Hyperlink"/>
            <w:b/>
            <w:bCs/>
            <w:color w:val="0000FF"/>
            <w:rtl/>
          </w:rPr>
          <w:t xml:space="preserve"> העונשין</w:t>
        </w:r>
      </w:hyperlink>
      <w:r>
        <w:rPr>
          <w:rFonts w:hint="cs"/>
          <w:b/>
          <w:bCs/>
          <w:rtl/>
        </w:rPr>
        <w:t xml:space="preserve"> התשל"ז – 1977, על פי עדות יחידה של הנפגע, יפרט בהכרעת הדין מה הניע אותו להסתפק בעדות זו".</w:t>
      </w:r>
      <w:r>
        <w:rPr>
          <w:b/>
          <w:bCs/>
          <w:color w:val="FFFFFF"/>
          <w:sz w:val="4"/>
          <w:szCs w:val="4"/>
          <w:rtl/>
        </w:rPr>
        <w:t>ב</w:t>
      </w:r>
    </w:p>
    <w:p w14:paraId="26B5C5A7" w14:textId="77777777" w:rsidR="00E314B3" w:rsidRDefault="00E314B3">
      <w:pPr>
        <w:rPr>
          <w:rFonts w:hint="cs"/>
          <w:b/>
          <w:bCs/>
          <w:rtl/>
        </w:rPr>
      </w:pPr>
    </w:p>
    <w:p w14:paraId="266C5AA8" w14:textId="77777777" w:rsidR="00E314B3" w:rsidRDefault="00E314B3">
      <w:pPr>
        <w:ind w:left="720"/>
        <w:rPr>
          <w:rFonts w:hint="cs"/>
          <w:rtl/>
        </w:rPr>
      </w:pPr>
      <w:r>
        <w:rPr>
          <w:rFonts w:hint="cs"/>
          <w:rtl/>
        </w:rPr>
        <w:t xml:space="preserve">הסעיף קובע את "חובת ההנמקה" הספציפית לעבירות מין, אליה מתווספת חובת "האזהרה העצמית".  קדמי בספרו </w:t>
      </w:r>
      <w:r>
        <w:rPr>
          <w:rFonts w:hint="cs"/>
          <w:b/>
          <w:bCs/>
          <w:rtl/>
        </w:rPr>
        <w:t>על הראיות, הדין בראי הפסיקה,</w:t>
      </w:r>
      <w:r>
        <w:rPr>
          <w:rFonts w:hint="cs"/>
          <w:rtl/>
        </w:rPr>
        <w:t xml:space="preserve"> מהדורה מעודכנת ומשולבת תשס"ד – 2003, עמ' 1242 כותב:</w:t>
      </w:r>
    </w:p>
    <w:p w14:paraId="25DEA158" w14:textId="77777777" w:rsidR="00E314B3" w:rsidRDefault="00E314B3">
      <w:pPr>
        <w:ind w:left="1440" w:right="993"/>
        <w:rPr>
          <w:rFonts w:hint="cs"/>
          <w:b/>
          <w:bCs/>
          <w:rtl/>
        </w:rPr>
      </w:pPr>
      <w:r>
        <w:rPr>
          <w:rFonts w:hint="cs"/>
          <w:b/>
          <w:bCs/>
          <w:rtl/>
        </w:rPr>
        <w:t>"להבדיל מהמישור הפלילי שם מוטלת על בית המשפט חובה של "</w:t>
      </w:r>
      <w:r>
        <w:rPr>
          <w:rFonts w:hint="cs"/>
          <w:b/>
          <w:bCs/>
          <w:u w:val="single"/>
          <w:rtl/>
        </w:rPr>
        <w:t>אזהרה עצמית</w:t>
      </w:r>
      <w:r>
        <w:rPr>
          <w:rFonts w:hint="cs"/>
          <w:b/>
          <w:bCs/>
          <w:rtl/>
        </w:rPr>
        <w:t>" בלבד, כאשר הוא מבקש להרשיע על פי עדות יחידה – מחייב סעיף 54 ל</w:t>
      </w:r>
      <w:hyperlink r:id="rId24" w:history="1">
        <w:r w:rsidR="00436420" w:rsidRPr="00436420">
          <w:rPr>
            <w:rStyle w:val="Hyperlink"/>
            <w:rFonts w:hint="eastAsia"/>
            <w:b/>
            <w:bCs/>
            <w:color w:val="0000FF"/>
            <w:rtl/>
          </w:rPr>
          <w:t>פקודת</w:t>
        </w:r>
        <w:r w:rsidR="00436420" w:rsidRPr="00436420">
          <w:rPr>
            <w:rStyle w:val="Hyperlink"/>
            <w:b/>
            <w:bCs/>
            <w:color w:val="0000FF"/>
            <w:rtl/>
          </w:rPr>
          <w:t xml:space="preserve"> הראיות</w:t>
        </w:r>
      </w:hyperlink>
      <w:r>
        <w:rPr>
          <w:rFonts w:hint="cs"/>
          <w:b/>
          <w:bCs/>
          <w:rtl/>
        </w:rPr>
        <w:t xml:space="preserve"> קיומו של "</w:t>
      </w:r>
      <w:r>
        <w:rPr>
          <w:rFonts w:hint="cs"/>
          <w:b/>
          <w:bCs/>
          <w:u w:val="single"/>
          <w:rtl/>
        </w:rPr>
        <w:t>טעם אמיתי</w:t>
      </w:r>
      <w:r>
        <w:rPr>
          <w:rFonts w:hint="cs"/>
          <w:b/>
          <w:bCs/>
          <w:rtl/>
        </w:rPr>
        <w:t>" לפסיקת הדין על פי עדות יחידה במקרים המפורטים בו, ואין די בהקשר זה ב"אזהרה עצמית" כאמור.  אין לשכוח, שחובת "</w:t>
      </w:r>
      <w:r>
        <w:rPr>
          <w:rFonts w:hint="cs"/>
          <w:b/>
          <w:bCs/>
          <w:u w:val="single"/>
          <w:rtl/>
        </w:rPr>
        <w:t>האזהרה העצמית</w:t>
      </w:r>
      <w:r>
        <w:rPr>
          <w:rFonts w:hint="cs"/>
          <w:b/>
          <w:bCs/>
          <w:rtl/>
        </w:rPr>
        <w:t xml:space="preserve">" הינה חובה </w:t>
      </w:r>
      <w:r>
        <w:rPr>
          <w:rFonts w:hint="cs"/>
          <w:b/>
          <w:bCs/>
          <w:u w:val="single"/>
          <w:rtl/>
        </w:rPr>
        <w:t>כללית</w:t>
      </w:r>
      <w:r>
        <w:rPr>
          <w:rFonts w:hint="cs"/>
          <w:rtl/>
        </w:rPr>
        <w:t xml:space="preserve"> </w:t>
      </w:r>
      <w:r>
        <w:rPr>
          <w:rFonts w:hint="cs"/>
          <w:b/>
          <w:bCs/>
          <w:rtl/>
        </w:rPr>
        <w:t xml:space="preserve">המדרבנת ל"זהירות יתרה"; ואילו חובת ההנמקה, מתייחסת לנסיבות </w:t>
      </w:r>
      <w:r>
        <w:rPr>
          <w:rFonts w:hint="cs"/>
          <w:b/>
          <w:bCs/>
          <w:u w:val="single"/>
          <w:rtl/>
        </w:rPr>
        <w:t>ברות סיכון מיוחד</w:t>
      </w:r>
      <w:r>
        <w:rPr>
          <w:rFonts w:hint="cs"/>
          <w:b/>
          <w:bCs/>
          <w:rtl/>
        </w:rPr>
        <w:t xml:space="preserve">  המצדיקות קיומו בפועל של "טעם אמיתי"".</w:t>
      </w:r>
      <w:r>
        <w:rPr>
          <w:b/>
          <w:bCs/>
          <w:color w:val="FFFFFF"/>
          <w:sz w:val="4"/>
          <w:szCs w:val="4"/>
          <w:rtl/>
        </w:rPr>
        <w:t>ו</w:t>
      </w:r>
    </w:p>
    <w:p w14:paraId="68E07D4A" w14:textId="77777777" w:rsidR="00E314B3" w:rsidRDefault="00E314B3">
      <w:pPr>
        <w:ind w:right="993"/>
        <w:rPr>
          <w:rFonts w:hint="cs"/>
          <w:b/>
          <w:bCs/>
          <w:u w:val="single"/>
          <w:rtl/>
        </w:rPr>
      </w:pPr>
    </w:p>
    <w:p w14:paraId="0733754D" w14:textId="77777777" w:rsidR="00E314B3" w:rsidRDefault="00E314B3">
      <w:pPr>
        <w:ind w:right="993"/>
        <w:rPr>
          <w:rFonts w:hint="cs"/>
          <w:b/>
          <w:bCs/>
          <w:u w:val="single"/>
          <w:rtl/>
        </w:rPr>
      </w:pPr>
      <w:r>
        <w:rPr>
          <w:rFonts w:hint="cs"/>
          <w:b/>
          <w:bCs/>
          <w:u w:val="single"/>
          <w:rtl/>
        </w:rPr>
        <w:t>מן הכלל אל הפרט:</w:t>
      </w:r>
    </w:p>
    <w:p w14:paraId="5C27B049" w14:textId="77777777" w:rsidR="00E314B3" w:rsidRDefault="00E314B3">
      <w:pPr>
        <w:ind w:right="993"/>
        <w:rPr>
          <w:rFonts w:hint="cs"/>
          <w:b/>
          <w:bCs/>
          <w:u w:val="single"/>
          <w:rtl/>
        </w:rPr>
      </w:pPr>
    </w:p>
    <w:p w14:paraId="79A2CBE3" w14:textId="77777777" w:rsidR="00E314B3" w:rsidRDefault="00E314B3">
      <w:pPr>
        <w:ind w:left="720" w:hanging="720"/>
        <w:rPr>
          <w:rFonts w:hint="cs"/>
          <w:rtl/>
        </w:rPr>
      </w:pPr>
      <w:r>
        <w:rPr>
          <w:rFonts w:hint="cs"/>
          <w:rtl/>
        </w:rPr>
        <w:t>11.</w:t>
      </w:r>
      <w:r>
        <w:rPr>
          <w:rFonts w:hint="cs"/>
          <w:rtl/>
        </w:rPr>
        <w:tab/>
        <w:t xml:space="preserve">לאחר שהזהרתי עצמי, כמצוות הפסיקה, בעוד אני נותן דעתי להוראת </w:t>
      </w:r>
      <w:hyperlink r:id="rId25" w:history="1">
        <w:r w:rsidR="00436420" w:rsidRPr="00436420">
          <w:rPr>
            <w:rStyle w:val="Hyperlink"/>
            <w:rFonts w:hint="eastAsia"/>
            <w:color w:val="0000FF"/>
            <w:rtl/>
          </w:rPr>
          <w:t>סעיף</w:t>
        </w:r>
        <w:r w:rsidR="00436420" w:rsidRPr="00436420">
          <w:rPr>
            <w:rStyle w:val="Hyperlink"/>
            <w:color w:val="0000FF"/>
            <w:rtl/>
          </w:rPr>
          <w:t xml:space="preserve"> 54 א. (ב)</w:t>
        </w:r>
      </w:hyperlink>
      <w:r>
        <w:rPr>
          <w:rFonts w:hint="cs"/>
          <w:rtl/>
        </w:rPr>
        <w:t xml:space="preserve"> ל</w:t>
      </w:r>
      <w:hyperlink r:id="rId26" w:history="1">
        <w:r w:rsidR="00436420" w:rsidRPr="00436420">
          <w:rPr>
            <w:rStyle w:val="Hyperlink"/>
            <w:rFonts w:hint="eastAsia"/>
            <w:color w:val="0000FF"/>
            <w:rtl/>
          </w:rPr>
          <w:t>פקודת</w:t>
        </w:r>
        <w:r w:rsidR="00436420" w:rsidRPr="00436420">
          <w:rPr>
            <w:rStyle w:val="Hyperlink"/>
            <w:color w:val="0000FF"/>
            <w:rtl/>
          </w:rPr>
          <w:t xml:space="preserve"> הראיות</w:t>
        </w:r>
      </w:hyperlink>
      <w:r>
        <w:rPr>
          <w:rFonts w:hint="cs"/>
          <w:rtl/>
        </w:rPr>
        <w:t xml:space="preserve">, על כל המשתמע ממנה, הגעתי לכלל מסקנה, כי המאשימה הוכיחה את העבירה המיוחסת לנאשם מעבר לכל ספק סביר, וכי נמצאו לי טעמים טובים שיש בהם כדי לבסס את הרשעתו. </w:t>
      </w:r>
    </w:p>
    <w:p w14:paraId="7574CED4" w14:textId="77777777" w:rsidR="00E314B3" w:rsidRDefault="00E314B3">
      <w:pPr>
        <w:ind w:left="720"/>
        <w:rPr>
          <w:rFonts w:hint="cs"/>
          <w:rtl/>
        </w:rPr>
      </w:pPr>
      <w:r>
        <w:rPr>
          <w:rFonts w:hint="cs"/>
          <w:rtl/>
        </w:rPr>
        <w:t xml:space="preserve">נתתי אמון מלא במתלוננת, שהותירה בי רושם טוב ואמין. עסקינן באישה צעירה, נשואה, המנהלת אורח חיים דתי, שהיתה מצויה באותה עתה בחודש הרביעי להריונה. עדותה היתה קוהרנטית, מאופקת, וסדורה. היא הטיבה לבטא את התחושות הקשות שחשה במהלך האירוע,  את ההלם והפחד שתקפו אותה, בחששה לבריאותה היא ולבריאות הוולד שברחמה. כל אלה גרמו לה לחוש ברע והניעו אותה לדרוש מהנאשם כי יחזיר אותה מיד לביתה.  שוכנעתי כי מעשיו של הנאשם נפלו עליה כרעם ביום בהיר, לאחר שהבינה כי זו אינה נשיקה "ידידותית". יודגש, כי לא הכירה את הנאשם קודם לאירוע, ולא מצאתי כל סיבה  שתתגולל עליו בטענות שווא.  </w:t>
      </w:r>
    </w:p>
    <w:p w14:paraId="1D2F9587" w14:textId="77777777" w:rsidR="00E314B3" w:rsidRDefault="00E314B3">
      <w:pPr>
        <w:ind w:left="720"/>
        <w:rPr>
          <w:rFonts w:hint="cs"/>
          <w:rtl/>
        </w:rPr>
      </w:pPr>
    </w:p>
    <w:p w14:paraId="45880EEB" w14:textId="77777777" w:rsidR="00E314B3" w:rsidRDefault="00E314B3">
      <w:pPr>
        <w:ind w:left="720" w:hanging="720"/>
        <w:rPr>
          <w:rFonts w:hint="cs"/>
          <w:rtl/>
        </w:rPr>
      </w:pPr>
      <w:r>
        <w:rPr>
          <w:rFonts w:hint="cs"/>
          <w:rtl/>
        </w:rPr>
        <w:t>12.</w:t>
      </w:r>
      <w:r>
        <w:rPr>
          <w:rFonts w:hint="cs"/>
          <w:rtl/>
        </w:rPr>
        <w:tab/>
        <w:t>על כוונה מינית של נאשם ניתן ללמוד בדרך של הסקת מסקנות מעובדות שהוכחו, תוך בחינתן במאזני סבירות והגיון (</w:t>
      </w:r>
      <w:hyperlink r:id="rId27" w:history="1">
        <w:r w:rsidR="00436420" w:rsidRPr="00436420">
          <w:rPr>
            <w:rStyle w:val="Hyperlink"/>
            <w:rFonts w:hint="eastAsia"/>
            <w:color w:val="0000FF"/>
            <w:rtl/>
          </w:rPr>
          <w:t>ע</w:t>
        </w:r>
        <w:r w:rsidR="00436420" w:rsidRPr="00436420">
          <w:rPr>
            <w:rStyle w:val="Hyperlink"/>
            <w:color w:val="0000FF"/>
            <w:rtl/>
          </w:rPr>
          <w:t>.פ. 5757/00</w:t>
        </w:r>
      </w:hyperlink>
      <w:r>
        <w:rPr>
          <w:rFonts w:hint="cs"/>
          <w:rtl/>
        </w:rPr>
        <w:t xml:space="preserve"> </w:t>
      </w:r>
      <w:r>
        <w:rPr>
          <w:rFonts w:hint="cs"/>
          <w:b/>
          <w:bCs/>
          <w:rtl/>
        </w:rPr>
        <w:t>פלוני נ. מדינת ישראל</w:t>
      </w:r>
      <w:r>
        <w:rPr>
          <w:rFonts w:hint="cs"/>
          <w:rtl/>
        </w:rPr>
        <w:t xml:space="preserve"> תק-על 2000 (3), 1786). </w:t>
      </w:r>
    </w:p>
    <w:p w14:paraId="0FB13407" w14:textId="77777777" w:rsidR="00E314B3" w:rsidRDefault="00E314B3">
      <w:pPr>
        <w:ind w:left="720"/>
        <w:rPr>
          <w:rFonts w:hint="cs"/>
          <w:rtl/>
        </w:rPr>
      </w:pPr>
      <w:r>
        <w:rPr>
          <w:rFonts w:hint="cs"/>
          <w:rtl/>
        </w:rPr>
        <w:t xml:space="preserve">כאמור, לא נותר ספק בליבי כי  הנאשם עבר את העבירה. בחקירה במשטרה הכחיש באופן גורף כי נישק אותה. מאידך, בבית המשפט חל שינוי משמעותי בגרסתו. גרסה מאוחרת ותמימה זו כביכול, הינה גרסה כבושה. </w:t>
      </w:r>
    </w:p>
    <w:p w14:paraId="1C259E2D" w14:textId="77777777" w:rsidR="00E314B3" w:rsidRDefault="00E314B3">
      <w:pPr>
        <w:ind w:left="720"/>
        <w:rPr>
          <w:rFonts w:hint="cs"/>
          <w:rtl/>
        </w:rPr>
      </w:pPr>
      <w:r>
        <w:rPr>
          <w:rFonts w:hint="cs"/>
          <w:rtl/>
        </w:rPr>
        <w:t>ב</w:t>
      </w:r>
      <w:hyperlink r:id="rId28" w:history="1">
        <w:r w:rsidR="00436420" w:rsidRPr="00436420">
          <w:rPr>
            <w:rStyle w:val="Hyperlink"/>
            <w:rFonts w:hint="eastAsia"/>
            <w:color w:val="0000FF"/>
            <w:rtl/>
          </w:rPr>
          <w:t>ע</w:t>
        </w:r>
        <w:r w:rsidR="00436420" w:rsidRPr="00436420">
          <w:rPr>
            <w:rStyle w:val="Hyperlink"/>
            <w:color w:val="0000FF"/>
            <w:rtl/>
          </w:rPr>
          <w:t>"פ 5730/96</w:t>
        </w:r>
      </w:hyperlink>
      <w:r>
        <w:rPr>
          <w:rFonts w:hint="cs"/>
          <w:rtl/>
        </w:rPr>
        <w:t xml:space="preserve"> </w:t>
      </w:r>
      <w:r>
        <w:rPr>
          <w:rFonts w:hint="cs"/>
          <w:b/>
          <w:bCs/>
          <w:rtl/>
        </w:rPr>
        <w:t>גרציאני נ. מדינת ישראל</w:t>
      </w:r>
      <w:r>
        <w:rPr>
          <w:rFonts w:hint="cs"/>
          <w:rtl/>
        </w:rPr>
        <w:t xml:space="preserve"> תק-על 98 (2) 843 נפסק כדלקמן:</w:t>
      </w:r>
    </w:p>
    <w:p w14:paraId="6A31EF93" w14:textId="77777777" w:rsidR="00E314B3" w:rsidRDefault="00E314B3">
      <w:pPr>
        <w:ind w:left="1440" w:right="851"/>
        <w:rPr>
          <w:rFonts w:hint="cs"/>
          <w:b/>
          <w:bCs/>
          <w:rtl/>
        </w:rPr>
      </w:pPr>
      <w:r>
        <w:rPr>
          <w:rFonts w:hint="cs"/>
          <w:b/>
          <w:bCs/>
          <w:rtl/>
        </w:rPr>
        <w:t>"גם נאשם הכובש את גרסתו חייב ליתן הסבר סביר ואמין בדבר הטעם לכבישתה של הגרסה, ובמקום שלא ניתן טעם כזה, נושאת הגרסה המאוחרת תוית של חשד, שמא היא כוזבת. תווית כזו טעונה הסרה, וכל עוד לא הוסרה הרי היא מעיבה על אמינותה של הגירסה".</w:t>
      </w:r>
      <w:r>
        <w:rPr>
          <w:b/>
          <w:bCs/>
          <w:color w:val="FFFFFF"/>
          <w:sz w:val="4"/>
          <w:szCs w:val="4"/>
          <w:rtl/>
        </w:rPr>
        <w:t>נ</w:t>
      </w:r>
    </w:p>
    <w:p w14:paraId="18C0C255" w14:textId="77777777" w:rsidR="00E314B3" w:rsidRDefault="00E314B3">
      <w:pPr>
        <w:ind w:left="720"/>
        <w:rPr>
          <w:rFonts w:hint="cs"/>
          <w:rtl/>
        </w:rPr>
      </w:pPr>
      <w:r>
        <w:rPr>
          <w:rFonts w:hint="cs"/>
          <w:rtl/>
        </w:rPr>
        <w:t xml:space="preserve">לנאשם לא נמצא הסבר מתקבל על הדעת לכבישתה. נהפוך הוא – על השאלה מדוע בפני חוקר המשטרה העדיף להרחיק עצמו מהאירוע, השיב כי הבין שלשאלה קונוטציה מינית. היא הנותנת.   היה עליו להתכבד ולהכנס לעובי הקורה ולהבהיר את אופי מעורבותו בארוע – דבר שלא קרה בחקירה במשטרה. </w:t>
      </w:r>
    </w:p>
    <w:p w14:paraId="35EBE7E2" w14:textId="77777777" w:rsidR="00E314B3" w:rsidRDefault="00E314B3">
      <w:pPr>
        <w:ind w:left="720"/>
        <w:rPr>
          <w:rFonts w:hint="cs"/>
          <w:rtl/>
        </w:rPr>
      </w:pPr>
      <w:r>
        <w:rPr>
          <w:rFonts w:hint="cs"/>
          <w:rtl/>
        </w:rPr>
        <w:t>יתרה מזאת: במשטרה טען, שכבר בנסיעה ברכבו עם בני הזוג, עמד על הקושי ביחסים שביניהם. שוכנעתי כי גמר אומר בלבו לעשות שימוש בקושי האמור לצרכיו. לכן פנה למתלוננת ברכב עוד בטרם הגיעו לדירה ושאל אותה לגבי אורחות בעלה. סוף מעשה במחשבה תחילה, ועסקינן בהתנהגות יזומה ומתוכננת.</w:t>
      </w:r>
      <w:r>
        <w:rPr>
          <w:color w:val="FFFFFF"/>
          <w:sz w:val="4"/>
          <w:szCs w:val="4"/>
          <w:rtl/>
        </w:rPr>
        <w:t>ב</w:t>
      </w:r>
    </w:p>
    <w:p w14:paraId="362B9B00" w14:textId="77777777" w:rsidR="00E314B3" w:rsidRDefault="00E314B3">
      <w:pPr>
        <w:ind w:left="720"/>
        <w:rPr>
          <w:rFonts w:hint="cs"/>
          <w:rtl/>
        </w:rPr>
      </w:pPr>
      <w:r>
        <w:rPr>
          <w:rFonts w:hint="cs"/>
          <w:rtl/>
        </w:rPr>
        <w:t>הנאשם העיד שהיציאה המשותפת עמה למרפסת גבלה בפיקוח נפש, בהעדר מעקה. לכן אחז בידה ותמך בה.  מתגובתה למד כי "נכון שהרגישה לא נעים שאחזתי בידה. לשאלתך אם מיד לאחר אותו שלב אני הבחנתי על פי ארשת פניה שקרה משהו לא טוב, אני משיב  שראיתי זאת עוד לפני כן". מתבקשת, איפוא, המסקנה, שחרף מודעותו להתנגדותה לכל מגע גופני, הוסיף ונישק אותה בלחייה ובשפתיה.</w:t>
      </w:r>
      <w:r>
        <w:rPr>
          <w:color w:val="FFFFFF"/>
          <w:sz w:val="4"/>
          <w:szCs w:val="4"/>
          <w:rtl/>
        </w:rPr>
        <w:t>ו</w:t>
      </w:r>
    </w:p>
    <w:p w14:paraId="41E616EE" w14:textId="77777777" w:rsidR="00E314B3" w:rsidRDefault="00E314B3">
      <w:pPr>
        <w:ind w:left="720"/>
        <w:rPr>
          <w:rFonts w:hint="cs"/>
          <w:rtl/>
        </w:rPr>
      </w:pPr>
      <w:r>
        <w:rPr>
          <w:rFonts w:hint="cs"/>
          <w:rtl/>
        </w:rPr>
        <w:t xml:space="preserve">נימוק נוסף מתבקש משאלתו אם ניתן לנשקה פעם נוספת. הנאשם הוסיף לעשות לסיפוקו המיני, ולמרות שראתה בעין לא יפה כל מגע גופני עימו, הניח את ידו על ירכה בעת שנסעו  ברכבו בחזרה לביתה, פעולה שבינה לבין "פרץ של שמחה" אין ולא כלום. מעצם בקשתו לבל תספר על האירוע ברור כי ידע שאין מדובר באירוע תמים וידידותי. זאת ועוד: הנאשם הודה בעדותו בבית המשפט, אם כי בחצי פה, כי שפתיו נגעו בשפתיה.  נסיון החיים מלמד שזרים אינם מתנשקים בשפתיים, ולמצער שפתותיהם אינן נפגשות. </w:t>
      </w:r>
    </w:p>
    <w:p w14:paraId="330A90B0" w14:textId="77777777" w:rsidR="00E314B3" w:rsidRDefault="00E314B3">
      <w:pPr>
        <w:ind w:left="720"/>
        <w:rPr>
          <w:rFonts w:hint="cs"/>
          <w:rtl/>
        </w:rPr>
      </w:pPr>
    </w:p>
    <w:p w14:paraId="375D7CD1" w14:textId="77777777" w:rsidR="00E314B3" w:rsidRDefault="00E314B3">
      <w:pPr>
        <w:ind w:left="720"/>
        <w:rPr>
          <w:rFonts w:hint="cs"/>
          <w:rtl/>
        </w:rPr>
      </w:pPr>
    </w:p>
    <w:p w14:paraId="188A1F57" w14:textId="77777777" w:rsidR="00E314B3" w:rsidRDefault="00E314B3">
      <w:pPr>
        <w:ind w:left="720"/>
        <w:rPr>
          <w:rFonts w:hint="cs"/>
          <w:rtl/>
        </w:rPr>
      </w:pPr>
    </w:p>
    <w:p w14:paraId="05E1160A" w14:textId="77777777" w:rsidR="00E314B3" w:rsidRDefault="00E314B3">
      <w:pPr>
        <w:ind w:left="720"/>
        <w:rPr>
          <w:rFonts w:hint="cs"/>
          <w:rtl/>
        </w:rPr>
      </w:pPr>
    </w:p>
    <w:p w14:paraId="27173169" w14:textId="77777777" w:rsidR="00E314B3" w:rsidRDefault="00E314B3">
      <w:pPr>
        <w:ind w:left="720" w:hanging="720"/>
        <w:rPr>
          <w:rFonts w:hint="cs"/>
          <w:rtl/>
        </w:rPr>
      </w:pPr>
      <w:r>
        <w:rPr>
          <w:rFonts w:hint="cs"/>
          <w:rtl/>
        </w:rPr>
        <w:t>13.</w:t>
      </w:r>
      <w:r>
        <w:rPr>
          <w:rFonts w:hint="cs"/>
          <w:rtl/>
        </w:rPr>
        <w:tab/>
        <w:t>מכל האמור לעיל, אני מרשיע את הנאשם בעבירה המיוחסת לו בכתב האישום.</w:t>
      </w:r>
      <w:r>
        <w:rPr>
          <w:color w:val="FFFFFF"/>
          <w:sz w:val="4"/>
          <w:szCs w:val="4"/>
          <w:rtl/>
        </w:rPr>
        <w:t>נ</w:t>
      </w:r>
    </w:p>
    <w:p w14:paraId="3FCF5054" w14:textId="77777777" w:rsidR="00E314B3" w:rsidRDefault="00E314B3">
      <w:pPr>
        <w:rPr>
          <w:rFonts w:hint="cs"/>
          <w:rtl/>
        </w:rPr>
      </w:pPr>
    </w:p>
    <w:p w14:paraId="0F496F6D" w14:textId="77777777" w:rsidR="00E314B3" w:rsidRDefault="00E314B3">
      <w:pPr>
        <w:rPr>
          <w:rFonts w:hint="cs"/>
          <w:rtl/>
        </w:rPr>
      </w:pPr>
      <w:bookmarkStart w:id="11" w:name="Decision1"/>
    </w:p>
    <w:p w14:paraId="0F4451F6" w14:textId="77777777" w:rsidR="00E314B3" w:rsidRDefault="00E314B3">
      <w:pPr>
        <w:rPr>
          <w:rFonts w:hint="cs"/>
          <w:b/>
          <w:bCs/>
          <w:rtl/>
        </w:rPr>
      </w:pPr>
      <w:r>
        <w:rPr>
          <w:rFonts w:hint="cs"/>
          <w:b/>
          <w:bCs/>
          <w:rtl/>
        </w:rPr>
        <w:t>ניתנה היום ח' בניסן, תשס"ה (17 באפריל 2005) במעמד הצדדים.</w:t>
      </w:r>
      <w:r>
        <w:rPr>
          <w:b/>
          <w:bCs/>
          <w:color w:val="FFFFFF"/>
          <w:sz w:val="4"/>
          <w:szCs w:val="4"/>
          <w:rtl/>
        </w:rPr>
        <w:t>ב</w:t>
      </w:r>
    </w:p>
    <w:p w14:paraId="4B090808" w14:textId="77777777" w:rsidR="00E314B3" w:rsidRDefault="00E314B3">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E314B3" w14:paraId="6D3D8C65" w14:textId="77777777">
        <w:tc>
          <w:tcPr>
            <w:tcW w:w="1951" w:type="dxa"/>
            <w:tcBorders>
              <w:top w:val="single" w:sz="4" w:space="0" w:color="auto"/>
              <w:left w:val="nil"/>
              <w:bottom w:val="nil"/>
              <w:right w:val="nil"/>
            </w:tcBorders>
          </w:tcPr>
          <w:p w14:paraId="3486078E" w14:textId="77777777" w:rsidR="00E314B3" w:rsidRDefault="00E314B3">
            <w:pPr>
              <w:jc w:val="center"/>
              <w:rPr>
                <w:b/>
                <w:bCs/>
              </w:rPr>
            </w:pPr>
            <w:r>
              <w:rPr>
                <w:rFonts w:hint="cs"/>
                <w:b/>
                <w:bCs/>
                <w:rtl/>
              </w:rPr>
              <w:t>ד. מגד, שופט</w:t>
            </w:r>
          </w:p>
          <w:p w14:paraId="14DC949A" w14:textId="77777777" w:rsidR="00E314B3" w:rsidRDefault="00E314B3">
            <w:pPr>
              <w:jc w:val="center"/>
              <w:rPr>
                <w:b/>
                <w:bCs/>
              </w:rPr>
            </w:pPr>
            <w:r>
              <w:rPr>
                <w:rFonts w:hint="cs"/>
                <w:b/>
                <w:bCs/>
                <w:rtl/>
              </w:rPr>
              <w:t>סגן נשיא</w:t>
            </w:r>
          </w:p>
        </w:tc>
      </w:tr>
    </w:tbl>
    <w:p w14:paraId="6D3FDE39" w14:textId="77777777" w:rsidR="00E314B3" w:rsidRDefault="00E314B3">
      <w:pPr>
        <w:rPr>
          <w:rFonts w:hint="cs"/>
          <w:rtl/>
        </w:rPr>
      </w:pPr>
    </w:p>
    <w:p w14:paraId="463D2153" w14:textId="77777777" w:rsidR="00E314B3" w:rsidRDefault="00E314B3">
      <w:pPr>
        <w:rPr>
          <w:rtl/>
        </w:rPr>
      </w:pPr>
      <w:r>
        <w:rPr>
          <w:rFonts w:hint="cs"/>
          <w:b/>
          <w:bCs/>
          <w:u w:val="single"/>
          <w:rtl/>
        </w:rPr>
        <w:t>הנאשם:</w:t>
      </w:r>
    </w:p>
    <w:p w14:paraId="3234474B" w14:textId="77777777" w:rsidR="00E314B3" w:rsidRDefault="00E314B3">
      <w:pPr>
        <w:rPr>
          <w:rFonts w:hint="cs"/>
          <w:rtl/>
        </w:rPr>
      </w:pPr>
      <w:r>
        <w:rPr>
          <w:rFonts w:hint="cs"/>
          <w:rtl/>
        </w:rPr>
        <w:t xml:space="preserve">אני מבקש להתייעץ לפני הטיעונים לעונש. </w:t>
      </w:r>
    </w:p>
    <w:p w14:paraId="1A9FCF6E" w14:textId="77777777" w:rsidR="00E314B3" w:rsidRDefault="00E314B3">
      <w:pPr>
        <w:rPr>
          <w:rFonts w:hint="cs"/>
          <w:rtl/>
        </w:rPr>
      </w:pPr>
    </w:p>
    <w:p w14:paraId="7FE577DD" w14:textId="77777777" w:rsidR="00E314B3" w:rsidRDefault="00E314B3">
      <w:pPr>
        <w:rPr>
          <w:rFonts w:hint="cs"/>
          <w:rtl/>
        </w:rPr>
      </w:pPr>
      <w:r>
        <w:rPr>
          <w:rFonts w:hint="cs"/>
          <w:b/>
          <w:bCs/>
          <w:u w:val="single"/>
          <w:rtl/>
        </w:rPr>
        <w:t>התובעת:</w:t>
      </w:r>
    </w:p>
    <w:p w14:paraId="21344F60" w14:textId="77777777" w:rsidR="00E314B3" w:rsidRDefault="00E314B3">
      <w:pPr>
        <w:rPr>
          <w:rFonts w:hint="cs"/>
          <w:rtl/>
        </w:rPr>
      </w:pPr>
      <w:r>
        <w:rPr>
          <w:rFonts w:hint="cs"/>
          <w:rtl/>
        </w:rPr>
        <w:t xml:space="preserve">מסכימה לדחייה. </w:t>
      </w:r>
    </w:p>
    <w:p w14:paraId="6ED5D38A" w14:textId="77777777" w:rsidR="00E314B3" w:rsidRDefault="00E314B3">
      <w:pPr>
        <w:rPr>
          <w:rFonts w:hint="cs"/>
          <w:rtl/>
        </w:rPr>
      </w:pPr>
    </w:p>
    <w:p w14:paraId="1C2141C8" w14:textId="77777777" w:rsidR="00E314B3" w:rsidRDefault="00E314B3">
      <w:pPr>
        <w:pStyle w:val="Title"/>
        <w:rPr>
          <w:rFonts w:hint="cs"/>
          <w:rtl/>
        </w:rPr>
      </w:pPr>
      <w:bookmarkStart w:id="12" w:name="Decision2"/>
      <w:r>
        <w:rPr>
          <w:rFonts w:hint="cs"/>
          <w:sz w:val="34"/>
          <w:szCs w:val="32"/>
          <w:rtl/>
        </w:rPr>
        <w:t>החלטה</w:t>
      </w:r>
    </w:p>
    <w:p w14:paraId="42E557D1" w14:textId="77777777" w:rsidR="00E314B3" w:rsidRDefault="00E314B3">
      <w:pPr>
        <w:rPr>
          <w:rFonts w:hint="cs"/>
          <w:rtl/>
        </w:rPr>
      </w:pPr>
    </w:p>
    <w:p w14:paraId="7366D5AC" w14:textId="77777777" w:rsidR="00E314B3" w:rsidRDefault="00E314B3">
      <w:pPr>
        <w:rPr>
          <w:rFonts w:hint="cs"/>
          <w:rtl/>
        </w:rPr>
      </w:pPr>
      <w:r>
        <w:rPr>
          <w:rFonts w:hint="cs"/>
          <w:rtl/>
        </w:rPr>
        <w:t xml:space="preserve">נדחה לטיעונים לעונש לתאריך 10.5.05 בשעה 08:30. </w:t>
      </w:r>
    </w:p>
    <w:p w14:paraId="4B202524" w14:textId="77777777" w:rsidR="00E314B3" w:rsidRDefault="00E314B3">
      <w:pPr>
        <w:rPr>
          <w:rFonts w:hint="cs"/>
          <w:b/>
          <w:bCs/>
          <w:rtl/>
        </w:rPr>
      </w:pPr>
    </w:p>
    <w:p w14:paraId="2B3DA115" w14:textId="77777777" w:rsidR="00E314B3" w:rsidRDefault="00E314B3">
      <w:pPr>
        <w:rPr>
          <w:rFonts w:hint="cs"/>
          <w:b/>
          <w:bCs/>
          <w:rtl/>
        </w:rPr>
      </w:pPr>
      <w:r>
        <w:rPr>
          <w:rFonts w:hint="cs"/>
          <w:b/>
          <w:bCs/>
          <w:rtl/>
        </w:rPr>
        <w:t>ניתנה היום ח' בניסן, תשס"ה (17 באפריל 2005) במעמד הצדדים.</w:t>
      </w:r>
      <w:r>
        <w:rPr>
          <w:b/>
          <w:bCs/>
          <w:color w:val="FFFFFF"/>
          <w:sz w:val="4"/>
          <w:szCs w:val="4"/>
          <w:rtl/>
        </w:rPr>
        <w:t>ו</w:t>
      </w:r>
    </w:p>
    <w:p w14:paraId="765975A5" w14:textId="77777777" w:rsidR="00E314B3" w:rsidRDefault="00E314B3">
      <w:pPr>
        <w:rPr>
          <w:rFonts w:hint="cs"/>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E314B3" w14:paraId="19F4C75E" w14:textId="77777777">
        <w:tc>
          <w:tcPr>
            <w:tcW w:w="1951" w:type="dxa"/>
            <w:tcBorders>
              <w:top w:val="single" w:sz="4" w:space="0" w:color="auto"/>
              <w:left w:val="nil"/>
              <w:bottom w:val="nil"/>
              <w:right w:val="nil"/>
            </w:tcBorders>
          </w:tcPr>
          <w:p w14:paraId="61034508" w14:textId="77777777" w:rsidR="00E314B3" w:rsidRDefault="00E314B3">
            <w:pPr>
              <w:jc w:val="center"/>
              <w:rPr>
                <w:b/>
                <w:bCs/>
              </w:rPr>
            </w:pPr>
            <w:r>
              <w:rPr>
                <w:rFonts w:hint="cs"/>
                <w:b/>
                <w:bCs/>
                <w:rtl/>
              </w:rPr>
              <w:t>ד. מגד, שופט</w:t>
            </w:r>
          </w:p>
          <w:p w14:paraId="557C3B1E" w14:textId="77777777" w:rsidR="00E314B3" w:rsidRDefault="00E314B3">
            <w:pPr>
              <w:jc w:val="center"/>
              <w:rPr>
                <w:b/>
                <w:bCs/>
              </w:rPr>
            </w:pPr>
            <w:r>
              <w:rPr>
                <w:rFonts w:hint="cs"/>
                <w:b/>
                <w:bCs/>
                <w:rtl/>
              </w:rPr>
              <w:t>סגן נשיא</w:t>
            </w:r>
          </w:p>
        </w:tc>
      </w:tr>
    </w:tbl>
    <w:bookmarkEnd w:id="11"/>
    <w:bookmarkEnd w:id="12"/>
    <w:p w14:paraId="5E910FFA" w14:textId="77777777" w:rsidR="00E314B3" w:rsidRDefault="00E314B3">
      <w:pPr>
        <w:rPr>
          <w:rFonts w:hint="cs"/>
          <w:rtl/>
        </w:rPr>
      </w:pPr>
      <w:r>
        <w:rPr>
          <w:rFonts w:hint="cs"/>
          <w:rtl/>
        </w:rPr>
        <w:t>קלדנית: נורית היינה.</w:t>
      </w:r>
      <w:r>
        <w:rPr>
          <w:color w:val="FFFFFF"/>
          <w:sz w:val="4"/>
          <w:szCs w:val="4"/>
          <w:rtl/>
        </w:rPr>
        <w:t>נ</w:t>
      </w:r>
    </w:p>
    <w:p w14:paraId="7E1ED7D0" w14:textId="77777777" w:rsidR="00E314B3" w:rsidRDefault="00E314B3">
      <w:pPr>
        <w:rPr>
          <w:rtl/>
        </w:rPr>
      </w:pPr>
      <w:r>
        <w:rPr>
          <w:rtl/>
        </w:rPr>
        <w:t>נוסח מסמך זה כפוף לשינויי ניסוח ועריכה</w:t>
      </w:r>
    </w:p>
    <w:p w14:paraId="004A3948" w14:textId="77777777" w:rsidR="00E314B3" w:rsidRDefault="00E314B3">
      <w:pPr>
        <w:rPr>
          <w:rFonts w:hint="cs"/>
          <w:rtl/>
        </w:rPr>
      </w:pPr>
    </w:p>
    <w:sectPr w:rsidR="00E314B3">
      <w:headerReference w:type="even" r:id="rId29"/>
      <w:headerReference w:type="default" r:id="rId30"/>
      <w:footerReference w:type="even" r:id="rId31"/>
      <w:footerReference w:type="default" r:id="rId3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7F9E" w14:textId="77777777" w:rsidR="00B9379E" w:rsidRDefault="00B9379E">
      <w:r>
        <w:separator/>
      </w:r>
    </w:p>
  </w:endnote>
  <w:endnote w:type="continuationSeparator" w:id="0">
    <w:p w14:paraId="3021E26C" w14:textId="77777777" w:rsidR="00B9379E" w:rsidRDefault="00B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F0A6" w14:textId="77777777" w:rsidR="00610017" w:rsidRDefault="0061001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60C8075D" w14:textId="77777777" w:rsidR="00610017" w:rsidRDefault="0061001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CF6CAC" w14:textId="77777777" w:rsidR="00610017" w:rsidRDefault="0061001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M:\00000000\05-04-18\ps-all\01 = 05-04-17 - noa\OutDoc\s02005251-153.doc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E57A" w14:textId="77777777" w:rsidR="00610017" w:rsidRDefault="0061001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60504">
      <w:rPr>
        <w:rFonts w:hAnsi="FrankRuehl" w:cs="FrankRuehl"/>
        <w:noProof/>
        <w:sz w:val="24"/>
        <w:rtl/>
      </w:rPr>
      <w:t>1</w:t>
    </w:r>
    <w:r>
      <w:rPr>
        <w:rFonts w:hAnsi="FrankRuehl" w:cs="FrankRuehl"/>
        <w:sz w:val="24"/>
        <w:rtl/>
      </w:rPr>
      <w:fldChar w:fldCharType="end"/>
    </w:r>
  </w:p>
  <w:p w14:paraId="7AEA53AE" w14:textId="77777777" w:rsidR="00610017" w:rsidRDefault="0061001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993CAA" w14:textId="77777777" w:rsidR="00610017" w:rsidRDefault="0061001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M:\00000000\05-04-18\ps-all\01 = 05-04-17 - noa\OutDoc\s02005251-153.doc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363B" w14:textId="77777777" w:rsidR="00B9379E" w:rsidRDefault="00B9379E">
      <w:r>
        <w:separator/>
      </w:r>
    </w:p>
  </w:footnote>
  <w:footnote w:type="continuationSeparator" w:id="0">
    <w:p w14:paraId="7F13D134" w14:textId="77777777" w:rsidR="00B9379E" w:rsidRDefault="00B93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9A89" w14:textId="77777777" w:rsidR="00610017" w:rsidRDefault="0061001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5251/02</w:t>
    </w:r>
    <w:r>
      <w:rPr>
        <w:rFonts w:hAnsi="David"/>
        <w:color w:val="000000"/>
        <w:sz w:val="22"/>
        <w:szCs w:val="22"/>
        <w:rtl/>
      </w:rPr>
      <w:tab/>
      <w:t xml:space="preserve"> מדינת ישראל נ' טלמור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4BD7" w14:textId="77777777" w:rsidR="00610017" w:rsidRDefault="0061001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5251/02</w:t>
    </w:r>
    <w:r>
      <w:rPr>
        <w:rFonts w:hAnsi="David"/>
        <w:color w:val="000000"/>
        <w:sz w:val="22"/>
        <w:szCs w:val="22"/>
        <w:rtl/>
      </w:rPr>
      <w:tab/>
      <w:t xml:space="preserve"> מדינת ישראל נ' טלמור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314B3"/>
    <w:rsid w:val="00160504"/>
    <w:rsid w:val="00436420"/>
    <w:rsid w:val="00610017"/>
    <w:rsid w:val="006D2337"/>
    <w:rsid w:val="00B9379E"/>
    <w:rsid w:val="00BE5FD0"/>
    <w:rsid w:val="00E314B3"/>
    <w:rsid w:val="00F769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533283"/>
  <w15:chartTrackingRefBased/>
  <w15:docId w15:val="{AAFF3274-6454-419E-BD4E-31D0C03E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32"/>
      <w:szCs w:val="30"/>
    </w:rPr>
  </w:style>
  <w:style w:type="paragraph" w:styleId="Heading7">
    <w:name w:val="heading 7"/>
    <w:basedOn w:val="Normal"/>
    <w:next w:val="Normal"/>
    <w:qFormat/>
    <w:pPr>
      <w:keepNext/>
      <w:jc w:val="center"/>
      <w:outlineLvl w:val="6"/>
    </w:pPr>
    <w:rPr>
      <w:b/>
      <w:bCs/>
      <w:sz w:val="26"/>
      <w:szCs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28"/>
      <w:szCs w:val="28"/>
      <w:u w:val="single"/>
    </w:rPr>
  </w:style>
  <w:style w:type="paragraph" w:styleId="BodyText">
    <w:name w:val="Body Text"/>
    <w:basedOn w:val="Normal"/>
    <w:pPr>
      <w:spacing w:line="480" w:lineRule="auto"/>
    </w:pPr>
    <w:rPr>
      <w:b/>
      <w:bCs/>
      <w:sz w:val="24"/>
    </w:rPr>
  </w:style>
  <w:style w:type="paragraph" w:styleId="BodyTextIndent">
    <w:name w:val="Body Text Indent"/>
    <w:basedOn w:val="Normal"/>
    <w:pPr>
      <w:ind w:left="720"/>
    </w:pPr>
  </w:style>
  <w:style w:type="paragraph" w:styleId="BodyText2">
    <w:name w:val="Body Text 2"/>
    <w:basedOn w:val="Normal"/>
    <w:pPr>
      <w:spacing w:line="480" w:lineRule="auto"/>
    </w:pPr>
    <w:rPr>
      <w:sz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customStyle="1" w:styleId="a4">
    <w:name w:val="צטוט"/>
    <w:basedOn w:val="Normal"/>
    <w:pPr>
      <w:ind w:left="567" w:right="567"/>
    </w:pPr>
    <w:rPr>
      <w:sz w:val="28"/>
      <w:szCs w:val="28"/>
    </w:rPr>
  </w:style>
  <w:style w:type="character" w:styleId="PageNumber">
    <w:name w:val="page number"/>
    <w:rPr>
      <w:rFonts w:cs="David"/>
    </w:rPr>
  </w:style>
  <w:style w:type="character" w:styleId="Hyperlink">
    <w:name w:val="Hyperlink"/>
    <w:rsid w:val="004364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case/17938180" TargetMode="External"/><Relationship Id="rId26" Type="http://schemas.openxmlformats.org/officeDocument/2006/relationships/hyperlink" Target="http://www.nevo.co.il/law/98569" TargetMode="External"/><Relationship Id="rId3" Type="http://schemas.openxmlformats.org/officeDocument/2006/relationships/webSettings" Target="webSettings.xml"/><Relationship Id="rId21" Type="http://schemas.openxmlformats.org/officeDocument/2006/relationships/hyperlink" Target="http://www.nevo.co.il/law/98569/54a.b" TargetMode="External"/><Relationship Id="rId34" Type="http://schemas.openxmlformats.org/officeDocument/2006/relationships/theme" Target="theme/theme1.xm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941097" TargetMode="External"/><Relationship Id="rId25" Type="http://schemas.openxmlformats.org/officeDocument/2006/relationships/hyperlink" Target="http://www.nevo.co.il/law/98569/54a.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232497"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98569"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30055" TargetMode="External"/><Relationship Id="rId10" Type="http://schemas.openxmlformats.org/officeDocument/2006/relationships/hyperlink" Target="http://www.nevo.co.il/law/98569/54a.b" TargetMode="External"/><Relationship Id="rId19" Type="http://schemas.openxmlformats.org/officeDocument/2006/relationships/hyperlink" Target="http://www.nevo.co.il/case/355191"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6229449" TargetMode="External"/><Relationship Id="rId30" Type="http://schemas.openxmlformats.org/officeDocument/2006/relationships/header" Target="header2.xml"/><Relationship Id="rId8" Type="http://schemas.openxmlformats.org/officeDocument/2006/relationships/hyperlink" Target="http://www.nevo.co.il/law/70301/34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14480</CharactersWithSpaces>
  <SharedDoc>false</SharedDoc>
  <HLinks>
    <vt:vector size="138" baseType="variant">
      <vt:variant>
        <vt:i4>3145841</vt:i4>
      </vt:variant>
      <vt:variant>
        <vt:i4>66</vt:i4>
      </vt:variant>
      <vt:variant>
        <vt:i4>0</vt:i4>
      </vt:variant>
      <vt:variant>
        <vt:i4>5</vt:i4>
      </vt:variant>
      <vt:variant>
        <vt:lpwstr>http://www.nevo.co.il/case/6030055</vt:lpwstr>
      </vt:variant>
      <vt:variant>
        <vt:lpwstr/>
      </vt:variant>
      <vt:variant>
        <vt:i4>3735675</vt:i4>
      </vt:variant>
      <vt:variant>
        <vt:i4>63</vt:i4>
      </vt:variant>
      <vt:variant>
        <vt:i4>0</vt:i4>
      </vt:variant>
      <vt:variant>
        <vt:i4>5</vt:i4>
      </vt:variant>
      <vt:variant>
        <vt:lpwstr>http://www.nevo.co.il/case/6229449</vt:lpwstr>
      </vt:variant>
      <vt:variant>
        <vt:lpwstr/>
      </vt:variant>
      <vt:variant>
        <vt:i4>7602284</vt:i4>
      </vt:variant>
      <vt:variant>
        <vt:i4>60</vt:i4>
      </vt:variant>
      <vt:variant>
        <vt:i4>0</vt:i4>
      </vt:variant>
      <vt:variant>
        <vt:i4>5</vt:i4>
      </vt:variant>
      <vt:variant>
        <vt:lpwstr>http://www.nevo.co.il/law/98569</vt:lpwstr>
      </vt:variant>
      <vt:variant>
        <vt:lpwstr/>
      </vt:variant>
      <vt:variant>
        <vt:i4>4259841</vt:i4>
      </vt:variant>
      <vt:variant>
        <vt:i4>57</vt:i4>
      </vt:variant>
      <vt:variant>
        <vt:i4>0</vt:i4>
      </vt:variant>
      <vt:variant>
        <vt:i4>5</vt:i4>
      </vt:variant>
      <vt:variant>
        <vt:lpwstr>http://www.nevo.co.il/law/98569/54a.b</vt:lpwstr>
      </vt:variant>
      <vt:variant>
        <vt:lpwstr/>
      </vt:variant>
      <vt:variant>
        <vt:i4>7602284</vt:i4>
      </vt:variant>
      <vt:variant>
        <vt:i4>54</vt:i4>
      </vt:variant>
      <vt:variant>
        <vt:i4>0</vt:i4>
      </vt:variant>
      <vt:variant>
        <vt:i4>5</vt:i4>
      </vt:variant>
      <vt:variant>
        <vt:lpwstr>http://www.nevo.co.il/law/98569</vt:lpwstr>
      </vt:variant>
      <vt:variant>
        <vt:lpwstr/>
      </vt:variant>
      <vt:variant>
        <vt:i4>7995492</vt:i4>
      </vt:variant>
      <vt:variant>
        <vt:i4>51</vt:i4>
      </vt:variant>
      <vt:variant>
        <vt:i4>0</vt:i4>
      </vt:variant>
      <vt:variant>
        <vt:i4>5</vt:i4>
      </vt:variant>
      <vt:variant>
        <vt:lpwstr>http://www.nevo.co.il/law/70301</vt:lpwstr>
      </vt:variant>
      <vt:variant>
        <vt:lpwstr/>
      </vt:variant>
      <vt:variant>
        <vt:i4>7602284</vt:i4>
      </vt:variant>
      <vt:variant>
        <vt:i4>48</vt:i4>
      </vt:variant>
      <vt:variant>
        <vt:i4>0</vt:i4>
      </vt:variant>
      <vt:variant>
        <vt:i4>5</vt:i4>
      </vt:variant>
      <vt:variant>
        <vt:lpwstr>http://www.nevo.co.il/law/98569</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3539069</vt:i4>
      </vt:variant>
      <vt:variant>
        <vt:i4>42</vt:i4>
      </vt:variant>
      <vt:variant>
        <vt:i4>0</vt:i4>
      </vt:variant>
      <vt:variant>
        <vt:i4>5</vt:i4>
      </vt:variant>
      <vt:variant>
        <vt:lpwstr>http://www.nevo.co.il/case/6232497</vt:lpwstr>
      </vt:variant>
      <vt:variant>
        <vt:lpwstr/>
      </vt:variant>
      <vt:variant>
        <vt:i4>983104</vt:i4>
      </vt:variant>
      <vt:variant>
        <vt:i4>39</vt:i4>
      </vt:variant>
      <vt:variant>
        <vt:i4>0</vt:i4>
      </vt:variant>
      <vt:variant>
        <vt:i4>5</vt:i4>
      </vt:variant>
      <vt:variant>
        <vt:lpwstr>http://www.nevo.co.il/case/355191</vt:lpwstr>
      </vt:variant>
      <vt:variant>
        <vt:lpwstr/>
      </vt:variant>
      <vt:variant>
        <vt:i4>3670129</vt:i4>
      </vt:variant>
      <vt:variant>
        <vt:i4>36</vt:i4>
      </vt:variant>
      <vt:variant>
        <vt:i4>0</vt:i4>
      </vt:variant>
      <vt:variant>
        <vt:i4>5</vt:i4>
      </vt:variant>
      <vt:variant>
        <vt:lpwstr>http://www.nevo.co.il/case/17938180</vt:lpwstr>
      </vt:variant>
      <vt:variant>
        <vt:lpwstr/>
      </vt:variant>
      <vt:variant>
        <vt:i4>3145847</vt:i4>
      </vt:variant>
      <vt:variant>
        <vt:i4>33</vt:i4>
      </vt:variant>
      <vt:variant>
        <vt:i4>0</vt:i4>
      </vt:variant>
      <vt:variant>
        <vt:i4>5</vt:i4>
      </vt:variant>
      <vt:variant>
        <vt:lpwstr>http://www.nevo.co.il/case/17941097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5251</vt:lpwstr>
  </property>
  <property fmtid="{D5CDD505-2E9C-101B-9397-08002B2CF9AE}" pid="6" name="PROCYEAR">
    <vt:lpwstr>02</vt:lpwstr>
  </property>
  <property fmtid="{D5CDD505-2E9C-101B-9397-08002B2CF9AE}" pid="7" name="APPELLANT">
    <vt:lpwstr>מדינת ישראל;משטרת ישראל;</vt:lpwstr>
  </property>
  <property fmtid="{D5CDD505-2E9C-101B-9397-08002B2CF9AE}" pid="8" name="APPELLEE">
    <vt:lpwstr>טלמור חיים</vt:lpwstr>
  </property>
  <property fmtid="{D5CDD505-2E9C-101B-9397-08002B2CF9AE}" pid="9" name="LAWYER">
    <vt:lpwstr>דקלה סרן</vt:lpwstr>
  </property>
  <property fmtid="{D5CDD505-2E9C-101B-9397-08002B2CF9AE}" pid="10" name="JUDGE">
    <vt:lpwstr>ד. מגד</vt:lpwstr>
  </property>
  <property fmtid="{D5CDD505-2E9C-101B-9397-08002B2CF9AE}" pid="11" name="CITY">
    <vt:lpwstr>ב"ש</vt:lpwstr>
  </property>
  <property fmtid="{D5CDD505-2E9C-101B-9397-08002B2CF9AE}" pid="12" name="DATE">
    <vt:lpwstr>20050417</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17941097;17938180;355191;6232497;6229449;6030055</vt:lpwstr>
  </property>
  <property fmtid="{D5CDD505-2E9C-101B-9397-08002B2CF9AE}" pid="32" name="LAWLISTTMP1">
    <vt:lpwstr>70301/348.c:2;348.f</vt:lpwstr>
  </property>
  <property fmtid="{D5CDD505-2E9C-101B-9397-08002B2CF9AE}" pid="33" name="LAWLISTTMP2">
    <vt:lpwstr>98569/054a.b:2</vt:lpwstr>
  </property>
</Properties>
</file>