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6C4A1" w14:textId="77777777" w:rsidR="0074023F" w:rsidRDefault="0074023F">
      <w:pPr>
        <w:spacing w:after="80" w:line="320" w:lineRule="exact"/>
        <w:ind w:firstLine="283"/>
        <w:jc w:val="center"/>
        <w:rPr>
          <w:rFonts w:hint="cs"/>
          <w:sz w:val="22"/>
          <w:szCs w:val="24"/>
          <w:rtl/>
        </w:rPr>
      </w:pPr>
    </w:p>
    <w:p w14:paraId="15022617" w14:textId="77777777" w:rsidR="0074023F" w:rsidRDefault="0074023F">
      <w:pPr>
        <w:spacing w:after="80" w:line="320" w:lineRule="exact"/>
        <w:ind w:firstLine="283"/>
        <w:jc w:val="center"/>
        <w:rPr>
          <w:rFonts w:hint="cs"/>
          <w:sz w:val="22"/>
          <w:szCs w:val="24"/>
          <w:rtl/>
        </w:rPr>
      </w:pPr>
    </w:p>
    <w:p w14:paraId="0E7BEC6B" w14:textId="77777777" w:rsidR="0074023F" w:rsidRDefault="0074023F">
      <w:pPr>
        <w:spacing w:after="80" w:line="320" w:lineRule="exact"/>
        <w:ind w:firstLine="283"/>
        <w:jc w:val="center"/>
        <w:rPr>
          <w:sz w:val="22"/>
          <w:szCs w:val="24"/>
          <w:rtl/>
        </w:rPr>
      </w:pPr>
      <w:r>
        <w:rPr>
          <w:rFonts w:hint="cs"/>
          <w:b/>
          <w:bCs/>
          <w:sz w:val="22"/>
          <w:szCs w:val="24"/>
          <w:rtl/>
        </w:rPr>
        <w:t>בתי המשפט</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394"/>
        <w:gridCol w:w="992"/>
        <w:gridCol w:w="2235"/>
      </w:tblGrid>
      <w:tr w:rsidR="00351ED1" w14:paraId="232362B0" w14:textId="77777777">
        <w:trPr>
          <w:cantSplit/>
          <w:trHeight w:val="195"/>
        </w:trPr>
        <w:tc>
          <w:tcPr>
            <w:tcW w:w="5302" w:type="dxa"/>
            <w:gridSpan w:val="2"/>
            <w:vMerge w:val="restart"/>
            <w:tcBorders>
              <w:top w:val="single" w:sz="4" w:space="0" w:color="auto"/>
              <w:left w:val="single" w:sz="4" w:space="0" w:color="auto"/>
              <w:bottom w:val="single" w:sz="4" w:space="0" w:color="auto"/>
              <w:right w:val="single" w:sz="4" w:space="0" w:color="auto"/>
            </w:tcBorders>
          </w:tcPr>
          <w:p w14:paraId="432970DB" w14:textId="77777777" w:rsidR="00351ED1" w:rsidRDefault="00351ED1">
            <w:pPr>
              <w:spacing w:after="80" w:line="320" w:lineRule="exact"/>
              <w:ind w:firstLine="283"/>
              <w:rPr>
                <w:b/>
                <w:bCs/>
                <w:sz w:val="22"/>
                <w:szCs w:val="24"/>
              </w:rPr>
            </w:pPr>
            <w:r>
              <w:rPr>
                <w:rFonts w:hint="cs"/>
                <w:b/>
                <w:bCs/>
                <w:sz w:val="22"/>
                <w:szCs w:val="24"/>
                <w:rtl/>
              </w:rPr>
              <w:t>בית משפט השלום רמלה</w:t>
            </w:r>
          </w:p>
        </w:tc>
        <w:tc>
          <w:tcPr>
            <w:tcW w:w="3227" w:type="dxa"/>
            <w:gridSpan w:val="2"/>
            <w:tcBorders>
              <w:top w:val="single" w:sz="4" w:space="0" w:color="auto"/>
              <w:left w:val="single" w:sz="4" w:space="0" w:color="auto"/>
              <w:bottom w:val="single" w:sz="4" w:space="0" w:color="auto"/>
              <w:right w:val="single" w:sz="4" w:space="0" w:color="auto"/>
            </w:tcBorders>
          </w:tcPr>
          <w:p w14:paraId="27DB4CF0" w14:textId="77777777" w:rsidR="00351ED1" w:rsidRDefault="00351ED1">
            <w:pPr>
              <w:spacing w:after="80" w:line="320" w:lineRule="exact"/>
              <w:ind w:firstLine="283"/>
              <w:rPr>
                <w:b/>
                <w:bCs/>
                <w:sz w:val="22"/>
                <w:szCs w:val="24"/>
              </w:rPr>
            </w:pPr>
            <w:r>
              <w:rPr>
                <w:rFonts w:hint="cs"/>
                <w:b/>
                <w:bCs/>
                <w:sz w:val="22"/>
                <w:szCs w:val="24"/>
                <w:rtl/>
              </w:rPr>
              <w:t>פ  002061/02</w:t>
            </w:r>
          </w:p>
        </w:tc>
      </w:tr>
      <w:tr w:rsidR="00351ED1" w14:paraId="1CAD98C2"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1F8DC910" w14:textId="77777777" w:rsidR="00351ED1" w:rsidRDefault="00351ED1">
            <w:pPr>
              <w:spacing w:after="80" w:line="320" w:lineRule="exact"/>
              <w:ind w:firstLine="283"/>
              <w:rPr>
                <w:b/>
                <w:bCs/>
                <w:sz w:val="22"/>
                <w:szCs w:val="24"/>
              </w:rPr>
            </w:pPr>
          </w:p>
        </w:tc>
        <w:tc>
          <w:tcPr>
            <w:tcW w:w="3227" w:type="dxa"/>
            <w:gridSpan w:val="2"/>
            <w:tcBorders>
              <w:top w:val="single" w:sz="4" w:space="0" w:color="auto"/>
              <w:left w:val="single" w:sz="4" w:space="0" w:color="auto"/>
              <w:bottom w:val="single" w:sz="4" w:space="0" w:color="auto"/>
              <w:right w:val="single" w:sz="4" w:space="0" w:color="auto"/>
            </w:tcBorders>
          </w:tcPr>
          <w:p w14:paraId="1D673D76" w14:textId="77777777" w:rsidR="00351ED1" w:rsidRDefault="00CB0B55">
            <w:pPr>
              <w:spacing w:after="80" w:line="320" w:lineRule="exact"/>
              <w:ind w:firstLine="283"/>
              <w:rPr>
                <w:b/>
                <w:bCs/>
                <w:sz w:val="22"/>
                <w:szCs w:val="24"/>
              </w:rPr>
            </w:pPr>
            <w:r>
              <w:rPr>
                <w:sz w:val="22"/>
                <w:szCs w:val="24"/>
                <w:rtl/>
              </w:rPr>
              <w:t xml:space="preserve"> </w:t>
            </w:r>
          </w:p>
        </w:tc>
      </w:tr>
      <w:tr w:rsidR="00351ED1" w14:paraId="09AB5DBB"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4ACA097E" w14:textId="77777777" w:rsidR="00351ED1" w:rsidRDefault="00351ED1">
            <w:pPr>
              <w:spacing w:after="80" w:line="320" w:lineRule="exact"/>
              <w:ind w:firstLine="283"/>
              <w:rPr>
                <w:b/>
                <w:bCs/>
                <w:sz w:val="22"/>
                <w:szCs w:val="24"/>
              </w:rPr>
            </w:pPr>
            <w:bookmarkStart w:id="0" w:name="LastJudge"/>
            <w:r>
              <w:rPr>
                <w:rFonts w:hint="cs"/>
                <w:b/>
                <w:bCs/>
                <w:sz w:val="22"/>
                <w:szCs w:val="24"/>
                <w:rtl/>
              </w:rPr>
              <w:t>לפני:</w:t>
            </w:r>
          </w:p>
        </w:tc>
        <w:tc>
          <w:tcPr>
            <w:tcW w:w="4394" w:type="dxa"/>
            <w:tcBorders>
              <w:top w:val="single" w:sz="4" w:space="0" w:color="auto"/>
              <w:left w:val="single" w:sz="4" w:space="0" w:color="auto"/>
              <w:bottom w:val="single" w:sz="4" w:space="0" w:color="auto"/>
              <w:right w:val="single" w:sz="4" w:space="0" w:color="auto"/>
            </w:tcBorders>
          </w:tcPr>
          <w:p w14:paraId="43DAF765" w14:textId="77777777" w:rsidR="00351ED1" w:rsidRDefault="00351ED1">
            <w:pPr>
              <w:spacing w:after="80" w:line="320" w:lineRule="exact"/>
              <w:ind w:firstLine="283"/>
              <w:rPr>
                <w:b/>
                <w:bCs/>
                <w:sz w:val="22"/>
                <w:szCs w:val="24"/>
              </w:rPr>
            </w:pPr>
            <w:r>
              <w:rPr>
                <w:rFonts w:hint="cs"/>
                <w:b/>
                <w:bCs/>
                <w:sz w:val="22"/>
                <w:szCs w:val="24"/>
                <w:rtl/>
              </w:rPr>
              <w:t>כב' השופט שמואל ברוך, סגן נשיא</w:t>
            </w:r>
          </w:p>
        </w:tc>
        <w:tc>
          <w:tcPr>
            <w:tcW w:w="99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4251C89D" w14:textId="77777777" w:rsidR="00351ED1" w:rsidRDefault="00351ED1">
            <w:pPr>
              <w:spacing w:after="80" w:line="320" w:lineRule="exact"/>
              <w:ind w:firstLine="283"/>
              <w:rPr>
                <w:b/>
                <w:bCs/>
                <w:sz w:val="22"/>
                <w:szCs w:val="24"/>
              </w:rPr>
            </w:pPr>
            <w:r>
              <w:rPr>
                <w:rFonts w:hint="cs"/>
                <w:b/>
                <w:bCs/>
                <w:sz w:val="22"/>
                <w:szCs w:val="24"/>
                <w:rtl/>
              </w:rPr>
              <w:t>תאריך:</w:t>
            </w:r>
          </w:p>
        </w:tc>
        <w:tc>
          <w:tcPr>
            <w:tcW w:w="2235" w:type="dxa"/>
            <w:tcBorders>
              <w:top w:val="single" w:sz="4" w:space="0" w:color="auto"/>
              <w:left w:val="single" w:sz="4" w:space="0" w:color="auto"/>
              <w:bottom w:val="single" w:sz="4" w:space="0" w:color="auto"/>
              <w:right w:val="single" w:sz="4" w:space="0" w:color="auto"/>
            </w:tcBorders>
          </w:tcPr>
          <w:p w14:paraId="568A1097" w14:textId="77777777" w:rsidR="00351ED1" w:rsidRDefault="00351ED1">
            <w:pPr>
              <w:spacing w:after="80" w:line="320" w:lineRule="exact"/>
              <w:ind w:firstLine="283"/>
              <w:rPr>
                <w:b/>
                <w:bCs/>
                <w:sz w:val="22"/>
                <w:szCs w:val="24"/>
              </w:rPr>
            </w:pPr>
            <w:r>
              <w:rPr>
                <w:rFonts w:hint="cs"/>
                <w:b/>
                <w:bCs/>
                <w:sz w:val="22"/>
                <w:szCs w:val="24"/>
                <w:rtl/>
              </w:rPr>
              <w:t>14/04/2003</w:t>
            </w:r>
          </w:p>
        </w:tc>
      </w:tr>
    </w:tbl>
    <w:bookmarkEnd w:id="0"/>
    <w:p w14:paraId="0E377F7E" w14:textId="77777777" w:rsidR="0074023F" w:rsidRDefault="00CB0B55">
      <w:pPr>
        <w:spacing w:after="80" w:line="320" w:lineRule="exact"/>
        <w:ind w:firstLine="283"/>
        <w:rPr>
          <w:rFonts w:hint="cs"/>
          <w:b/>
          <w:bCs/>
          <w:sz w:val="22"/>
          <w:szCs w:val="24"/>
          <w:rtl/>
        </w:rPr>
      </w:pPr>
      <w:r>
        <w:rPr>
          <w:rFonts w:hint="cs"/>
          <w:szCs w:val="24"/>
          <w:rtl/>
        </w:rPr>
        <w:t xml:space="preserve"> </w:t>
      </w:r>
      <w:r>
        <w:rPr>
          <w:rFonts w:hint="cs"/>
          <w:b/>
          <w:bCs/>
          <w:sz w:val="22"/>
          <w:szCs w:val="24"/>
          <w:rtl/>
        </w:rPr>
        <w:t xml:space="preserve"> </w:t>
      </w: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351ED1" w14:paraId="683D4D05" w14:textId="77777777">
        <w:tc>
          <w:tcPr>
            <w:tcW w:w="1362" w:type="dxa"/>
          </w:tcPr>
          <w:p w14:paraId="0222ACDD" w14:textId="77777777" w:rsidR="00351ED1" w:rsidRDefault="00351ED1">
            <w:pPr>
              <w:spacing w:after="80" w:line="320" w:lineRule="exact"/>
              <w:ind w:firstLine="283"/>
              <w:rPr>
                <w:b/>
                <w:bCs/>
                <w:sz w:val="22"/>
                <w:szCs w:val="24"/>
              </w:rPr>
            </w:pPr>
            <w:bookmarkStart w:id="1" w:name="FirstAppellant"/>
            <w:r>
              <w:rPr>
                <w:rFonts w:hint="cs"/>
                <w:b/>
                <w:bCs/>
                <w:sz w:val="22"/>
                <w:szCs w:val="24"/>
                <w:rtl/>
              </w:rPr>
              <w:t>בעניין:</w:t>
            </w:r>
          </w:p>
        </w:tc>
        <w:tc>
          <w:tcPr>
            <w:tcW w:w="4820" w:type="dxa"/>
            <w:gridSpan w:val="2"/>
          </w:tcPr>
          <w:p w14:paraId="074E5495" w14:textId="77777777" w:rsidR="00351ED1" w:rsidRDefault="00351ED1">
            <w:pPr>
              <w:spacing w:after="80" w:line="320" w:lineRule="exact"/>
              <w:ind w:firstLine="283"/>
              <w:rPr>
                <w:b/>
                <w:bCs/>
                <w:sz w:val="22"/>
                <w:szCs w:val="24"/>
              </w:rPr>
            </w:pPr>
            <w:r>
              <w:rPr>
                <w:rFonts w:hint="cs"/>
                <w:b/>
                <w:bCs/>
                <w:sz w:val="22"/>
                <w:szCs w:val="24"/>
                <w:rtl/>
              </w:rPr>
              <w:t>מדינת ישראל</w:t>
            </w:r>
          </w:p>
        </w:tc>
        <w:tc>
          <w:tcPr>
            <w:tcW w:w="2409" w:type="dxa"/>
          </w:tcPr>
          <w:p w14:paraId="630F97BE" w14:textId="77777777" w:rsidR="00351ED1" w:rsidRDefault="00CB0B55">
            <w:pPr>
              <w:spacing w:after="80" w:line="320" w:lineRule="exact"/>
              <w:ind w:firstLine="283"/>
              <w:rPr>
                <w:b/>
                <w:bCs/>
                <w:sz w:val="22"/>
                <w:szCs w:val="24"/>
              </w:rPr>
            </w:pPr>
            <w:r>
              <w:rPr>
                <w:sz w:val="22"/>
                <w:szCs w:val="24"/>
                <w:rtl/>
              </w:rPr>
              <w:t xml:space="preserve"> </w:t>
            </w:r>
          </w:p>
        </w:tc>
      </w:tr>
      <w:tr w:rsidR="00351ED1" w14:paraId="6F87568D" w14:textId="77777777">
        <w:tc>
          <w:tcPr>
            <w:tcW w:w="1362" w:type="dxa"/>
          </w:tcPr>
          <w:p w14:paraId="12C0B726" w14:textId="77777777" w:rsidR="00351ED1" w:rsidRDefault="00CB0B55">
            <w:pPr>
              <w:spacing w:after="80" w:line="320" w:lineRule="exact"/>
              <w:ind w:firstLine="283"/>
              <w:rPr>
                <w:b/>
                <w:bCs/>
                <w:sz w:val="22"/>
                <w:szCs w:val="24"/>
              </w:rPr>
            </w:pPr>
            <w:bookmarkStart w:id="2" w:name="FirstLawyer"/>
            <w:bookmarkEnd w:id="1"/>
            <w:r>
              <w:rPr>
                <w:sz w:val="22"/>
                <w:szCs w:val="24"/>
                <w:rtl/>
              </w:rPr>
              <w:t xml:space="preserve"> </w:t>
            </w:r>
          </w:p>
        </w:tc>
        <w:tc>
          <w:tcPr>
            <w:tcW w:w="1757" w:type="dxa"/>
          </w:tcPr>
          <w:p w14:paraId="063EE9BA" w14:textId="77777777" w:rsidR="00351ED1" w:rsidRDefault="00351ED1">
            <w:pPr>
              <w:spacing w:after="80" w:line="320" w:lineRule="exact"/>
              <w:ind w:firstLine="283"/>
              <w:rPr>
                <w:b/>
                <w:bCs/>
                <w:sz w:val="22"/>
                <w:szCs w:val="24"/>
              </w:rPr>
            </w:pPr>
            <w:r>
              <w:rPr>
                <w:rFonts w:hint="cs"/>
                <w:b/>
                <w:bCs/>
                <w:sz w:val="22"/>
                <w:szCs w:val="24"/>
                <w:rtl/>
              </w:rPr>
              <w:t>ע"י ב"כ עו"ד</w:t>
            </w:r>
          </w:p>
        </w:tc>
        <w:tc>
          <w:tcPr>
            <w:tcW w:w="3063" w:type="dxa"/>
          </w:tcPr>
          <w:p w14:paraId="36992B89" w14:textId="77777777" w:rsidR="00351ED1" w:rsidRDefault="00351ED1">
            <w:pPr>
              <w:spacing w:after="80" w:line="320" w:lineRule="exact"/>
              <w:ind w:firstLine="283"/>
              <w:rPr>
                <w:b/>
                <w:bCs/>
                <w:sz w:val="22"/>
                <w:szCs w:val="24"/>
              </w:rPr>
            </w:pPr>
            <w:r>
              <w:rPr>
                <w:rFonts w:hint="cs"/>
                <w:b/>
                <w:bCs/>
                <w:sz w:val="22"/>
                <w:szCs w:val="24"/>
                <w:rtl/>
              </w:rPr>
              <w:t>אמיר כהן</w:t>
            </w:r>
            <w:bookmarkStart w:id="3" w:name="בא_כוח_א"/>
            <w:bookmarkEnd w:id="3"/>
          </w:p>
        </w:tc>
        <w:tc>
          <w:tcPr>
            <w:tcW w:w="2409" w:type="dxa"/>
          </w:tcPr>
          <w:p w14:paraId="2D27EBA1" w14:textId="77777777" w:rsidR="00351ED1" w:rsidRDefault="00351ED1">
            <w:pPr>
              <w:pStyle w:val="Heading5"/>
              <w:spacing w:after="80" w:line="320" w:lineRule="exact"/>
              <w:ind w:firstLine="283"/>
              <w:rPr>
                <w:sz w:val="22"/>
                <w:szCs w:val="24"/>
                <w:u w:val="none"/>
              </w:rPr>
            </w:pPr>
            <w:r>
              <w:rPr>
                <w:rFonts w:hint="cs"/>
                <w:sz w:val="22"/>
                <w:szCs w:val="24"/>
                <w:u w:val="none"/>
                <w:rtl/>
              </w:rPr>
              <w:t>המאשימה</w:t>
            </w:r>
          </w:p>
        </w:tc>
      </w:tr>
      <w:bookmarkEnd w:id="2"/>
      <w:tr w:rsidR="00351ED1" w14:paraId="504C5183" w14:textId="77777777">
        <w:tc>
          <w:tcPr>
            <w:tcW w:w="1362" w:type="dxa"/>
          </w:tcPr>
          <w:p w14:paraId="361061F9" w14:textId="77777777" w:rsidR="00351ED1" w:rsidRDefault="00CB0B55">
            <w:pPr>
              <w:spacing w:after="80" w:line="320" w:lineRule="exact"/>
              <w:ind w:firstLine="283"/>
              <w:rPr>
                <w:b/>
                <w:bCs/>
                <w:sz w:val="22"/>
                <w:szCs w:val="24"/>
              </w:rPr>
            </w:pPr>
            <w:r>
              <w:rPr>
                <w:sz w:val="22"/>
                <w:szCs w:val="24"/>
                <w:rtl/>
              </w:rPr>
              <w:t xml:space="preserve"> </w:t>
            </w:r>
          </w:p>
        </w:tc>
        <w:tc>
          <w:tcPr>
            <w:tcW w:w="4820" w:type="dxa"/>
            <w:gridSpan w:val="2"/>
          </w:tcPr>
          <w:p w14:paraId="2D8B65F3" w14:textId="77777777" w:rsidR="00351ED1" w:rsidRDefault="00351ED1">
            <w:pPr>
              <w:spacing w:after="80" w:line="320" w:lineRule="exact"/>
              <w:ind w:firstLine="283"/>
              <w:rPr>
                <w:b/>
                <w:bCs/>
                <w:sz w:val="22"/>
                <w:szCs w:val="24"/>
              </w:rPr>
            </w:pPr>
            <w:r>
              <w:rPr>
                <w:rFonts w:hint="cs"/>
                <w:b/>
                <w:bCs/>
                <w:sz w:val="22"/>
                <w:szCs w:val="24"/>
                <w:rtl/>
              </w:rPr>
              <w:t>נ  ג  ד</w:t>
            </w:r>
          </w:p>
        </w:tc>
        <w:tc>
          <w:tcPr>
            <w:tcW w:w="2409" w:type="dxa"/>
          </w:tcPr>
          <w:p w14:paraId="57D2E29C" w14:textId="77777777" w:rsidR="00351ED1" w:rsidRDefault="00CB0B55">
            <w:pPr>
              <w:spacing w:after="80" w:line="320" w:lineRule="exact"/>
              <w:ind w:firstLine="283"/>
              <w:rPr>
                <w:b/>
                <w:bCs/>
                <w:sz w:val="22"/>
                <w:szCs w:val="24"/>
              </w:rPr>
            </w:pPr>
            <w:r>
              <w:rPr>
                <w:sz w:val="22"/>
                <w:szCs w:val="24"/>
                <w:rtl/>
              </w:rPr>
              <w:t xml:space="preserve"> </w:t>
            </w:r>
          </w:p>
        </w:tc>
      </w:tr>
      <w:tr w:rsidR="00351ED1" w14:paraId="75645BE2" w14:textId="77777777">
        <w:tc>
          <w:tcPr>
            <w:tcW w:w="1362" w:type="dxa"/>
          </w:tcPr>
          <w:p w14:paraId="1ADFFC70" w14:textId="77777777" w:rsidR="00351ED1" w:rsidRDefault="00CB0B55">
            <w:pPr>
              <w:spacing w:after="80" w:line="320" w:lineRule="exact"/>
              <w:ind w:firstLine="283"/>
              <w:rPr>
                <w:b/>
                <w:bCs/>
                <w:sz w:val="22"/>
                <w:szCs w:val="24"/>
              </w:rPr>
            </w:pPr>
            <w:bookmarkStart w:id="4" w:name="שם_ב" w:colFirst="0" w:colLast="0"/>
            <w:r>
              <w:rPr>
                <w:sz w:val="22"/>
                <w:szCs w:val="24"/>
                <w:rtl/>
              </w:rPr>
              <w:t xml:space="preserve"> </w:t>
            </w:r>
          </w:p>
        </w:tc>
        <w:tc>
          <w:tcPr>
            <w:tcW w:w="4820" w:type="dxa"/>
            <w:gridSpan w:val="2"/>
          </w:tcPr>
          <w:p w14:paraId="1DE4131B" w14:textId="77777777" w:rsidR="00351ED1" w:rsidRDefault="00351ED1">
            <w:pPr>
              <w:spacing w:after="80" w:line="320" w:lineRule="exact"/>
              <w:ind w:firstLine="283"/>
              <w:rPr>
                <w:b/>
                <w:bCs/>
                <w:sz w:val="22"/>
                <w:szCs w:val="24"/>
              </w:rPr>
            </w:pPr>
            <w:r>
              <w:rPr>
                <w:rFonts w:hint="cs"/>
                <w:b/>
                <w:bCs/>
                <w:sz w:val="22"/>
                <w:szCs w:val="24"/>
                <w:rtl/>
              </w:rPr>
              <w:t xml:space="preserve">אשכנזי אריה  </w:t>
            </w:r>
          </w:p>
        </w:tc>
        <w:tc>
          <w:tcPr>
            <w:tcW w:w="2409" w:type="dxa"/>
          </w:tcPr>
          <w:p w14:paraId="51BDB20C" w14:textId="77777777" w:rsidR="00351ED1" w:rsidRDefault="00CB0B55">
            <w:pPr>
              <w:spacing w:after="80" w:line="320" w:lineRule="exact"/>
              <w:ind w:firstLine="283"/>
              <w:rPr>
                <w:b/>
                <w:bCs/>
                <w:sz w:val="22"/>
                <w:szCs w:val="24"/>
              </w:rPr>
            </w:pPr>
            <w:r>
              <w:rPr>
                <w:sz w:val="22"/>
                <w:szCs w:val="24"/>
                <w:rtl/>
              </w:rPr>
              <w:t xml:space="preserve"> </w:t>
            </w:r>
          </w:p>
        </w:tc>
      </w:tr>
      <w:bookmarkEnd w:id="4"/>
      <w:tr w:rsidR="00351ED1" w14:paraId="50B30E08" w14:textId="77777777">
        <w:tc>
          <w:tcPr>
            <w:tcW w:w="1362" w:type="dxa"/>
          </w:tcPr>
          <w:p w14:paraId="2625F207" w14:textId="77777777" w:rsidR="00351ED1" w:rsidRDefault="00CB0B55">
            <w:pPr>
              <w:spacing w:after="80" w:line="320" w:lineRule="exact"/>
              <w:ind w:firstLine="283"/>
              <w:rPr>
                <w:b/>
                <w:bCs/>
                <w:sz w:val="22"/>
                <w:szCs w:val="24"/>
              </w:rPr>
            </w:pPr>
            <w:r>
              <w:rPr>
                <w:sz w:val="22"/>
                <w:szCs w:val="24"/>
                <w:rtl/>
              </w:rPr>
              <w:t xml:space="preserve"> </w:t>
            </w:r>
          </w:p>
        </w:tc>
        <w:tc>
          <w:tcPr>
            <w:tcW w:w="1757" w:type="dxa"/>
          </w:tcPr>
          <w:p w14:paraId="18C2B303" w14:textId="77777777" w:rsidR="00351ED1" w:rsidRDefault="00351ED1">
            <w:pPr>
              <w:spacing w:after="80" w:line="320" w:lineRule="exact"/>
              <w:ind w:firstLine="283"/>
              <w:rPr>
                <w:b/>
                <w:bCs/>
                <w:sz w:val="22"/>
                <w:szCs w:val="24"/>
              </w:rPr>
            </w:pPr>
            <w:r>
              <w:rPr>
                <w:rFonts w:hint="cs"/>
                <w:b/>
                <w:bCs/>
                <w:sz w:val="22"/>
                <w:szCs w:val="24"/>
                <w:rtl/>
              </w:rPr>
              <w:t>ע"י ב"כ עו"ד</w:t>
            </w:r>
          </w:p>
        </w:tc>
        <w:tc>
          <w:tcPr>
            <w:tcW w:w="3063" w:type="dxa"/>
          </w:tcPr>
          <w:p w14:paraId="005A43F9" w14:textId="77777777" w:rsidR="00351ED1" w:rsidRDefault="00351ED1">
            <w:pPr>
              <w:spacing w:after="80" w:line="320" w:lineRule="exact"/>
              <w:ind w:firstLine="283"/>
              <w:rPr>
                <w:b/>
                <w:bCs/>
                <w:sz w:val="22"/>
                <w:szCs w:val="24"/>
              </w:rPr>
            </w:pPr>
            <w:r>
              <w:rPr>
                <w:rFonts w:hint="cs"/>
                <w:b/>
                <w:bCs/>
                <w:sz w:val="22"/>
                <w:szCs w:val="24"/>
                <w:rtl/>
              </w:rPr>
              <w:t>פרידמן</w:t>
            </w:r>
            <w:bookmarkStart w:id="5" w:name="בא_כוח_ב"/>
            <w:bookmarkEnd w:id="5"/>
          </w:p>
        </w:tc>
        <w:tc>
          <w:tcPr>
            <w:tcW w:w="2409" w:type="dxa"/>
          </w:tcPr>
          <w:p w14:paraId="21EE5EAE" w14:textId="77777777" w:rsidR="00351ED1" w:rsidRDefault="00351ED1">
            <w:pPr>
              <w:spacing w:after="80" w:line="320" w:lineRule="exact"/>
              <w:ind w:firstLine="283"/>
              <w:rPr>
                <w:b/>
                <w:bCs/>
                <w:sz w:val="22"/>
                <w:szCs w:val="24"/>
              </w:rPr>
            </w:pPr>
            <w:r>
              <w:rPr>
                <w:rFonts w:hint="cs"/>
                <w:b/>
                <w:bCs/>
                <w:sz w:val="22"/>
                <w:szCs w:val="24"/>
                <w:rtl/>
              </w:rPr>
              <w:t>הנאשם</w:t>
            </w:r>
          </w:p>
        </w:tc>
      </w:tr>
    </w:tbl>
    <w:p w14:paraId="002E2273" w14:textId="77777777" w:rsidR="00E2320B" w:rsidRDefault="00E2320B">
      <w:pPr>
        <w:spacing w:after="80" w:line="320" w:lineRule="exact"/>
        <w:ind w:firstLine="283"/>
        <w:rPr>
          <w:sz w:val="22"/>
          <w:szCs w:val="24"/>
          <w:rtl/>
        </w:rPr>
      </w:pPr>
      <w:bookmarkStart w:id="6" w:name="צד_ג"/>
      <w:bookmarkStart w:id="7" w:name="LawTable"/>
      <w:bookmarkEnd w:id="7"/>
    </w:p>
    <w:p w14:paraId="04EC4B94" w14:textId="77777777" w:rsidR="00E2320B" w:rsidRPr="00E2320B" w:rsidRDefault="00E2320B" w:rsidP="00E2320B">
      <w:pPr>
        <w:spacing w:after="120" w:line="240" w:lineRule="exact"/>
        <w:ind w:left="283" w:hanging="283"/>
        <w:rPr>
          <w:rFonts w:ascii="FrankRuehl" w:hAnsi="FrankRuehl" w:cs="FrankRuehl"/>
          <w:szCs w:val="24"/>
          <w:rtl/>
        </w:rPr>
      </w:pPr>
    </w:p>
    <w:p w14:paraId="781C3046" w14:textId="77777777" w:rsidR="00E2320B" w:rsidRPr="00E2320B" w:rsidRDefault="00E2320B" w:rsidP="00E2320B">
      <w:pPr>
        <w:spacing w:after="120" w:line="240" w:lineRule="exact"/>
        <w:ind w:left="283" w:hanging="283"/>
        <w:rPr>
          <w:rFonts w:ascii="FrankRuehl" w:hAnsi="FrankRuehl" w:cs="FrankRuehl"/>
          <w:szCs w:val="24"/>
          <w:rtl/>
        </w:rPr>
      </w:pPr>
      <w:r w:rsidRPr="00E2320B">
        <w:rPr>
          <w:rFonts w:ascii="FrankRuehl" w:hAnsi="FrankRuehl" w:cs="FrankRuehl"/>
          <w:szCs w:val="24"/>
          <w:rtl/>
        </w:rPr>
        <w:t xml:space="preserve">חקיקה שאוזכרה: </w:t>
      </w:r>
    </w:p>
    <w:p w14:paraId="6C74EEE4" w14:textId="77777777" w:rsidR="00E2320B" w:rsidRPr="00E2320B" w:rsidRDefault="00E2320B" w:rsidP="00E2320B">
      <w:pPr>
        <w:spacing w:after="120" w:line="240" w:lineRule="exact"/>
        <w:ind w:left="283" w:hanging="283"/>
        <w:rPr>
          <w:rFonts w:ascii="FrankRuehl" w:hAnsi="FrankRuehl" w:cs="FrankRuehl"/>
          <w:szCs w:val="24"/>
          <w:rtl/>
        </w:rPr>
      </w:pPr>
      <w:hyperlink r:id="rId6" w:history="1">
        <w:r w:rsidRPr="00E2320B">
          <w:rPr>
            <w:rFonts w:ascii="FrankRuehl" w:hAnsi="FrankRuehl" w:cs="FrankRuehl"/>
            <w:color w:val="0000FF"/>
            <w:szCs w:val="24"/>
            <w:u w:val="single"/>
            <w:rtl/>
          </w:rPr>
          <w:t>חוק למניעת הטרדה מינית, תשנ"ח-1998</w:t>
        </w:r>
      </w:hyperlink>
      <w:r w:rsidRPr="00E2320B">
        <w:rPr>
          <w:rFonts w:ascii="FrankRuehl" w:hAnsi="FrankRuehl" w:cs="FrankRuehl"/>
          <w:szCs w:val="24"/>
          <w:rtl/>
        </w:rPr>
        <w:t xml:space="preserve">: סע'  </w:t>
      </w:r>
      <w:hyperlink r:id="rId7" w:history="1">
        <w:r w:rsidRPr="00E2320B">
          <w:rPr>
            <w:rFonts w:ascii="FrankRuehl" w:hAnsi="FrankRuehl" w:cs="FrankRuehl"/>
            <w:color w:val="0000FF"/>
            <w:szCs w:val="24"/>
            <w:u w:val="single"/>
            <w:rtl/>
          </w:rPr>
          <w:t>3(א)(6)(ג)</w:t>
        </w:r>
      </w:hyperlink>
      <w:r w:rsidRPr="00E2320B">
        <w:rPr>
          <w:rFonts w:ascii="FrankRuehl" w:hAnsi="FrankRuehl" w:cs="FrankRuehl"/>
          <w:szCs w:val="24"/>
          <w:rtl/>
        </w:rPr>
        <w:t xml:space="preserve">, </w:t>
      </w:r>
      <w:hyperlink r:id="rId8" w:history="1">
        <w:r w:rsidRPr="00E2320B">
          <w:rPr>
            <w:rFonts w:ascii="FrankRuehl" w:hAnsi="FrankRuehl" w:cs="FrankRuehl"/>
            <w:color w:val="0000FF"/>
            <w:szCs w:val="24"/>
            <w:u w:val="single"/>
            <w:rtl/>
          </w:rPr>
          <w:t>5(א)</w:t>
        </w:r>
      </w:hyperlink>
    </w:p>
    <w:p w14:paraId="5CFD8575" w14:textId="77777777" w:rsidR="00E2320B" w:rsidRPr="00E2320B" w:rsidRDefault="00E2320B" w:rsidP="00E2320B">
      <w:pPr>
        <w:spacing w:after="120" w:line="240" w:lineRule="exact"/>
        <w:ind w:left="283" w:hanging="283"/>
        <w:rPr>
          <w:rFonts w:ascii="FrankRuehl" w:hAnsi="FrankRuehl" w:cs="FrankRuehl"/>
          <w:szCs w:val="24"/>
          <w:rtl/>
        </w:rPr>
      </w:pPr>
      <w:hyperlink r:id="rId9" w:history="1">
        <w:r w:rsidRPr="00E2320B">
          <w:rPr>
            <w:rFonts w:ascii="FrankRuehl" w:hAnsi="FrankRuehl" w:cs="FrankRuehl"/>
            <w:color w:val="0000FF"/>
            <w:szCs w:val="24"/>
            <w:u w:val="single"/>
            <w:rtl/>
          </w:rPr>
          <w:t>חוק העונשין, תשל"ז-1977</w:t>
        </w:r>
      </w:hyperlink>
      <w:r w:rsidRPr="00E2320B">
        <w:rPr>
          <w:rFonts w:ascii="FrankRuehl" w:hAnsi="FrankRuehl" w:cs="FrankRuehl"/>
          <w:szCs w:val="24"/>
          <w:rtl/>
        </w:rPr>
        <w:t xml:space="preserve">: סע'  </w:t>
      </w:r>
      <w:hyperlink r:id="rId10" w:history="1">
        <w:r w:rsidRPr="00E2320B">
          <w:rPr>
            <w:rFonts w:ascii="FrankRuehl" w:hAnsi="FrankRuehl" w:cs="FrankRuehl"/>
            <w:color w:val="0000FF"/>
            <w:szCs w:val="24"/>
            <w:u w:val="single"/>
            <w:rtl/>
          </w:rPr>
          <w:t>348(ג)</w:t>
        </w:r>
      </w:hyperlink>
    </w:p>
    <w:p w14:paraId="04F5B140" w14:textId="77777777" w:rsidR="00E2320B" w:rsidRPr="00E2320B" w:rsidRDefault="00E2320B" w:rsidP="00E2320B">
      <w:pPr>
        <w:spacing w:after="120" w:line="240" w:lineRule="exact"/>
        <w:ind w:left="283" w:hanging="283"/>
        <w:rPr>
          <w:rFonts w:ascii="FrankRuehl" w:hAnsi="FrankRuehl" w:cs="FrankRuehl"/>
          <w:szCs w:val="24"/>
          <w:rtl/>
        </w:rPr>
      </w:pPr>
    </w:p>
    <w:p w14:paraId="609D8C43" w14:textId="77777777" w:rsidR="00E2320B" w:rsidRPr="00E2320B" w:rsidRDefault="00E2320B">
      <w:pPr>
        <w:spacing w:after="80" w:line="320" w:lineRule="exact"/>
        <w:ind w:firstLine="283"/>
        <w:rPr>
          <w:sz w:val="22"/>
          <w:szCs w:val="24"/>
          <w:rtl/>
        </w:rPr>
      </w:pPr>
      <w:bookmarkStart w:id="8" w:name="LawTable_End"/>
      <w:bookmarkEnd w:id="8"/>
    </w:p>
    <w:p w14:paraId="171AC008" w14:textId="77777777" w:rsidR="00B27F45" w:rsidRPr="00B27F45" w:rsidRDefault="00B27F45">
      <w:pPr>
        <w:spacing w:after="80" w:line="320" w:lineRule="exact"/>
        <w:ind w:firstLine="283"/>
        <w:rPr>
          <w:sz w:val="22"/>
          <w:szCs w:val="24"/>
          <w:rtl/>
        </w:rPr>
      </w:pPr>
    </w:p>
    <w:p w14:paraId="7845B6A3" w14:textId="77777777" w:rsidR="00B27F45" w:rsidRPr="00B27F45" w:rsidRDefault="00B27F45">
      <w:pPr>
        <w:spacing w:after="80" w:line="320" w:lineRule="exact"/>
        <w:ind w:firstLine="283"/>
        <w:rPr>
          <w:sz w:val="22"/>
          <w:szCs w:val="24"/>
          <w:rtl/>
        </w:rPr>
      </w:pPr>
    </w:p>
    <w:p w14:paraId="257C9336" w14:textId="77777777" w:rsidR="00B27F45" w:rsidRPr="00B27F45" w:rsidRDefault="00B27F45">
      <w:pPr>
        <w:spacing w:after="80" w:line="320" w:lineRule="exact"/>
        <w:ind w:firstLine="283"/>
        <w:rPr>
          <w:sz w:val="22"/>
          <w:szCs w:val="24"/>
          <w:rtl/>
        </w:rPr>
      </w:pPr>
    </w:p>
    <w:p w14:paraId="37284C2B" w14:textId="77777777" w:rsidR="00CB0B55" w:rsidRPr="00CB0B55" w:rsidRDefault="00CB0B55">
      <w:pPr>
        <w:spacing w:after="80" w:line="320" w:lineRule="exact"/>
        <w:ind w:firstLine="283"/>
        <w:rPr>
          <w:sz w:val="22"/>
          <w:szCs w:val="24"/>
          <w:rtl/>
        </w:rPr>
      </w:pPr>
    </w:p>
    <w:p w14:paraId="1FFEE763" w14:textId="77777777" w:rsidR="00CB0B55" w:rsidRPr="00CB0B55" w:rsidRDefault="00CB0B55">
      <w:pPr>
        <w:spacing w:after="80" w:line="320" w:lineRule="exact"/>
        <w:ind w:firstLine="283"/>
        <w:rPr>
          <w:sz w:val="22"/>
          <w:szCs w:val="24"/>
          <w:rtl/>
        </w:rPr>
      </w:pPr>
    </w:p>
    <w:p w14:paraId="10FF8BAC" w14:textId="77777777" w:rsidR="0074023F" w:rsidRPr="00CB0B55" w:rsidRDefault="0074023F">
      <w:pPr>
        <w:spacing w:after="80" w:line="320" w:lineRule="exact"/>
        <w:ind w:firstLine="283"/>
        <w:rPr>
          <w:rFonts w:hint="cs"/>
          <w:sz w:val="22"/>
          <w:szCs w:val="24"/>
          <w:rtl/>
        </w:rPr>
      </w:pPr>
    </w:p>
    <w:p w14:paraId="369DFCA2" w14:textId="77777777" w:rsidR="0074023F" w:rsidRDefault="0074023F">
      <w:pPr>
        <w:pBdr>
          <w:top w:val="single" w:sz="4" w:space="1" w:color="auto"/>
          <w:bottom w:val="single" w:sz="4" w:space="1" w:color="auto"/>
        </w:pBdr>
        <w:spacing w:after="80" w:line="320" w:lineRule="exact"/>
        <w:rPr>
          <w:rFonts w:cs="FrankRuehl" w:hint="cs"/>
          <w:sz w:val="26"/>
          <w:szCs w:val="26"/>
          <w:rtl/>
        </w:rPr>
      </w:pPr>
      <w:bookmarkStart w:id="9" w:name="ABSTRACT_START"/>
      <w:bookmarkEnd w:id="9"/>
      <w:r>
        <w:rPr>
          <w:rFonts w:cs="FrankRuehl" w:hint="cs"/>
          <w:sz w:val="26"/>
          <w:szCs w:val="26"/>
          <w:rtl/>
        </w:rPr>
        <w:t>כנגד הנאשם, הוגש כתב אישום ובו יחסה לו התביעה המשטרתית עבירות של הטרדה מינית, עבירה לפי סעיפים 3(א)(6)(ג) ביחד עם 5(א) ל</w:t>
      </w:r>
      <w:hyperlink r:id="rId11" w:history="1">
        <w:r w:rsidR="00CB0B55" w:rsidRPr="00CB0B55">
          <w:rPr>
            <w:rStyle w:val="Hyperlink"/>
            <w:rFonts w:cs="FrankRuehl" w:hint="eastAsia"/>
            <w:sz w:val="26"/>
            <w:szCs w:val="26"/>
            <w:rtl/>
          </w:rPr>
          <w:t>חוק</w:t>
        </w:r>
        <w:r w:rsidR="00CB0B55" w:rsidRPr="00CB0B55">
          <w:rPr>
            <w:rStyle w:val="Hyperlink"/>
            <w:rFonts w:cs="FrankRuehl"/>
            <w:sz w:val="26"/>
            <w:szCs w:val="26"/>
            <w:rtl/>
          </w:rPr>
          <w:t xml:space="preserve"> למניעת הטרדה מינית</w:t>
        </w:r>
      </w:hyperlink>
      <w:r>
        <w:rPr>
          <w:rFonts w:cs="FrankRuehl" w:hint="cs"/>
          <w:sz w:val="26"/>
          <w:szCs w:val="26"/>
          <w:rtl/>
        </w:rPr>
        <w:t>, תשנ"ח-1998 והטרדה מינית, עבירה לפי סעיף 348(ג) ל</w:t>
      </w:r>
      <w:hyperlink r:id="rId12" w:history="1">
        <w:r w:rsidR="00CB0B55" w:rsidRPr="00CB0B55">
          <w:rPr>
            <w:rStyle w:val="Hyperlink"/>
            <w:rFonts w:cs="FrankRuehl" w:hint="eastAsia"/>
            <w:sz w:val="26"/>
            <w:szCs w:val="26"/>
            <w:rtl/>
          </w:rPr>
          <w:t>חוק</w:t>
        </w:r>
        <w:r w:rsidR="00CB0B55" w:rsidRPr="00CB0B55">
          <w:rPr>
            <w:rStyle w:val="Hyperlink"/>
            <w:rFonts w:cs="FrankRuehl"/>
            <w:sz w:val="26"/>
            <w:szCs w:val="26"/>
            <w:rtl/>
          </w:rPr>
          <w:t xml:space="preserve"> העונשין</w:t>
        </w:r>
      </w:hyperlink>
      <w:r>
        <w:rPr>
          <w:rFonts w:cs="FrankRuehl" w:hint="cs"/>
          <w:sz w:val="26"/>
          <w:szCs w:val="26"/>
          <w:rtl/>
        </w:rPr>
        <w:t>, תשל"ז-1977</w:t>
      </w:r>
      <w:bookmarkStart w:id="10" w:name="ABSTRACT_END"/>
      <w:bookmarkEnd w:id="10"/>
      <w:r>
        <w:rPr>
          <w:rFonts w:cs="FrankRuehl" w:hint="cs"/>
          <w:sz w:val="26"/>
          <w:szCs w:val="26"/>
          <w:rtl/>
        </w:rPr>
        <w:t>.</w:t>
      </w:r>
    </w:p>
    <w:p w14:paraId="65F1A0B3" w14:textId="77777777" w:rsidR="0074023F" w:rsidRDefault="0074023F">
      <w:pPr>
        <w:pStyle w:val="Title"/>
        <w:spacing w:after="80" w:line="320" w:lineRule="exact"/>
        <w:ind w:firstLine="283"/>
        <w:jc w:val="both"/>
        <w:rPr>
          <w:color w:val="000000"/>
          <w:sz w:val="22"/>
          <w:szCs w:val="24"/>
          <w:rtl/>
        </w:rPr>
      </w:pPr>
      <w:bookmarkStart w:id="11" w:name="סוג_מסמך"/>
      <w:bookmarkStart w:id="12" w:name="Decision1"/>
      <w:bookmarkEnd w:id="6"/>
      <w:bookmarkEnd w:id="11"/>
    </w:p>
    <w:p w14:paraId="01AEE8AB" w14:textId="77777777" w:rsidR="0074023F" w:rsidRDefault="0074023F">
      <w:pPr>
        <w:spacing w:after="80" w:line="320" w:lineRule="exact"/>
        <w:ind w:firstLine="283"/>
        <w:jc w:val="center"/>
        <w:rPr>
          <w:b/>
          <w:bCs/>
          <w:color w:val="000000"/>
          <w:sz w:val="22"/>
          <w:szCs w:val="24"/>
          <w:u w:val="single"/>
          <w:rtl/>
        </w:rPr>
      </w:pPr>
      <w:bookmarkStart w:id="13" w:name="PsakDin"/>
      <w:r>
        <w:rPr>
          <w:b/>
          <w:bCs/>
          <w:color w:val="000000"/>
          <w:sz w:val="22"/>
          <w:szCs w:val="24"/>
          <w:u w:val="single"/>
          <w:rtl/>
        </w:rPr>
        <w:t>הכרעת-דין</w:t>
      </w:r>
    </w:p>
    <w:bookmarkEnd w:id="13"/>
    <w:p w14:paraId="2E20A258" w14:textId="77777777" w:rsidR="0074023F" w:rsidRDefault="00CB0B55">
      <w:pPr>
        <w:spacing w:after="80" w:line="320" w:lineRule="exact"/>
        <w:ind w:firstLine="283"/>
        <w:rPr>
          <w:rFonts w:hint="cs"/>
          <w:sz w:val="22"/>
          <w:szCs w:val="24"/>
          <w:rtl/>
        </w:rPr>
      </w:pPr>
      <w:r>
        <w:rPr>
          <w:rFonts w:hint="cs"/>
          <w:sz w:val="22"/>
          <w:szCs w:val="24"/>
          <w:rtl/>
        </w:rPr>
        <w:t xml:space="preserve"> </w:t>
      </w:r>
    </w:p>
    <w:p w14:paraId="3500C29E" w14:textId="77777777" w:rsidR="0074023F" w:rsidRDefault="0074023F">
      <w:pPr>
        <w:spacing w:after="80" w:line="320" w:lineRule="exact"/>
        <w:ind w:firstLine="283"/>
        <w:rPr>
          <w:rFonts w:hint="cs"/>
          <w:sz w:val="22"/>
          <w:szCs w:val="24"/>
          <w:rtl/>
        </w:rPr>
      </w:pPr>
      <w:r>
        <w:rPr>
          <w:rFonts w:hint="cs"/>
          <w:sz w:val="22"/>
          <w:szCs w:val="24"/>
          <w:rtl/>
        </w:rPr>
        <w:t xml:space="preserve">כנגד הנאשם, אריה אשכנזי, הוגש כתב אישום ובו יחסה לו התביעה המשטרתית עבירות של הטרדה מינית, עבירה לפי </w:t>
      </w:r>
      <w:hyperlink r:id="rId13" w:history="1">
        <w:r w:rsidR="00B27F45" w:rsidRPr="00B27F45">
          <w:rPr>
            <w:rStyle w:val="Hyperlink"/>
            <w:rFonts w:hint="eastAsia"/>
            <w:sz w:val="22"/>
            <w:szCs w:val="24"/>
            <w:rtl/>
          </w:rPr>
          <w:t>סעיפים</w:t>
        </w:r>
        <w:r w:rsidR="00B27F45" w:rsidRPr="00B27F45">
          <w:rPr>
            <w:rStyle w:val="Hyperlink"/>
            <w:sz w:val="22"/>
            <w:szCs w:val="24"/>
            <w:rtl/>
          </w:rPr>
          <w:t xml:space="preserve"> 3(א)(6)(ג)</w:t>
        </w:r>
      </w:hyperlink>
      <w:r>
        <w:rPr>
          <w:rFonts w:hint="cs"/>
          <w:sz w:val="22"/>
          <w:szCs w:val="24"/>
          <w:rtl/>
        </w:rPr>
        <w:t xml:space="preserve"> ביחד עם </w:t>
      </w:r>
      <w:hyperlink r:id="rId14" w:history="1">
        <w:r w:rsidR="00B27F45" w:rsidRPr="00B27F45">
          <w:rPr>
            <w:rStyle w:val="Hyperlink"/>
            <w:sz w:val="22"/>
            <w:szCs w:val="24"/>
            <w:rtl/>
          </w:rPr>
          <w:t>5(א)</w:t>
        </w:r>
      </w:hyperlink>
      <w:r>
        <w:rPr>
          <w:rFonts w:hint="cs"/>
          <w:sz w:val="22"/>
          <w:szCs w:val="24"/>
          <w:rtl/>
        </w:rPr>
        <w:t xml:space="preserve"> ל</w:t>
      </w:r>
      <w:r w:rsidR="00CB0B55" w:rsidRPr="00B27F45">
        <w:rPr>
          <w:rFonts w:hint="eastAsia"/>
          <w:sz w:val="22"/>
          <w:szCs w:val="24"/>
          <w:rtl/>
        </w:rPr>
        <w:t>חוק</w:t>
      </w:r>
      <w:r w:rsidR="00CB0B55" w:rsidRPr="00B27F45">
        <w:rPr>
          <w:sz w:val="22"/>
          <w:szCs w:val="24"/>
          <w:rtl/>
        </w:rPr>
        <w:t xml:space="preserve"> למניעת הטרדה מינית</w:t>
      </w:r>
      <w:r>
        <w:rPr>
          <w:rFonts w:hint="cs"/>
          <w:sz w:val="22"/>
          <w:szCs w:val="24"/>
          <w:rtl/>
        </w:rPr>
        <w:t xml:space="preserve">, תשנ"ח-1998 והטרדה מינית, עבירה לפי </w:t>
      </w:r>
      <w:hyperlink r:id="rId15" w:history="1">
        <w:r w:rsidR="00B27F45" w:rsidRPr="00B27F45">
          <w:rPr>
            <w:rStyle w:val="Hyperlink"/>
            <w:rFonts w:hint="eastAsia"/>
            <w:sz w:val="22"/>
            <w:szCs w:val="24"/>
            <w:rtl/>
          </w:rPr>
          <w:t>סעיף</w:t>
        </w:r>
        <w:r w:rsidR="00B27F45" w:rsidRPr="00B27F45">
          <w:rPr>
            <w:rStyle w:val="Hyperlink"/>
            <w:sz w:val="22"/>
            <w:szCs w:val="24"/>
            <w:rtl/>
          </w:rPr>
          <w:t xml:space="preserve"> 348(ג)</w:t>
        </w:r>
      </w:hyperlink>
      <w:r>
        <w:rPr>
          <w:rFonts w:hint="cs"/>
          <w:sz w:val="22"/>
          <w:szCs w:val="24"/>
          <w:rtl/>
        </w:rPr>
        <w:t xml:space="preserve"> ל</w:t>
      </w:r>
      <w:r w:rsidR="00CB0B55" w:rsidRPr="00B27F45">
        <w:rPr>
          <w:rFonts w:hint="eastAsia"/>
          <w:sz w:val="22"/>
          <w:szCs w:val="24"/>
          <w:rtl/>
        </w:rPr>
        <w:t>חוק</w:t>
      </w:r>
      <w:r w:rsidR="00CB0B55" w:rsidRPr="00B27F45">
        <w:rPr>
          <w:sz w:val="22"/>
          <w:szCs w:val="24"/>
          <w:rtl/>
        </w:rPr>
        <w:t xml:space="preserve"> העונשין</w:t>
      </w:r>
      <w:r>
        <w:rPr>
          <w:rFonts w:hint="cs"/>
          <w:sz w:val="22"/>
          <w:szCs w:val="24"/>
          <w:rtl/>
        </w:rPr>
        <w:t>, תשל"ז-1977.</w:t>
      </w:r>
    </w:p>
    <w:p w14:paraId="7936FE2A" w14:textId="77777777" w:rsidR="0074023F" w:rsidRDefault="0074023F">
      <w:pPr>
        <w:spacing w:after="80" w:line="320" w:lineRule="exact"/>
        <w:ind w:firstLine="283"/>
        <w:rPr>
          <w:rFonts w:hint="cs"/>
          <w:sz w:val="22"/>
          <w:szCs w:val="24"/>
          <w:rtl/>
        </w:rPr>
      </w:pPr>
      <w:r>
        <w:rPr>
          <w:rFonts w:hint="cs"/>
          <w:sz w:val="22"/>
          <w:szCs w:val="24"/>
          <w:rtl/>
        </w:rPr>
        <w:lastRenderedPageBreak/>
        <w:t>לטענת התביעה, עבדו הנאשם והמתלוננת, מירה פרחי (להלן: "פרחי") (שיוזכר, כי עדותה נמסרה בדלתיים סגורות, כך שקיים איסור פירסום על תוכנה וכן על כל פרט מזהה ביחס למתלוננת) במועצת מכבים-רעות. הנאשם עבד כגזבר המועצה ואילו פרחי עבדה כמנהלת מדור תרבות ואירועים במועצה.</w:t>
      </w:r>
    </w:p>
    <w:p w14:paraId="4DC17822" w14:textId="77777777" w:rsidR="0074023F" w:rsidRDefault="0074023F">
      <w:pPr>
        <w:spacing w:after="80" w:line="320" w:lineRule="exact"/>
        <w:ind w:firstLine="283"/>
        <w:rPr>
          <w:rFonts w:hint="cs"/>
          <w:color w:val="FFFFFF"/>
          <w:sz w:val="4"/>
          <w:szCs w:val="4"/>
          <w:rtl/>
        </w:rPr>
      </w:pPr>
      <w:r>
        <w:rPr>
          <w:rFonts w:hint="cs"/>
          <w:sz w:val="22"/>
          <w:szCs w:val="24"/>
          <w:rtl/>
        </w:rPr>
        <w:t>במהלך שלוש השנים שקדמו  ליום 1.12.99 (מועד הגשת התלונה במשטרה), בהזדמנויות שונות, נהג הנאשם להטריד את פרחי בהתבטאויות שונות ובהן: "איזה רגליים יפות יש לך, את צריכה ללכת רק עם חצאיות קצרות", "כשאת מגיעה אלי לפגישה, תבואי איך שאני אוהב", "תזמיני אותי אלייך הביתה כשהילדים לא נמצאים". אמירות אלה נאמרו, חרף העובדה שפרחי שבה והבהירה לנאשם כי אינה מעוניינת שיתבטא כלפיה באופן האמור. בכך – כך התביעה – עבר הנאשם את עבירת ההטרדה המינית שיוחסה לו, במועדים שבין 19.3.98 (מועד כניסת ה</w:t>
      </w:r>
      <w:r w:rsidR="00CB0B55" w:rsidRPr="00B27F45">
        <w:rPr>
          <w:rFonts w:hint="eastAsia"/>
          <w:sz w:val="22"/>
          <w:szCs w:val="24"/>
          <w:rtl/>
        </w:rPr>
        <w:t>חוק</w:t>
      </w:r>
      <w:r w:rsidR="00CB0B55" w:rsidRPr="00B27F45">
        <w:rPr>
          <w:sz w:val="22"/>
          <w:szCs w:val="24"/>
          <w:rtl/>
        </w:rPr>
        <w:t xml:space="preserve"> למניעת הטרדה מינית</w:t>
      </w:r>
      <w:r>
        <w:rPr>
          <w:rFonts w:hint="cs"/>
          <w:sz w:val="22"/>
          <w:szCs w:val="24"/>
          <w:rtl/>
        </w:rPr>
        <w:t xml:space="preserve"> לתוקף) לבין מועד הגשת התלונה.</w:t>
      </w:r>
    </w:p>
    <w:p w14:paraId="122A9954" w14:textId="77777777" w:rsidR="0074023F" w:rsidRDefault="0074023F">
      <w:pPr>
        <w:spacing w:after="80" w:line="320" w:lineRule="exact"/>
        <w:ind w:firstLine="283"/>
        <w:rPr>
          <w:rFonts w:hint="cs"/>
          <w:sz w:val="22"/>
          <w:szCs w:val="24"/>
          <w:rtl/>
        </w:rPr>
      </w:pPr>
      <w:r>
        <w:rPr>
          <w:color w:val="FFFFFF"/>
          <w:sz w:val="4"/>
          <w:szCs w:val="4"/>
          <w:rtl/>
        </w:rPr>
        <w:t>5129371</w:t>
      </w:r>
      <w:r>
        <w:rPr>
          <w:rFonts w:hint="cs"/>
          <w:sz w:val="22"/>
          <w:szCs w:val="24"/>
          <w:rtl/>
        </w:rPr>
        <w:t>עוד נטען, כי בחודש נובמבר 1998, במועד שאינו ידוע במדויק למאשימה, פנה הנאשם לפרחי, הציע לה להצטרף אליו למלון היאט ים המלח, במסגרת השתלמות מטעם מרכז השלטון המקומי והבטיח לה שידאג  לכל הפינוקים עליהם היא יכולה לחלום. גם בכך עבר הנאשם, לשיטת התביעה, עבירה של הטרדה מינית.</w:t>
      </w:r>
      <w:r>
        <w:rPr>
          <w:color w:val="FFFFFF"/>
          <w:sz w:val="4"/>
          <w:szCs w:val="4"/>
          <w:rtl/>
        </w:rPr>
        <w:t>נ</w:t>
      </w:r>
    </w:p>
    <w:p w14:paraId="0748F15A" w14:textId="77777777" w:rsidR="0074023F" w:rsidRDefault="0074023F">
      <w:pPr>
        <w:spacing w:after="80" w:line="320" w:lineRule="exact"/>
        <w:ind w:firstLine="283"/>
        <w:rPr>
          <w:rFonts w:hint="cs"/>
          <w:sz w:val="22"/>
          <w:szCs w:val="24"/>
          <w:rtl/>
        </w:rPr>
      </w:pPr>
      <w:r>
        <w:rPr>
          <w:rFonts w:hint="cs"/>
          <w:sz w:val="22"/>
          <w:szCs w:val="24"/>
          <w:rtl/>
        </w:rPr>
        <w:t>התביעה הוסיפה וטענה, כי זמן מה לפני האירוע בו הטריד הנאשם את פרחי מילולית, בסיום פגישת עבודה בין השניים, ניגשה פרחי לדלת הכניסה במטרה לצאת, הנאשם הלך אחריה, הושיט ידו לדלת, כיבה את האורות במשרד וחיבק אותה בשתי ידיו.</w:t>
      </w:r>
      <w:r>
        <w:rPr>
          <w:color w:val="FFFFFF"/>
          <w:sz w:val="4"/>
          <w:szCs w:val="4"/>
          <w:rtl/>
        </w:rPr>
        <w:t>ב</w:t>
      </w:r>
    </w:p>
    <w:p w14:paraId="145FC843" w14:textId="77777777" w:rsidR="0074023F" w:rsidRDefault="0074023F">
      <w:pPr>
        <w:spacing w:after="80" w:line="320" w:lineRule="exact"/>
        <w:ind w:firstLine="283"/>
        <w:rPr>
          <w:rFonts w:hint="cs"/>
          <w:sz w:val="22"/>
          <w:szCs w:val="24"/>
          <w:rtl/>
        </w:rPr>
      </w:pPr>
      <w:r>
        <w:rPr>
          <w:rFonts w:hint="cs"/>
          <w:sz w:val="22"/>
          <w:szCs w:val="24"/>
          <w:rtl/>
        </w:rPr>
        <w:t>במעשה זה, לשיטת התביעה, עבר הנאשם את העבירה של מעשה מגונה שיוחסה לו.</w:t>
      </w:r>
      <w:r>
        <w:rPr>
          <w:color w:val="FFFFFF"/>
          <w:sz w:val="4"/>
          <w:szCs w:val="4"/>
          <w:rtl/>
        </w:rPr>
        <w:t>ו</w:t>
      </w:r>
    </w:p>
    <w:p w14:paraId="39927F84" w14:textId="77777777" w:rsidR="0074023F" w:rsidRDefault="0074023F">
      <w:pPr>
        <w:spacing w:after="80" w:line="320" w:lineRule="exact"/>
        <w:ind w:firstLine="283"/>
        <w:rPr>
          <w:rFonts w:hint="cs"/>
          <w:sz w:val="22"/>
          <w:szCs w:val="24"/>
          <w:rtl/>
        </w:rPr>
      </w:pPr>
      <w:r>
        <w:rPr>
          <w:rFonts w:hint="cs"/>
          <w:sz w:val="22"/>
          <w:szCs w:val="24"/>
          <w:rtl/>
        </w:rPr>
        <w:t>במענה לכתב האישום, כפר הנאשם, באמצעות עו"ד פרידמן, במיוחס לו.</w:t>
      </w:r>
      <w:r>
        <w:rPr>
          <w:color w:val="FFFFFF"/>
          <w:sz w:val="4"/>
          <w:szCs w:val="4"/>
          <w:rtl/>
        </w:rPr>
        <w:t>נ</w:t>
      </w:r>
    </w:p>
    <w:p w14:paraId="4432C83D" w14:textId="77777777" w:rsidR="0074023F" w:rsidRDefault="0074023F">
      <w:pPr>
        <w:spacing w:after="80" w:line="320" w:lineRule="exact"/>
        <w:ind w:firstLine="283"/>
        <w:rPr>
          <w:rFonts w:hint="cs"/>
          <w:sz w:val="22"/>
          <w:szCs w:val="24"/>
          <w:rtl/>
        </w:rPr>
      </w:pPr>
      <w:r>
        <w:rPr>
          <w:rFonts w:hint="cs"/>
          <w:sz w:val="22"/>
          <w:szCs w:val="24"/>
          <w:rtl/>
        </w:rPr>
        <w:t>בתגובה הכתובה שמסר הסניגור, נטען כי התלונה היתה  תלונת שווא, כי המניע לטענות פרחי בתלונתה, היתה הודעה שנמסרה לה ביום 1.12.99, לפיה הכוונה לפטרה מעבודתה במועצה המקומית מכבים-רעות שבועיים קודם לכן, התגבשה לכלל החלטה בדבר פיטורין. בו ביום, מיהרה פרחי והגישה את תלונתה כנגד הנאשם.</w:t>
      </w:r>
      <w:r>
        <w:rPr>
          <w:color w:val="FFFFFF"/>
          <w:sz w:val="4"/>
          <w:szCs w:val="4"/>
          <w:rtl/>
        </w:rPr>
        <w:t>ב</w:t>
      </w:r>
    </w:p>
    <w:p w14:paraId="6B38AB77" w14:textId="77777777" w:rsidR="0074023F" w:rsidRDefault="0074023F">
      <w:pPr>
        <w:spacing w:after="80" w:line="320" w:lineRule="exact"/>
        <w:ind w:firstLine="283"/>
        <w:rPr>
          <w:rFonts w:hint="cs"/>
          <w:sz w:val="22"/>
          <w:szCs w:val="24"/>
          <w:rtl/>
        </w:rPr>
      </w:pPr>
      <w:r>
        <w:rPr>
          <w:rFonts w:hint="cs"/>
          <w:sz w:val="22"/>
          <w:szCs w:val="24"/>
          <w:rtl/>
        </w:rPr>
        <w:t>לנוכח כפירת הנאשם, נקבע התיק לשמיעת ראיות.</w:t>
      </w:r>
      <w:r>
        <w:rPr>
          <w:color w:val="FFFFFF"/>
          <w:sz w:val="4"/>
          <w:szCs w:val="4"/>
          <w:rtl/>
        </w:rPr>
        <w:t>ו</w:t>
      </w:r>
    </w:p>
    <w:p w14:paraId="7816F63A" w14:textId="77777777" w:rsidR="0074023F" w:rsidRDefault="0074023F">
      <w:pPr>
        <w:spacing w:after="80" w:line="320" w:lineRule="exact"/>
        <w:ind w:firstLine="283"/>
        <w:rPr>
          <w:rFonts w:hint="cs"/>
          <w:sz w:val="22"/>
          <w:szCs w:val="24"/>
          <w:rtl/>
        </w:rPr>
      </w:pPr>
      <w:r>
        <w:rPr>
          <w:rFonts w:hint="cs"/>
          <w:sz w:val="22"/>
          <w:szCs w:val="24"/>
          <w:rtl/>
        </w:rPr>
        <w:t>מטעם התביעה העידו: מר אברהם דנינו, מזכיר האיגוד המקצועי במועצת פועלי לוד רמלה; מר זאב ירושלמי, בן זוגה לשעבר של פרחי; מר מיקי רווה, קב"ט המועצה המקומית מכבים-רעות; מר יורם כרמון, מנכ"ל המועצה המקומית מכבים רעות ופרחי, המתלוננת. מטעם הנאשם העיד הוא עצמו.</w:t>
      </w:r>
      <w:r>
        <w:rPr>
          <w:color w:val="FFFFFF"/>
          <w:sz w:val="4"/>
          <w:szCs w:val="4"/>
          <w:rtl/>
        </w:rPr>
        <w:t>נ</w:t>
      </w:r>
    </w:p>
    <w:p w14:paraId="23F114F8" w14:textId="77777777" w:rsidR="0074023F" w:rsidRDefault="0074023F">
      <w:pPr>
        <w:spacing w:after="80" w:line="320" w:lineRule="exact"/>
        <w:ind w:firstLine="283"/>
        <w:rPr>
          <w:rFonts w:hint="cs"/>
          <w:sz w:val="22"/>
          <w:szCs w:val="24"/>
          <w:rtl/>
        </w:rPr>
      </w:pPr>
      <w:r>
        <w:rPr>
          <w:rFonts w:hint="cs"/>
          <w:sz w:val="22"/>
          <w:szCs w:val="24"/>
          <w:rtl/>
        </w:rPr>
        <w:t>יצויין, כי התביעה שקלה לעתור להבאת ראיות הזמה, לאור טענה מסויימת של הנאשם בעדותו, כי לא היה מעורב באירועים דומים, אלא שהסניגור ביקש לחזור בו מן הטענה האמורה (עמ' 103, בתחתית העמוד), ולפיכך ויתרה התביעה על העתירה.</w:t>
      </w:r>
      <w:r>
        <w:rPr>
          <w:color w:val="FFFFFF"/>
          <w:sz w:val="4"/>
          <w:szCs w:val="4"/>
          <w:rtl/>
        </w:rPr>
        <w:t>ב</w:t>
      </w:r>
    </w:p>
    <w:p w14:paraId="72BE3858" w14:textId="77777777" w:rsidR="0074023F" w:rsidRDefault="0074023F">
      <w:pPr>
        <w:spacing w:after="80" w:line="320" w:lineRule="exact"/>
        <w:ind w:firstLine="283"/>
        <w:rPr>
          <w:rFonts w:hint="cs"/>
          <w:sz w:val="22"/>
          <w:szCs w:val="24"/>
          <w:rtl/>
        </w:rPr>
      </w:pPr>
      <w:r>
        <w:rPr>
          <w:rFonts w:hint="cs"/>
          <w:sz w:val="22"/>
          <w:szCs w:val="24"/>
          <w:rtl/>
        </w:rPr>
        <w:t>לאחר שמיעת הראיות, סיכמו הצדדים טיעוניהם.</w:t>
      </w:r>
      <w:r>
        <w:rPr>
          <w:color w:val="FFFFFF"/>
          <w:sz w:val="4"/>
          <w:szCs w:val="4"/>
          <w:rtl/>
        </w:rPr>
        <w:t>ו</w:t>
      </w:r>
    </w:p>
    <w:p w14:paraId="06848866" w14:textId="77777777" w:rsidR="0074023F" w:rsidRDefault="0074023F">
      <w:pPr>
        <w:spacing w:after="80" w:line="320" w:lineRule="exact"/>
        <w:ind w:firstLine="283"/>
        <w:rPr>
          <w:rFonts w:hint="cs"/>
          <w:sz w:val="22"/>
          <w:szCs w:val="24"/>
          <w:rtl/>
        </w:rPr>
      </w:pPr>
      <w:r>
        <w:rPr>
          <w:rFonts w:hint="cs"/>
          <w:sz w:val="22"/>
          <w:szCs w:val="24"/>
          <w:rtl/>
        </w:rPr>
        <w:t>לאחר שבחנתי את הראיות, שבתי ועיינתי בסיכומי הצדדים ונחה דעתי כי דין הנאשם להיות מורשע במיוחס לו בכתב האישום.</w:t>
      </w:r>
      <w:r>
        <w:rPr>
          <w:color w:val="FFFFFF"/>
          <w:sz w:val="4"/>
          <w:szCs w:val="4"/>
          <w:rtl/>
        </w:rPr>
        <w:t>נ</w:t>
      </w:r>
    </w:p>
    <w:p w14:paraId="2571716C" w14:textId="77777777" w:rsidR="0074023F" w:rsidRDefault="0074023F">
      <w:pPr>
        <w:spacing w:after="80" w:line="320" w:lineRule="exact"/>
        <w:ind w:firstLine="283"/>
        <w:rPr>
          <w:rFonts w:hint="cs"/>
          <w:sz w:val="22"/>
          <w:szCs w:val="24"/>
          <w:rtl/>
        </w:rPr>
      </w:pPr>
      <w:r>
        <w:rPr>
          <w:rFonts w:hint="cs"/>
          <w:sz w:val="22"/>
          <w:szCs w:val="24"/>
          <w:rtl/>
        </w:rPr>
        <w:t>בטרם אכנס לפרטי האירועים, אציין באופן כללי, כי דין הנאשם להיות מורשע במיוחס לו בכתב האישום. דינו להיות מורשע, הן משום מהימנות עדותה של פרחי והן משום העובדה שנמצאו לה תימוכין רבים בשורה של ראיות חיצוניות. הנאשם אמנם הצליח להצביע על סתירות כאלה ואחרות בגירסתה של פרחי, אך כפי שיבואר, מדובר בסתירות קלות ערך, שלא היה בהן כדי לקעקע את עדותה המהימנה. מעבר לכך, הוכח כי פרחי היתה ונותרה עקבית בטענותיה כלפי הנאשם וכי גרסת הקונספירציה שהעלה הנאשם, אין בה ממש, באשר לו היתה פרחי אכן מחפשת אדם להעליל עליו עלילות שווא, היה לה "מועמד" מוצלח הרבה יותר, בדמות מי שהביא ישירות לפיטוריה מן המועצה.</w:t>
      </w:r>
      <w:r>
        <w:rPr>
          <w:color w:val="FFFFFF"/>
          <w:sz w:val="4"/>
          <w:szCs w:val="4"/>
          <w:rtl/>
        </w:rPr>
        <w:t>ב</w:t>
      </w:r>
    </w:p>
    <w:p w14:paraId="0C18F0D6" w14:textId="77777777" w:rsidR="0074023F" w:rsidRDefault="0074023F">
      <w:pPr>
        <w:spacing w:after="80" w:line="320" w:lineRule="exact"/>
        <w:ind w:firstLine="283"/>
        <w:rPr>
          <w:rFonts w:hint="cs"/>
          <w:sz w:val="22"/>
          <w:szCs w:val="24"/>
          <w:rtl/>
        </w:rPr>
      </w:pPr>
      <w:r>
        <w:rPr>
          <w:rFonts w:hint="cs"/>
          <w:sz w:val="22"/>
          <w:szCs w:val="24"/>
          <w:rtl/>
        </w:rPr>
        <w:t xml:space="preserve">מעדותה של פרחי עלה, כי במשך למעלה מחמש שנים, היא ניהלה את המחלקה לתרבות אירועים ונוער במועצה. הממונה הישיר עליה היה נחמיה חתוכה, חברו של הנאשם. בין פרחי לנאשם היו יחסי עבודה </w:t>
      </w:r>
      <w:r>
        <w:rPr>
          <w:rFonts w:hint="cs"/>
          <w:sz w:val="22"/>
          <w:szCs w:val="24"/>
          <w:rtl/>
        </w:rPr>
        <w:lastRenderedPageBreak/>
        <w:t>רציפים, שכללו ישיבות עבודה ומפגשים. הנאשם נהג, לכל אורך הדרך, להתבטא כלפי פרחי בצורה חברית כביכול, אך באופן שגלש לפסים שגרמו לפרחי לחוש בחוסר נעימות.</w:t>
      </w:r>
      <w:r>
        <w:rPr>
          <w:color w:val="FFFFFF"/>
          <w:sz w:val="4"/>
          <w:szCs w:val="4"/>
          <w:rtl/>
        </w:rPr>
        <w:t>ו</w:t>
      </w:r>
    </w:p>
    <w:p w14:paraId="33DC08DA" w14:textId="77777777" w:rsidR="0074023F" w:rsidRDefault="0074023F">
      <w:pPr>
        <w:spacing w:after="80" w:line="320" w:lineRule="exact"/>
        <w:ind w:firstLine="283"/>
        <w:rPr>
          <w:rFonts w:hint="cs"/>
          <w:sz w:val="22"/>
          <w:szCs w:val="24"/>
          <w:rtl/>
        </w:rPr>
      </w:pPr>
      <w:r>
        <w:rPr>
          <w:rFonts w:hint="cs"/>
          <w:sz w:val="22"/>
          <w:szCs w:val="24"/>
          <w:rtl/>
        </w:rPr>
        <w:t>כך למשל נהג להתבטא כלפיה באופן שהשתמעו ממנו כוונות מיניות ברורות (עמ' 32 באמצע העמוד), הן בהתייחס לגופה והן בהתייחס לאופן לבושה. פרחי התרתה בנאשם כי יחדל ממעשיו, אך דבריה נפלו על אזניים אטומות. אין מדובר באירוע חד פעמי, אלא בדרך התבטאות קבועה ורצופה של הנאשם כלפי פרחי. פרחי העירה לנאשם על התבטאויותיו וכך גם אחרים, אך הוא שב לסורו, פעם אחר פעם (עמ' 33, בתחתית העמוד, עמ' 34, אמצע העמוד).</w:t>
      </w:r>
      <w:r>
        <w:rPr>
          <w:color w:val="FFFFFF"/>
          <w:sz w:val="4"/>
          <w:szCs w:val="4"/>
          <w:rtl/>
        </w:rPr>
        <w:t>נ</w:t>
      </w:r>
    </w:p>
    <w:p w14:paraId="1B4C5523" w14:textId="77777777" w:rsidR="0074023F" w:rsidRDefault="0074023F">
      <w:pPr>
        <w:spacing w:after="80" w:line="320" w:lineRule="exact"/>
        <w:ind w:firstLine="283"/>
        <w:rPr>
          <w:rFonts w:hint="cs"/>
          <w:sz w:val="22"/>
          <w:szCs w:val="24"/>
          <w:rtl/>
        </w:rPr>
      </w:pPr>
      <w:r>
        <w:rPr>
          <w:rFonts w:hint="cs"/>
          <w:sz w:val="22"/>
          <w:szCs w:val="24"/>
          <w:rtl/>
        </w:rPr>
        <w:t>פרחי הוסיפה ותארה, כיצד באירוע מסוים שבו חגגו את חנוכת בית הכנסת הספרדי בישוב, הגיע הנאשם מהשתלמות בה היה מצוי, והציע לה להצטרף אליו  להשתלמות האמורה, תוך שהוא מבטיח לה כי תזכה לפינוקים כאלה ואחרים, אם תצטרף אליו כמוצע.</w:t>
      </w:r>
      <w:r>
        <w:rPr>
          <w:color w:val="FFFFFF"/>
          <w:sz w:val="4"/>
          <w:szCs w:val="4"/>
          <w:rtl/>
        </w:rPr>
        <w:t>ב</w:t>
      </w:r>
    </w:p>
    <w:p w14:paraId="5A6ACD32" w14:textId="77777777" w:rsidR="0074023F" w:rsidRDefault="0074023F">
      <w:pPr>
        <w:spacing w:after="80" w:line="320" w:lineRule="exact"/>
        <w:ind w:firstLine="283"/>
        <w:rPr>
          <w:rFonts w:hint="cs"/>
          <w:sz w:val="22"/>
          <w:szCs w:val="24"/>
          <w:rtl/>
        </w:rPr>
      </w:pPr>
      <w:r>
        <w:rPr>
          <w:rFonts w:hint="cs"/>
          <w:sz w:val="22"/>
          <w:szCs w:val="24"/>
          <w:rtl/>
        </w:rPr>
        <w:t>בהתייחס לאירוע בו מיוחס לנאשם מעשה מגונה,  תיארה פרחי כיצד זומנה לפגישה במשרדו של הנאשם בשעת ערב מוקדמת. הפגישה עוררה בה חשש, והיא הביעה חשש זה באזניו של מיקי רווה, קב"ט המועצה.</w:t>
      </w:r>
      <w:r>
        <w:rPr>
          <w:color w:val="FFFFFF"/>
          <w:sz w:val="4"/>
          <w:szCs w:val="4"/>
          <w:rtl/>
        </w:rPr>
        <w:t>ו</w:t>
      </w:r>
    </w:p>
    <w:p w14:paraId="4E4EDAD1" w14:textId="77777777" w:rsidR="0074023F" w:rsidRDefault="0074023F">
      <w:pPr>
        <w:spacing w:after="80" w:line="320" w:lineRule="exact"/>
        <w:ind w:firstLine="283"/>
        <w:rPr>
          <w:rFonts w:hint="cs"/>
          <w:sz w:val="22"/>
          <w:szCs w:val="24"/>
          <w:rtl/>
        </w:rPr>
      </w:pPr>
      <w:r>
        <w:rPr>
          <w:rFonts w:hint="cs"/>
          <w:sz w:val="22"/>
          <w:szCs w:val="24"/>
          <w:rtl/>
        </w:rPr>
        <w:t>ראוי לציין, כי בשלב מאוחר יותר, ביקש הנאשם לייחס לרווה ולפרחי מערכת יחסים אינטימית, אך השניים לא נשאלו בנושא זה ולו שאלה אחת, לטעמי, שלא בכדי. מדובר היה בנסיון להכפיש את שמם, בלא לעמת אותם עם הטענה, ואין לקבל ניסיון זה, אלא כמאפיין של התנהלות הנאשם.</w:t>
      </w:r>
      <w:r>
        <w:rPr>
          <w:color w:val="FFFFFF"/>
          <w:sz w:val="4"/>
          <w:szCs w:val="4"/>
          <w:rtl/>
        </w:rPr>
        <w:t>נ</w:t>
      </w:r>
    </w:p>
    <w:p w14:paraId="422D7418" w14:textId="77777777" w:rsidR="0074023F" w:rsidRDefault="0074023F">
      <w:pPr>
        <w:spacing w:after="80" w:line="320" w:lineRule="exact"/>
        <w:ind w:firstLine="283"/>
        <w:rPr>
          <w:rFonts w:hint="cs"/>
          <w:sz w:val="22"/>
          <w:szCs w:val="24"/>
          <w:rtl/>
        </w:rPr>
      </w:pPr>
      <w:r>
        <w:rPr>
          <w:rFonts w:hint="cs"/>
          <w:sz w:val="22"/>
          <w:szCs w:val="24"/>
          <w:rtl/>
        </w:rPr>
        <w:t>פרחי הוסיפה ותיארה, כיצד עם סיום הפגישה, בסמוך לשעה 19.30,  אספה את חפציה וביקשה ללכת הביתה. או אז, החל הנאשם לשוחח עמה בשיחה אישית, החל לתחקר אותה כיצד היא מסתדרת כאשה גרושה, עם גידול הילדים, היא אספה את חפציה והחלה פונה לכיוון דלת המשרד,  הנאשם השיג אותה, נעל את הדלת, כיבה את האור,  עטף אותה בשתי ידיו, והצמיד אותה אל הקיר. היא השתחררה, רצה החוצה, ומיד חייגה בחיוג חוזר לעד מיקי רווה, שהיה המספר האחרון אותו חייגה בפלאפון שלה.</w:t>
      </w:r>
      <w:r>
        <w:rPr>
          <w:color w:val="FFFFFF"/>
          <w:sz w:val="4"/>
          <w:szCs w:val="4"/>
          <w:rtl/>
        </w:rPr>
        <w:t>ב</w:t>
      </w:r>
    </w:p>
    <w:p w14:paraId="64CB9355" w14:textId="77777777" w:rsidR="0074023F" w:rsidRDefault="0074023F">
      <w:pPr>
        <w:spacing w:after="80" w:line="320" w:lineRule="exact"/>
        <w:ind w:firstLine="283"/>
        <w:rPr>
          <w:rFonts w:hint="cs"/>
          <w:sz w:val="22"/>
          <w:szCs w:val="24"/>
          <w:rtl/>
        </w:rPr>
      </w:pPr>
      <w:r>
        <w:rPr>
          <w:rFonts w:hint="cs"/>
          <w:sz w:val="22"/>
          <w:szCs w:val="24"/>
          <w:rtl/>
        </w:rPr>
        <w:t>היא פגשה במיקי רווה מיד בתחתית המדרגות, והוא אמר לה לפנות מיד למשטרה.</w:t>
      </w:r>
      <w:r>
        <w:rPr>
          <w:color w:val="FFFFFF"/>
          <w:sz w:val="4"/>
          <w:szCs w:val="4"/>
          <w:rtl/>
        </w:rPr>
        <w:t>ו</w:t>
      </w:r>
    </w:p>
    <w:p w14:paraId="70E0232E" w14:textId="77777777" w:rsidR="0074023F" w:rsidRDefault="0074023F">
      <w:pPr>
        <w:spacing w:after="80" w:line="320" w:lineRule="exact"/>
        <w:ind w:firstLine="283"/>
        <w:rPr>
          <w:rFonts w:hint="cs"/>
          <w:sz w:val="22"/>
          <w:szCs w:val="24"/>
          <w:rtl/>
        </w:rPr>
      </w:pPr>
      <w:r>
        <w:rPr>
          <w:rFonts w:hint="cs"/>
          <w:sz w:val="22"/>
          <w:szCs w:val="24"/>
          <w:rtl/>
        </w:rPr>
        <w:t>פרחי הוסיפהו תארה כיצד מאנה לפנות למשטרה, היא ביקשה ללכת  לחברתה חנה על מנת להירגע, ולשם אכן הלכה. מיד כשהגיעה  לביתה של חנה פרצה בבכי מר, והתקשרה למי שהיה אז חברה, מר זאב ירושלמי, שנמנה על עדי התביעה.</w:t>
      </w:r>
      <w:r>
        <w:rPr>
          <w:color w:val="FFFFFF"/>
          <w:sz w:val="4"/>
          <w:szCs w:val="4"/>
          <w:rtl/>
        </w:rPr>
        <w:t>נ</w:t>
      </w:r>
    </w:p>
    <w:p w14:paraId="61B28CDA" w14:textId="77777777" w:rsidR="0074023F" w:rsidRDefault="0074023F">
      <w:pPr>
        <w:spacing w:after="80" w:line="320" w:lineRule="exact"/>
        <w:ind w:firstLine="283"/>
        <w:rPr>
          <w:rFonts w:hint="cs"/>
          <w:sz w:val="22"/>
          <w:szCs w:val="24"/>
          <w:rtl/>
        </w:rPr>
      </w:pPr>
      <w:r>
        <w:rPr>
          <w:rFonts w:hint="cs"/>
          <w:sz w:val="22"/>
          <w:szCs w:val="24"/>
          <w:rtl/>
        </w:rPr>
        <w:t>זאב ירושלמי ביקש לשכנעה להגיש תלונה במשטרה, אולם היא ביקשה זמן לעצמה, וסירבה לכך שיגיע. בבוקר המחרת, התקשר הנאשם והתנצל בפניה.</w:t>
      </w:r>
      <w:r>
        <w:rPr>
          <w:color w:val="FFFFFF"/>
          <w:sz w:val="4"/>
          <w:szCs w:val="4"/>
          <w:rtl/>
        </w:rPr>
        <w:t>ב</w:t>
      </w:r>
    </w:p>
    <w:p w14:paraId="19D26BD4" w14:textId="77777777" w:rsidR="0074023F" w:rsidRDefault="0074023F">
      <w:pPr>
        <w:spacing w:after="80" w:line="320" w:lineRule="exact"/>
        <w:ind w:firstLine="283"/>
        <w:rPr>
          <w:rFonts w:hint="cs"/>
          <w:sz w:val="22"/>
          <w:szCs w:val="24"/>
          <w:rtl/>
        </w:rPr>
      </w:pPr>
      <w:r>
        <w:rPr>
          <w:rFonts w:hint="cs"/>
          <w:sz w:val="22"/>
          <w:szCs w:val="24"/>
          <w:rtl/>
        </w:rPr>
        <w:t>אלה אם כן, העובדות הבסיסיות בפרשה.</w:t>
      </w:r>
      <w:r>
        <w:rPr>
          <w:color w:val="FFFFFF"/>
          <w:sz w:val="4"/>
          <w:szCs w:val="4"/>
          <w:rtl/>
        </w:rPr>
        <w:t>ו</w:t>
      </w:r>
    </w:p>
    <w:p w14:paraId="387F5552" w14:textId="77777777" w:rsidR="0074023F" w:rsidRDefault="0074023F">
      <w:pPr>
        <w:spacing w:after="80" w:line="320" w:lineRule="exact"/>
        <w:ind w:firstLine="283"/>
        <w:rPr>
          <w:rFonts w:hint="cs"/>
          <w:sz w:val="22"/>
          <w:szCs w:val="24"/>
          <w:rtl/>
        </w:rPr>
      </w:pPr>
      <w:r>
        <w:rPr>
          <w:rFonts w:hint="cs"/>
          <w:sz w:val="22"/>
          <w:szCs w:val="24"/>
          <w:rtl/>
        </w:rPr>
        <w:t>כפי שכבר ציינתי, טוען הנאשם כי מדובר בהמצאה, מעין קשר שקשרה פרחי על מנת לפגוע בו.  כאמור, אין בטענות אלה דבר וחצי דבר.</w:t>
      </w:r>
    </w:p>
    <w:p w14:paraId="07F8F233" w14:textId="77777777" w:rsidR="0074023F" w:rsidRDefault="0074023F">
      <w:pPr>
        <w:spacing w:after="80" w:line="320" w:lineRule="exact"/>
        <w:ind w:firstLine="283"/>
        <w:rPr>
          <w:rFonts w:hint="cs"/>
          <w:sz w:val="22"/>
          <w:szCs w:val="24"/>
          <w:rtl/>
        </w:rPr>
      </w:pPr>
      <w:r>
        <w:rPr>
          <w:rFonts w:hint="cs"/>
          <w:sz w:val="22"/>
          <w:szCs w:val="24"/>
          <w:rtl/>
        </w:rPr>
        <w:t>העיד זאב ירושלמי, שבין לבין כבר הספיק להיפרד מפרחי ואין לו כל עניין לסייע לה או לתמוך בה, מעבר למסירת עדות אמת, כי בערב המקרה התקשרה אליו פרחי, מיד לאחר האירועים, כשהיא בוכיה ונסערת וסיפרה לו על האירועים.</w:t>
      </w:r>
    </w:p>
    <w:p w14:paraId="747045F9" w14:textId="77777777" w:rsidR="0074023F" w:rsidRDefault="0074023F">
      <w:pPr>
        <w:spacing w:after="80" w:line="320" w:lineRule="exact"/>
        <w:ind w:firstLine="283"/>
        <w:rPr>
          <w:rFonts w:hint="cs"/>
          <w:sz w:val="22"/>
          <w:szCs w:val="24"/>
          <w:rtl/>
        </w:rPr>
      </w:pPr>
      <w:r>
        <w:rPr>
          <w:rFonts w:hint="cs"/>
          <w:sz w:val="22"/>
          <w:szCs w:val="24"/>
          <w:rtl/>
        </w:rPr>
        <w:t>היא תארה את המקרה, באופן דומה ביותר לעדותה בבית המשפט, דהיינו:  כיבוי האורות בסיום הפגישה, נסיון החיבוק.</w:t>
      </w:r>
    </w:p>
    <w:p w14:paraId="12394B2F" w14:textId="77777777" w:rsidR="0074023F" w:rsidRDefault="0074023F">
      <w:pPr>
        <w:spacing w:after="80" w:line="320" w:lineRule="exact"/>
        <w:ind w:firstLine="283"/>
        <w:rPr>
          <w:rFonts w:hint="cs"/>
          <w:sz w:val="22"/>
          <w:szCs w:val="24"/>
          <w:rtl/>
        </w:rPr>
      </w:pPr>
      <w:r>
        <w:rPr>
          <w:rFonts w:hint="cs"/>
          <w:sz w:val="22"/>
          <w:szCs w:val="24"/>
          <w:rtl/>
        </w:rPr>
        <w:t>ירושלמי גם הוסיף ותאר מפיה של פרחי, כי מיד עם סיום האירוע, פנתה למיקי רווה.</w:t>
      </w:r>
    </w:p>
    <w:p w14:paraId="3B0608F1" w14:textId="77777777" w:rsidR="0074023F" w:rsidRDefault="0074023F">
      <w:pPr>
        <w:spacing w:after="80" w:line="320" w:lineRule="exact"/>
        <w:ind w:firstLine="283"/>
        <w:rPr>
          <w:rFonts w:hint="cs"/>
          <w:sz w:val="22"/>
          <w:szCs w:val="24"/>
          <w:rtl/>
        </w:rPr>
      </w:pPr>
      <w:r>
        <w:rPr>
          <w:rFonts w:hint="cs"/>
          <w:sz w:val="22"/>
          <w:szCs w:val="24"/>
          <w:rtl/>
        </w:rPr>
        <w:t>הוא הוסיף ותאר כיצד הציע לפרחי לפנות למשטרה, אולם זאת פחדה לעשות כן בכדי לא לפגוע במקום העבודה שלה, ובמקום זאת העדיפה לשוחח עם הקב"ט מיקי רווה.</w:t>
      </w:r>
    </w:p>
    <w:p w14:paraId="7191C83C" w14:textId="77777777" w:rsidR="0074023F" w:rsidRDefault="0074023F">
      <w:pPr>
        <w:spacing w:after="80" w:line="320" w:lineRule="exact"/>
        <w:ind w:firstLine="283"/>
        <w:rPr>
          <w:rFonts w:hint="cs"/>
          <w:sz w:val="22"/>
          <w:szCs w:val="24"/>
          <w:rtl/>
        </w:rPr>
      </w:pPr>
      <w:r>
        <w:rPr>
          <w:rFonts w:hint="cs"/>
          <w:sz w:val="22"/>
          <w:szCs w:val="24"/>
          <w:rtl/>
        </w:rPr>
        <w:t xml:space="preserve">הוא גם תמך בגרסתה של פרחי,  ככל שהדבר נוגע להטרדות המיניות החוזרות והנשנות מצדו של הנאשם, כמתואר בעדותה של פרחי. </w:t>
      </w:r>
    </w:p>
    <w:p w14:paraId="00BB98F7" w14:textId="77777777" w:rsidR="0074023F" w:rsidRDefault="0074023F">
      <w:pPr>
        <w:spacing w:after="80" w:line="320" w:lineRule="exact"/>
        <w:ind w:firstLine="283"/>
        <w:rPr>
          <w:rFonts w:hint="cs"/>
          <w:sz w:val="22"/>
          <w:szCs w:val="24"/>
          <w:rtl/>
        </w:rPr>
      </w:pPr>
      <w:r>
        <w:rPr>
          <w:rFonts w:hint="cs"/>
          <w:sz w:val="22"/>
          <w:szCs w:val="24"/>
          <w:rtl/>
        </w:rPr>
        <w:lastRenderedPageBreak/>
        <w:t>נקודה חשובה נוספת היא, העובדה שפרחי סיפרה לעד זה, בזמן אמיתי,  על ההצעה שבאה מצד הנאשם להצטרף אליו להשתלמות בים המלח.</w:t>
      </w:r>
    </w:p>
    <w:p w14:paraId="37E7F640" w14:textId="77777777" w:rsidR="0074023F" w:rsidRDefault="0074023F">
      <w:pPr>
        <w:spacing w:after="80" w:line="320" w:lineRule="exact"/>
        <w:ind w:firstLine="283"/>
        <w:rPr>
          <w:rFonts w:hint="cs"/>
          <w:sz w:val="22"/>
          <w:szCs w:val="24"/>
          <w:rtl/>
        </w:rPr>
      </w:pPr>
      <w:r>
        <w:rPr>
          <w:rFonts w:hint="cs"/>
          <w:sz w:val="22"/>
          <w:szCs w:val="24"/>
          <w:rtl/>
        </w:rPr>
        <w:t>חרף חקירה נגדית נמרצת מצדו של הסנגור, לא נסתרה  גרסתו של עד זה, ולו במעט.</w:t>
      </w:r>
    </w:p>
    <w:p w14:paraId="58DEC9C5" w14:textId="77777777" w:rsidR="0074023F" w:rsidRDefault="0074023F">
      <w:pPr>
        <w:spacing w:after="80" w:line="320" w:lineRule="exact"/>
        <w:ind w:firstLine="283"/>
        <w:rPr>
          <w:rFonts w:hint="cs"/>
          <w:sz w:val="22"/>
          <w:szCs w:val="24"/>
          <w:rtl/>
        </w:rPr>
      </w:pPr>
      <w:r>
        <w:rPr>
          <w:rFonts w:hint="cs"/>
          <w:sz w:val="22"/>
          <w:szCs w:val="24"/>
          <w:rtl/>
        </w:rPr>
        <w:t xml:space="preserve">אמנם הוגש התצהיר שנתן עד זה במסגרת הליכים שניהלה וככל הנראה עודנה מנהלת פרחי בבית הדין לעבודה, וגרסתו של העד   בתצהיר היתה מרוככת יותר, אך בסופו של דבר ברור למקרא התצהיר כי המדובר במי שחווה ביחד עם פרחי לאורך השנים, את ההטרדות החוזרות והנשנות מצדו של הנאשם, בצד עובדות האירוע שבגינו עומד הנאשם לדין, בגין עבירת מעשים מגונים. </w:t>
      </w:r>
    </w:p>
    <w:p w14:paraId="75EF6BAC" w14:textId="77777777" w:rsidR="0074023F" w:rsidRDefault="0074023F">
      <w:pPr>
        <w:spacing w:after="80" w:line="320" w:lineRule="exact"/>
        <w:ind w:firstLine="283"/>
        <w:rPr>
          <w:rFonts w:hint="cs"/>
          <w:sz w:val="22"/>
          <w:szCs w:val="24"/>
          <w:rtl/>
        </w:rPr>
      </w:pPr>
      <w:r>
        <w:rPr>
          <w:rFonts w:hint="cs"/>
          <w:sz w:val="22"/>
          <w:szCs w:val="24"/>
          <w:rtl/>
        </w:rPr>
        <w:t>תימוכין נוספים לגרסתה של פרחי נמצאו בעדותו של העד מיקי רווה.</w:t>
      </w:r>
    </w:p>
    <w:p w14:paraId="7D028EE8" w14:textId="77777777" w:rsidR="0074023F" w:rsidRDefault="0074023F">
      <w:pPr>
        <w:spacing w:after="80" w:line="320" w:lineRule="exact"/>
        <w:ind w:firstLine="283"/>
        <w:rPr>
          <w:rFonts w:hint="cs"/>
          <w:sz w:val="22"/>
          <w:szCs w:val="24"/>
          <w:rtl/>
        </w:rPr>
      </w:pPr>
      <w:r>
        <w:rPr>
          <w:rFonts w:hint="cs"/>
          <w:sz w:val="22"/>
          <w:szCs w:val="24"/>
          <w:rtl/>
        </w:rPr>
        <w:t>כבר התיחסתי לעיל לנושא הקשר בין עד זה לבין פרחי, לעובדה שבדיעבד ניסה הנאשם לשוות לקשר מראה אינטימי ואישי יותר מזה שהשניים העידו עליו,  מבלי שהם נחקרו בנושא זה כלל ועיקר, מה שברור הוא כי מדובר בחברים טובים.</w:t>
      </w:r>
    </w:p>
    <w:p w14:paraId="663149FF" w14:textId="77777777" w:rsidR="0074023F" w:rsidRDefault="0074023F">
      <w:pPr>
        <w:spacing w:after="80" w:line="320" w:lineRule="exact"/>
        <w:ind w:firstLine="283"/>
        <w:rPr>
          <w:rFonts w:hint="cs"/>
          <w:sz w:val="22"/>
          <w:szCs w:val="24"/>
          <w:rtl/>
        </w:rPr>
      </w:pPr>
      <w:r>
        <w:rPr>
          <w:rFonts w:hint="cs"/>
          <w:sz w:val="22"/>
          <w:szCs w:val="24"/>
          <w:rtl/>
        </w:rPr>
        <w:t>חרף זאת, ניכר היה ברווה שהוא מעיד עדות אמת, שהוא השתדל עד מאד לדייק בעובדות כפי שזכר אותן, וכפי שחווה אותן בזמן אמת.</w:t>
      </w:r>
    </w:p>
    <w:p w14:paraId="0BF0B540" w14:textId="77777777" w:rsidR="0074023F" w:rsidRDefault="0074023F">
      <w:pPr>
        <w:spacing w:after="80" w:line="320" w:lineRule="exact"/>
        <w:ind w:firstLine="283"/>
        <w:rPr>
          <w:rFonts w:hint="cs"/>
          <w:sz w:val="22"/>
          <w:szCs w:val="24"/>
          <w:rtl/>
        </w:rPr>
      </w:pPr>
      <w:r>
        <w:rPr>
          <w:rFonts w:hint="cs"/>
          <w:sz w:val="22"/>
          <w:szCs w:val="24"/>
          <w:rtl/>
        </w:rPr>
        <w:t>גם עד זה סיפר כיצד התלוננה פרחי באזניו, פעם אחר פעם, על ההטרדות המילוליות מצדו של הנאשם, לרבות תוכן ההטרדות, בהתיחס למבנה רגליה, ללבושה, וכיוצא באלה אמירות.</w:t>
      </w:r>
    </w:p>
    <w:p w14:paraId="2C660429" w14:textId="77777777" w:rsidR="0074023F" w:rsidRDefault="0074023F">
      <w:pPr>
        <w:spacing w:after="80" w:line="320" w:lineRule="exact"/>
        <w:ind w:firstLine="283"/>
        <w:rPr>
          <w:rFonts w:hint="cs"/>
          <w:sz w:val="22"/>
          <w:szCs w:val="24"/>
          <w:rtl/>
        </w:rPr>
      </w:pPr>
      <w:r>
        <w:rPr>
          <w:rFonts w:hint="cs"/>
          <w:sz w:val="22"/>
          <w:szCs w:val="24"/>
          <w:rtl/>
        </w:rPr>
        <w:t xml:space="preserve">גם לעד זה סיפרה פרחי, בזמן אמיתי, על הצעתו של הנאשם, להתלוות אליו להשתלמות בים המלח (עמ'  13 לפרוטוקול, בחלקו הראשון של העמוד). </w:t>
      </w:r>
    </w:p>
    <w:p w14:paraId="60BA5D4D" w14:textId="77777777" w:rsidR="0074023F" w:rsidRDefault="0074023F">
      <w:pPr>
        <w:spacing w:after="80" w:line="320" w:lineRule="exact"/>
        <w:ind w:firstLine="283"/>
        <w:rPr>
          <w:rFonts w:hint="cs"/>
          <w:sz w:val="22"/>
          <w:szCs w:val="24"/>
          <w:rtl/>
        </w:rPr>
      </w:pPr>
      <w:r>
        <w:rPr>
          <w:rFonts w:hint="cs"/>
          <w:sz w:val="22"/>
          <w:szCs w:val="24"/>
          <w:rtl/>
        </w:rPr>
        <w:t xml:space="preserve">בהתיחס לאירוע המעשים המגונים, סיפר העד כי ביום המקרה, התקשרה אליו פרחי כשהיא "לחוצה", זמן מה לפני השעה המיועדת לפגישה, וסיפרה לו שהיא אמורה ללכת אליה ולא יודעת כל כך מה לעשות. </w:t>
      </w:r>
    </w:p>
    <w:p w14:paraId="689A4CF4" w14:textId="77777777" w:rsidR="0074023F" w:rsidRDefault="0074023F">
      <w:pPr>
        <w:spacing w:after="80" w:line="320" w:lineRule="exact"/>
        <w:ind w:firstLine="283"/>
        <w:rPr>
          <w:rFonts w:hint="cs"/>
          <w:sz w:val="22"/>
          <w:szCs w:val="24"/>
          <w:rtl/>
        </w:rPr>
      </w:pPr>
      <w:r>
        <w:rPr>
          <w:rFonts w:hint="cs"/>
          <w:sz w:val="22"/>
          <w:szCs w:val="24"/>
          <w:rtl/>
        </w:rPr>
        <w:t>מיד לאחר האירוע,  שבה פרחי והתקשרה אליו, סיפרה לו כיצד ניסה הנאשם לחבקה, תוך כיבוי האורות, כמתואר בעדותה, והוא מיד אמר לה לפנות למשטרה, אלא שהיא מאנה לעשות כן מחשש פן יבולע לה.</w:t>
      </w:r>
    </w:p>
    <w:p w14:paraId="028721C2" w14:textId="77777777" w:rsidR="0074023F" w:rsidRDefault="0074023F">
      <w:pPr>
        <w:spacing w:after="80" w:line="320" w:lineRule="exact"/>
        <w:ind w:firstLine="283"/>
        <w:rPr>
          <w:rFonts w:hint="cs"/>
          <w:sz w:val="22"/>
          <w:szCs w:val="24"/>
          <w:rtl/>
        </w:rPr>
      </w:pPr>
      <w:r>
        <w:rPr>
          <w:rFonts w:hint="cs"/>
          <w:sz w:val="22"/>
          <w:szCs w:val="24"/>
          <w:rtl/>
        </w:rPr>
        <w:t>העד הוסיף ותאר, כיצד הרגיש לא נוח עם מה שסיפרה לו פרחי, מן הטעם הזה פנה מיד למנכ"ל המועצה (יורם כרמון), ותאר באזניו את שסיפרה לו פרחי (עמ' 15  בתחילת העמוד).  גם עמדתו של כרמון היתה כי יש להגיש תלונה למשטרה בענין זה.</w:t>
      </w:r>
    </w:p>
    <w:p w14:paraId="1526BF49" w14:textId="77777777" w:rsidR="0074023F" w:rsidRDefault="0074023F">
      <w:pPr>
        <w:spacing w:after="80" w:line="320" w:lineRule="exact"/>
        <w:ind w:firstLine="283"/>
        <w:rPr>
          <w:rFonts w:hint="cs"/>
          <w:sz w:val="22"/>
          <w:szCs w:val="24"/>
          <w:rtl/>
        </w:rPr>
      </w:pPr>
      <w:r>
        <w:rPr>
          <w:rFonts w:hint="cs"/>
          <w:sz w:val="22"/>
          <w:szCs w:val="24"/>
          <w:rtl/>
        </w:rPr>
        <w:t>במהלך החקירה הנגדית, לא נסתרה גרסתו של העד ולו במעט.</w:t>
      </w:r>
    </w:p>
    <w:p w14:paraId="0A8502A8" w14:textId="77777777" w:rsidR="0074023F" w:rsidRDefault="0074023F">
      <w:pPr>
        <w:spacing w:after="80" w:line="320" w:lineRule="exact"/>
        <w:ind w:firstLine="283"/>
        <w:rPr>
          <w:rFonts w:hint="cs"/>
          <w:sz w:val="22"/>
          <w:szCs w:val="24"/>
          <w:rtl/>
        </w:rPr>
      </w:pPr>
      <w:r>
        <w:rPr>
          <w:rFonts w:hint="cs"/>
          <w:sz w:val="22"/>
          <w:szCs w:val="24"/>
          <w:rtl/>
        </w:rPr>
        <w:t xml:space="preserve">הסנגור ביקש להצביע על סתירות מסוימות בין תצהיר שמסר העד לבין גרסתו בבית המשפט, אולם מדובר בסתירות שוליות שבשוליות, ללא כל משמעות של ממש. </w:t>
      </w:r>
    </w:p>
    <w:p w14:paraId="2BC394D0" w14:textId="77777777" w:rsidR="0074023F" w:rsidRDefault="0074023F">
      <w:pPr>
        <w:spacing w:after="80" w:line="320" w:lineRule="exact"/>
        <w:ind w:firstLine="283"/>
        <w:rPr>
          <w:rFonts w:hint="cs"/>
          <w:sz w:val="22"/>
          <w:szCs w:val="24"/>
          <w:rtl/>
        </w:rPr>
      </w:pPr>
      <w:r>
        <w:rPr>
          <w:rFonts w:hint="cs"/>
          <w:sz w:val="22"/>
          <w:szCs w:val="24"/>
          <w:rtl/>
        </w:rPr>
        <w:t>כפי שכבר ציינתי, סיפר העד רווה כיצד פנה למי שהיה אז, ועודנו היום, מנכ"ל המועצה המקומית מכבים-רעות.</w:t>
      </w:r>
    </w:p>
    <w:p w14:paraId="0930C8BB" w14:textId="77777777" w:rsidR="0074023F" w:rsidRDefault="0074023F">
      <w:pPr>
        <w:spacing w:after="80" w:line="320" w:lineRule="exact"/>
        <w:ind w:firstLine="283"/>
        <w:rPr>
          <w:rFonts w:hint="cs"/>
          <w:sz w:val="22"/>
          <w:szCs w:val="24"/>
          <w:rtl/>
        </w:rPr>
      </w:pPr>
      <w:r>
        <w:rPr>
          <w:rFonts w:hint="cs"/>
          <w:sz w:val="22"/>
          <w:szCs w:val="24"/>
          <w:rtl/>
        </w:rPr>
        <w:t>אם פרחי ורווה "חשודים" ברצון לפגוע בנאשם או להרע לו (וכפי שכבר ציינתי יותר מפעם אחת, אין רגליים לחשד זה),  אזי כרמון הינו חברו של הנאשם, ניכר היה בו גם לאורך עדותו שהוא מבקש לסייע לנאשם ככל שיוכל. אין זה העד שביקש את רעתו של הנאשם.</w:t>
      </w:r>
    </w:p>
    <w:p w14:paraId="2F916741" w14:textId="77777777" w:rsidR="0074023F" w:rsidRDefault="0074023F">
      <w:pPr>
        <w:spacing w:after="80" w:line="320" w:lineRule="exact"/>
        <w:ind w:firstLine="283"/>
        <w:rPr>
          <w:rFonts w:hint="cs"/>
          <w:sz w:val="22"/>
          <w:szCs w:val="24"/>
          <w:rtl/>
        </w:rPr>
      </w:pPr>
      <w:r>
        <w:rPr>
          <w:rFonts w:hint="cs"/>
          <w:sz w:val="22"/>
          <w:szCs w:val="24"/>
          <w:rtl/>
        </w:rPr>
        <w:t xml:space="preserve">בעדותו סיפר כרמון כיצד פנה אליו רווה, וגולל באזניו את שסיפרה לו פרחי, הן ככל שהדבר נוגע להזמנה לכנס בים המלח והן ככל שהדבר נוגע למעשה המגונה (עמ' 22 באמצע העמוד). </w:t>
      </w:r>
    </w:p>
    <w:p w14:paraId="783300BA" w14:textId="77777777" w:rsidR="0074023F" w:rsidRDefault="0074023F">
      <w:pPr>
        <w:spacing w:after="80" w:line="320" w:lineRule="exact"/>
        <w:ind w:firstLine="283"/>
        <w:rPr>
          <w:rFonts w:hint="cs"/>
          <w:sz w:val="22"/>
          <w:szCs w:val="24"/>
          <w:rtl/>
        </w:rPr>
      </w:pPr>
      <w:r>
        <w:rPr>
          <w:rFonts w:hint="cs"/>
          <w:sz w:val="22"/>
          <w:szCs w:val="24"/>
          <w:rtl/>
        </w:rPr>
        <w:t>העד הוסיף ותאר, בדיוק כפי שעשה זאת רווה לפניו, כי עמדתו הנחרצת היתה שיש בראש ובראשונה להגיש תלונה במשטרה.</w:t>
      </w:r>
    </w:p>
    <w:p w14:paraId="57AFD0C9" w14:textId="77777777" w:rsidR="0074023F" w:rsidRDefault="0074023F">
      <w:pPr>
        <w:spacing w:after="80" w:line="320" w:lineRule="exact"/>
        <w:ind w:firstLine="283"/>
        <w:rPr>
          <w:rFonts w:hint="cs"/>
          <w:sz w:val="22"/>
          <w:szCs w:val="24"/>
          <w:rtl/>
        </w:rPr>
      </w:pPr>
      <w:r>
        <w:rPr>
          <w:rFonts w:hint="cs"/>
          <w:sz w:val="22"/>
          <w:szCs w:val="24"/>
          <w:rtl/>
        </w:rPr>
        <w:t>במהלך החקירה הנגדית, אישר כרמון כי פרחי היתה מושא לתלונות בגין עבודתה לאורך הזמן, כי במועצה המקומית לא שבעו נחת מרמת עבודתה, הוא התרה בה (ראה למשל נ/2),  עד שבסופו של דבר פוטרה.</w:t>
      </w:r>
    </w:p>
    <w:p w14:paraId="0EE99A8C" w14:textId="77777777" w:rsidR="0074023F" w:rsidRDefault="0074023F">
      <w:pPr>
        <w:spacing w:after="80" w:line="320" w:lineRule="exact"/>
        <w:ind w:firstLine="283"/>
        <w:rPr>
          <w:rFonts w:hint="cs"/>
          <w:sz w:val="22"/>
          <w:szCs w:val="24"/>
          <w:rtl/>
        </w:rPr>
      </w:pPr>
      <w:r>
        <w:rPr>
          <w:rFonts w:hint="cs"/>
          <w:sz w:val="22"/>
          <w:szCs w:val="24"/>
          <w:rtl/>
        </w:rPr>
        <w:t>לא מצאתי כיצד היה בחקירה נגדית זאת כדי לגרוע מהמהות של עדות כרמון.</w:t>
      </w:r>
    </w:p>
    <w:p w14:paraId="32DA9313" w14:textId="77777777" w:rsidR="0074023F" w:rsidRDefault="0074023F">
      <w:pPr>
        <w:spacing w:after="80" w:line="320" w:lineRule="exact"/>
        <w:ind w:firstLine="283"/>
        <w:rPr>
          <w:rFonts w:hint="cs"/>
          <w:sz w:val="22"/>
          <w:szCs w:val="24"/>
          <w:rtl/>
        </w:rPr>
      </w:pPr>
      <w:r>
        <w:rPr>
          <w:rFonts w:hint="cs"/>
          <w:sz w:val="22"/>
          <w:szCs w:val="24"/>
          <w:rtl/>
        </w:rPr>
        <w:t>כפי שכבר ציינתי, היה בעדות זאת כדי לחזק חיזוק של ממש את הטענה שנשמעה מפיה של פרחי, שלכל אורך הזמן התלוננה, בזמן אמיתי, על מעשיו של הנאשם כלפיה, פעם אחר פעם.</w:t>
      </w:r>
    </w:p>
    <w:p w14:paraId="06490BCF" w14:textId="77777777" w:rsidR="0074023F" w:rsidRDefault="0074023F">
      <w:pPr>
        <w:spacing w:after="80" w:line="320" w:lineRule="exact"/>
        <w:ind w:firstLine="283"/>
        <w:rPr>
          <w:rFonts w:hint="cs"/>
          <w:sz w:val="22"/>
          <w:szCs w:val="24"/>
          <w:rtl/>
        </w:rPr>
      </w:pPr>
      <w:r>
        <w:rPr>
          <w:rFonts w:hint="cs"/>
          <w:sz w:val="22"/>
          <w:szCs w:val="24"/>
          <w:rtl/>
        </w:rPr>
        <w:t>ברור ממארג העדויות,  כפי שהוצג לפני, כי פרחי נמנעה באופן רציף ועקבי מהגשת תלונה, מחשש למקום עבודתה.</w:t>
      </w:r>
    </w:p>
    <w:p w14:paraId="3B56B7C0" w14:textId="77777777" w:rsidR="0074023F" w:rsidRDefault="0074023F">
      <w:pPr>
        <w:spacing w:after="80" w:line="320" w:lineRule="exact"/>
        <w:ind w:firstLine="283"/>
        <w:rPr>
          <w:rFonts w:hint="cs"/>
          <w:sz w:val="22"/>
          <w:szCs w:val="24"/>
          <w:rtl/>
        </w:rPr>
      </w:pPr>
      <w:r>
        <w:rPr>
          <w:rFonts w:hint="cs"/>
          <w:sz w:val="22"/>
          <w:szCs w:val="24"/>
          <w:rtl/>
        </w:rPr>
        <w:t>אינני מבקש לקבוע, במסגרת ההליך שלפני, כי בסופו של דבר פוטרה פרחי מחמת התנכלויות של הנאשם. ככל הנראה, אין אלה פני הדברים. עם זאת, ברור כי פרחי נמנעה מתלונה באופן רציף ועקבי, אך משום חשש לגורל עבודתה. משפוטרה בסופו של דבר, ככל הנראה על רקע אי שביעות רצון הממונה הישיר עליה מעבודתה, לא היתה כל מניעה יותר שתגיש תלונה במשטרה.</w:t>
      </w:r>
    </w:p>
    <w:p w14:paraId="08D41965" w14:textId="77777777" w:rsidR="0074023F" w:rsidRDefault="0074023F">
      <w:pPr>
        <w:spacing w:after="80" w:line="320" w:lineRule="exact"/>
        <w:ind w:firstLine="283"/>
        <w:rPr>
          <w:rFonts w:hint="cs"/>
          <w:sz w:val="22"/>
          <w:szCs w:val="24"/>
          <w:rtl/>
        </w:rPr>
      </w:pPr>
      <w:r>
        <w:rPr>
          <w:rFonts w:hint="cs"/>
          <w:sz w:val="22"/>
          <w:szCs w:val="24"/>
          <w:rtl/>
        </w:rPr>
        <w:t>אינני מכריע בשאלת הקשר בין הפיטורין לבין ההתרחשויות נשוא תיק זה, משום שראשית, אין זה נושא הטעון הכרעה בהליך לפני, ומעבר לכך, "מחותן" משמעותי לקביעה נדרשת שכזאת, מר חתוכה, לא העיד לפני, ומן הסתם עדותו עדות חיונית והכרחית לשם הכרעה בשאלה. מכל מקום, ברור וכך יש לקבוע לצורך ההליך שלפני, שפרחי נמנעה מהגשת התלונה,  לא משום שהדברים לא התרחשו אלא משום שהיא סברה, באמת ובתמים, שבכך תוכל לשייר את מקום עבודתה.</w:t>
      </w:r>
    </w:p>
    <w:p w14:paraId="4BDEE699" w14:textId="77777777" w:rsidR="0074023F" w:rsidRDefault="0074023F">
      <w:pPr>
        <w:spacing w:after="80" w:line="320" w:lineRule="exact"/>
        <w:ind w:firstLine="283"/>
        <w:rPr>
          <w:rFonts w:hint="cs"/>
          <w:sz w:val="22"/>
          <w:szCs w:val="24"/>
          <w:rtl/>
        </w:rPr>
      </w:pPr>
      <w:r>
        <w:rPr>
          <w:rFonts w:hint="cs"/>
          <w:sz w:val="22"/>
          <w:szCs w:val="24"/>
          <w:rtl/>
        </w:rPr>
        <w:t>הרבה אנרגיות ומאמצים השקיע הנאשם בהתיחס לאותו כנס בים המלח, שאליו הזמין את פרחי, בנסיון להראות כי גרסתה בענין זה בלתי אפשרית.</w:t>
      </w:r>
    </w:p>
    <w:p w14:paraId="41414A2F" w14:textId="77777777" w:rsidR="0074023F" w:rsidRDefault="0074023F">
      <w:pPr>
        <w:spacing w:after="80" w:line="320" w:lineRule="exact"/>
        <w:ind w:firstLine="283"/>
        <w:rPr>
          <w:rFonts w:hint="cs"/>
          <w:sz w:val="22"/>
          <w:szCs w:val="24"/>
          <w:rtl/>
        </w:rPr>
      </w:pPr>
      <w:r>
        <w:rPr>
          <w:rFonts w:hint="cs"/>
          <w:sz w:val="22"/>
          <w:szCs w:val="24"/>
          <w:rtl/>
        </w:rPr>
        <w:t>הוצגו מסמכים כאלה ואחרים, שהנאשם סבר שיש בהם כדי לתמוך בגרסתו, ואני סבור שאין בהם דבר וחצי דבר.</w:t>
      </w:r>
    </w:p>
    <w:p w14:paraId="00C7B54F" w14:textId="77777777" w:rsidR="0074023F" w:rsidRDefault="0074023F">
      <w:pPr>
        <w:spacing w:after="80" w:line="320" w:lineRule="exact"/>
        <w:ind w:firstLine="283"/>
        <w:rPr>
          <w:rFonts w:hint="cs"/>
          <w:sz w:val="22"/>
          <w:szCs w:val="24"/>
          <w:rtl/>
        </w:rPr>
      </w:pPr>
      <w:r>
        <w:rPr>
          <w:rFonts w:hint="cs"/>
          <w:sz w:val="22"/>
          <w:szCs w:val="24"/>
          <w:rtl/>
        </w:rPr>
        <w:t xml:space="preserve">ראשית, חשוב להדגיש, המסמכים שהוצגו מתיחסים לכנס בים המלח שהיה מאוחר למעשים נשוא כתב האישום. בהתיחס לכנס הקונקרטי או לאירוע הקונקרטי, לא הוצג כל מסמך שהוא, לא הובאה ראיה מצד המועצה בשאלת שהייתו של הנאשם בעבודה באותם ימים. מדובר בראיות זמינות לנאשם, שהוא נמנע משום מה מהבאתן. </w:t>
      </w:r>
    </w:p>
    <w:p w14:paraId="08834F13" w14:textId="77777777" w:rsidR="0074023F" w:rsidRDefault="0074023F">
      <w:pPr>
        <w:spacing w:after="80" w:line="320" w:lineRule="exact"/>
        <w:ind w:firstLine="283"/>
        <w:rPr>
          <w:rFonts w:hint="cs"/>
          <w:sz w:val="22"/>
          <w:szCs w:val="24"/>
          <w:rtl/>
        </w:rPr>
      </w:pPr>
      <w:r>
        <w:rPr>
          <w:rFonts w:hint="cs"/>
          <w:sz w:val="22"/>
          <w:szCs w:val="24"/>
          <w:rtl/>
        </w:rPr>
        <w:t>מעבר לכך, כפי שכבר ציינתי לעיל, בין אם התרחש האירוע במועד הספציפי, ובין אם לאו, מה שברור הוא כי ביום האירוע בו הציע הנאשם לפרחי להצטרף אליו לים המלח, סיפרה פרחי על כך  לרווה, ואף לירושלמי.</w:t>
      </w:r>
    </w:p>
    <w:p w14:paraId="307D484C" w14:textId="77777777" w:rsidR="0074023F" w:rsidRDefault="0074023F">
      <w:pPr>
        <w:spacing w:after="80" w:line="320" w:lineRule="exact"/>
        <w:ind w:firstLine="283"/>
        <w:rPr>
          <w:rFonts w:hint="cs"/>
          <w:sz w:val="22"/>
          <w:szCs w:val="24"/>
          <w:rtl/>
        </w:rPr>
      </w:pPr>
      <w:r>
        <w:rPr>
          <w:rFonts w:hint="cs"/>
          <w:sz w:val="22"/>
          <w:szCs w:val="24"/>
          <w:rtl/>
        </w:rPr>
        <w:t>באותה עת, לא הגישה פרחי כל תלונה שהיא, נושא תלונה לא עמד על הפרק, ובכך יש כדי לאשש את הטענה כי מדובר באמירות ספונטניות, שנועדו לחלוק את המצוקות אליהן נקלעה פרחי, פעם אחר פעם, אל מול הנאשם.</w:t>
      </w:r>
    </w:p>
    <w:p w14:paraId="514B5A05" w14:textId="77777777" w:rsidR="0074023F" w:rsidRDefault="0074023F">
      <w:pPr>
        <w:spacing w:after="80" w:line="320" w:lineRule="exact"/>
        <w:ind w:firstLine="283"/>
        <w:rPr>
          <w:rFonts w:hint="cs"/>
          <w:sz w:val="22"/>
          <w:szCs w:val="24"/>
          <w:rtl/>
        </w:rPr>
      </w:pPr>
      <w:r>
        <w:rPr>
          <w:rFonts w:hint="cs"/>
          <w:sz w:val="22"/>
          <w:szCs w:val="24"/>
          <w:rtl/>
        </w:rPr>
        <w:t xml:space="preserve">הוסיף הנאשם וטען, ביחס לפגישה הנטענת, כי פגישה כזאת כלל לא התרחשה, קל וחומר לא נעשו בה מעשים מגונים. </w:t>
      </w:r>
    </w:p>
    <w:p w14:paraId="52C9622C" w14:textId="77777777" w:rsidR="0074023F" w:rsidRDefault="0074023F">
      <w:pPr>
        <w:spacing w:after="80" w:line="320" w:lineRule="exact"/>
        <w:ind w:firstLine="283"/>
        <w:rPr>
          <w:rFonts w:hint="cs"/>
          <w:sz w:val="22"/>
          <w:szCs w:val="24"/>
          <w:rtl/>
        </w:rPr>
      </w:pPr>
      <w:r>
        <w:rPr>
          <w:rFonts w:hint="cs"/>
          <w:sz w:val="22"/>
          <w:szCs w:val="24"/>
          <w:rtl/>
        </w:rPr>
        <w:t xml:space="preserve">לשם כך הציג את מה שהתימר להיות היומן שלו. </w:t>
      </w:r>
    </w:p>
    <w:p w14:paraId="12C806CE" w14:textId="77777777" w:rsidR="0074023F" w:rsidRDefault="0074023F">
      <w:pPr>
        <w:spacing w:after="80" w:line="320" w:lineRule="exact"/>
        <w:ind w:firstLine="283"/>
        <w:rPr>
          <w:rFonts w:hint="cs"/>
          <w:sz w:val="22"/>
          <w:szCs w:val="24"/>
          <w:rtl/>
        </w:rPr>
      </w:pPr>
      <w:r>
        <w:rPr>
          <w:rFonts w:hint="cs"/>
          <w:sz w:val="22"/>
          <w:szCs w:val="24"/>
          <w:rtl/>
        </w:rPr>
        <w:t>יאמר מיד, אינני מוכן לקבל את המסמך כמשקף את יום הפגישות של הנאשם במועד הרלוונטי. ראשית, כפי שכתוב במסמך עצמו, אין הוא מלא. הערתי על כך בדיון, והדברים מצאו ביטויים בפרוטוקול. לא קיבלתי הסבר מניח את הדעת למה מופיע על המסמך הכיתוב "</w:t>
      </w:r>
      <w:r>
        <w:rPr>
          <w:sz w:val="22"/>
          <w:szCs w:val="24"/>
        </w:rPr>
        <w:t>MORE ITEMS</w:t>
      </w:r>
      <w:r>
        <w:rPr>
          <w:rFonts w:hint="cs"/>
          <w:sz w:val="22"/>
          <w:szCs w:val="24"/>
          <w:rtl/>
        </w:rPr>
        <w:t>".</w:t>
      </w:r>
    </w:p>
    <w:p w14:paraId="1EB9D7FE" w14:textId="77777777" w:rsidR="0074023F" w:rsidRDefault="0074023F">
      <w:pPr>
        <w:spacing w:after="80" w:line="320" w:lineRule="exact"/>
        <w:ind w:firstLine="283"/>
        <w:rPr>
          <w:rFonts w:hint="cs"/>
          <w:sz w:val="22"/>
          <w:szCs w:val="24"/>
          <w:rtl/>
        </w:rPr>
      </w:pPr>
      <w:r>
        <w:rPr>
          <w:rFonts w:hint="cs"/>
          <w:sz w:val="22"/>
          <w:szCs w:val="24"/>
          <w:rtl/>
        </w:rPr>
        <w:t>עדותו של הנאשם, עשתה עלי רושם רע במיוחד. ניכר היה בנאשם שהוא אינו חוסך במאמצים להכפיש את פרחי, אינו חוסך במאמצים לפגוע בה, לרבות בכל הנוגע למערכת יחסיה עם מיקי רווה, מערכת יחסים שעלתה לראשונה בעדותו, והוא אכן השקיע מאמצים רבים בנסיון להשחיר את פניה.</w:t>
      </w:r>
    </w:p>
    <w:p w14:paraId="5A9FE5DE" w14:textId="77777777" w:rsidR="0074023F" w:rsidRDefault="0074023F">
      <w:pPr>
        <w:spacing w:after="80" w:line="320" w:lineRule="exact"/>
        <w:ind w:firstLine="283"/>
        <w:rPr>
          <w:rFonts w:hint="cs"/>
          <w:sz w:val="22"/>
          <w:szCs w:val="24"/>
          <w:rtl/>
        </w:rPr>
      </w:pPr>
      <w:r>
        <w:rPr>
          <w:rFonts w:hint="cs"/>
          <w:sz w:val="22"/>
          <w:szCs w:val="24"/>
          <w:rtl/>
        </w:rPr>
        <w:t>מן הטעם הזה, לא הייתי מוכן לקבל כאמיתי מסמך שערך הנאשם עצמו, הוא זה שהפיק אותו, הוא זה שמתימר לטעון לנכונותו, מה גם, שעל פניו כאמור,  מדובר במסמך חסר, בלא הסבר לחסר.</w:t>
      </w:r>
    </w:p>
    <w:p w14:paraId="43425123" w14:textId="77777777" w:rsidR="0074023F" w:rsidRDefault="0074023F">
      <w:pPr>
        <w:spacing w:after="80" w:line="320" w:lineRule="exact"/>
        <w:ind w:firstLine="283"/>
        <w:rPr>
          <w:rFonts w:hint="cs"/>
          <w:sz w:val="22"/>
          <w:szCs w:val="24"/>
          <w:rtl/>
        </w:rPr>
      </w:pPr>
      <w:r>
        <w:rPr>
          <w:rFonts w:hint="cs"/>
          <w:sz w:val="22"/>
          <w:szCs w:val="24"/>
          <w:rtl/>
        </w:rPr>
        <w:t xml:space="preserve">הנאשם גם ביקש לטעון טענות כאלה  ואחרות על מבנה החדר וסבירות יכולתו להגיע למתג האור, מדובר בעניינים שוליים חסרי משמעות, שאין בינם ובין המהות, לוז הדברים, דבר וחצי דבר. </w:t>
      </w:r>
    </w:p>
    <w:p w14:paraId="622F7D3C" w14:textId="77777777" w:rsidR="0074023F" w:rsidRDefault="0074023F">
      <w:pPr>
        <w:spacing w:after="80" w:line="320" w:lineRule="exact"/>
        <w:ind w:firstLine="283"/>
        <w:rPr>
          <w:rFonts w:hint="cs"/>
          <w:sz w:val="22"/>
          <w:szCs w:val="24"/>
          <w:rtl/>
        </w:rPr>
      </w:pPr>
      <w:r>
        <w:rPr>
          <w:rFonts w:hint="cs"/>
          <w:sz w:val="22"/>
          <w:szCs w:val="24"/>
          <w:rtl/>
        </w:rPr>
        <w:t>יש להוסיף, כי הנאשם טען בעדותו (ראה למשל עמ' 81 לפרוטוקול), כי פרחי מצאה בו אוזן קשבת לצרותיה, פעם אחר פעם, עד כדי שהוא חש לפעמים נבוך מפניותיה.</w:t>
      </w:r>
    </w:p>
    <w:p w14:paraId="52E4589D" w14:textId="77777777" w:rsidR="0074023F" w:rsidRDefault="0074023F">
      <w:pPr>
        <w:spacing w:after="80" w:line="320" w:lineRule="exact"/>
        <w:ind w:firstLine="283"/>
        <w:rPr>
          <w:rFonts w:hint="cs"/>
          <w:sz w:val="22"/>
          <w:szCs w:val="24"/>
          <w:rtl/>
        </w:rPr>
      </w:pPr>
      <w:r>
        <w:rPr>
          <w:rFonts w:hint="cs"/>
          <w:sz w:val="22"/>
          <w:szCs w:val="24"/>
          <w:rtl/>
        </w:rPr>
        <w:t xml:space="preserve">הוא אמנם לא טען לחברות בינו לבין  פרחי, אך כאמור, זאת בחרה לשיטתו לשתף אותו בעניינים אישיים כאלה ואחרים. </w:t>
      </w:r>
    </w:p>
    <w:p w14:paraId="1D285581" w14:textId="77777777" w:rsidR="0074023F" w:rsidRDefault="0074023F">
      <w:pPr>
        <w:spacing w:after="80" w:line="320" w:lineRule="exact"/>
        <w:ind w:firstLine="283"/>
        <w:rPr>
          <w:rFonts w:hint="cs"/>
          <w:sz w:val="22"/>
          <w:szCs w:val="24"/>
          <w:rtl/>
        </w:rPr>
      </w:pPr>
      <w:r>
        <w:rPr>
          <w:rFonts w:hint="cs"/>
          <w:sz w:val="22"/>
          <w:szCs w:val="24"/>
          <w:rtl/>
        </w:rPr>
        <w:t xml:space="preserve">בנסיבות שכאלה, לא ברור אם כן, על שום מה ולמה תבחר פרחי להעליל דווקא על מי שהיא מוצאת בו אוזן קשבת. כפי שכבר ציינתי בפתח הכרעת הדין, היה "מועמד" רציני הרבה יותר להגשת תלונה כנגדו, לו מדובר היה בחיסול חשבונות או בפגיעה מכוונת, והוא אותו חתוכה, שהיה הממונה הישיר על פרחי, והוא זה שהביע חוסר שביעות רצון מעבודתה פעם אחר פעם,  עד כדי פיטוריה. </w:t>
      </w:r>
    </w:p>
    <w:p w14:paraId="2F6500DE" w14:textId="77777777" w:rsidR="0074023F" w:rsidRDefault="0074023F">
      <w:pPr>
        <w:spacing w:after="80" w:line="320" w:lineRule="exact"/>
        <w:ind w:firstLine="283"/>
        <w:rPr>
          <w:rFonts w:hint="cs"/>
          <w:sz w:val="22"/>
          <w:szCs w:val="24"/>
          <w:rtl/>
        </w:rPr>
      </w:pPr>
      <w:r>
        <w:rPr>
          <w:rFonts w:hint="cs"/>
          <w:sz w:val="22"/>
          <w:szCs w:val="24"/>
          <w:rtl/>
        </w:rPr>
        <w:t>אם מטרתה של פרחי היתה למנוע את האפשרות שתפוטר, הרי שהיעד הטבעי לתלונת שווא היה צריך להיות אותו חתוכה, ולא הנאשם.</w:t>
      </w:r>
    </w:p>
    <w:p w14:paraId="50DF17AB" w14:textId="77777777" w:rsidR="0074023F" w:rsidRDefault="0074023F">
      <w:pPr>
        <w:spacing w:after="80" w:line="320" w:lineRule="exact"/>
        <w:ind w:firstLine="283"/>
        <w:rPr>
          <w:rFonts w:hint="cs"/>
          <w:sz w:val="22"/>
          <w:szCs w:val="24"/>
          <w:rtl/>
        </w:rPr>
      </w:pPr>
      <w:r>
        <w:rPr>
          <w:rFonts w:hint="cs"/>
          <w:sz w:val="22"/>
          <w:szCs w:val="24"/>
          <w:rtl/>
        </w:rPr>
        <w:t>כפי שכבר ציינתי, טענותיו של הנאשם בענין זה ובעניינים אחרים כנגד פרחי, הינן טענות שווא.</w:t>
      </w:r>
    </w:p>
    <w:p w14:paraId="199BDEDA" w14:textId="77777777" w:rsidR="0074023F" w:rsidRDefault="0074023F">
      <w:pPr>
        <w:spacing w:after="80" w:line="320" w:lineRule="exact"/>
        <w:ind w:firstLine="283"/>
        <w:rPr>
          <w:rFonts w:hint="cs"/>
          <w:sz w:val="22"/>
          <w:szCs w:val="24"/>
          <w:rtl/>
        </w:rPr>
      </w:pPr>
      <w:r>
        <w:rPr>
          <w:rFonts w:hint="cs"/>
          <w:sz w:val="22"/>
          <w:szCs w:val="24"/>
          <w:rtl/>
        </w:rPr>
        <w:t>אני סבור כי האירועים התרחשו בדיוק כפי שתארה פרחי, הנאשם הטריד אותה לאורך זמן, מילולית, הציע לה לנסוע  עמו לכנס בים המלח ובהמשך, עבר מדיבורים למעשים, וביצע בה את המעשה המגונה כמתואר בכתב האישום ובעדותה של פרחי.</w:t>
      </w:r>
    </w:p>
    <w:p w14:paraId="0BC121F9" w14:textId="77777777" w:rsidR="0074023F" w:rsidRDefault="0074023F">
      <w:pPr>
        <w:spacing w:after="80" w:line="320" w:lineRule="exact"/>
        <w:ind w:firstLine="283"/>
        <w:rPr>
          <w:rFonts w:hint="cs"/>
          <w:sz w:val="22"/>
          <w:szCs w:val="24"/>
          <w:rtl/>
        </w:rPr>
      </w:pPr>
      <w:r>
        <w:rPr>
          <w:rFonts w:hint="cs"/>
          <w:sz w:val="22"/>
          <w:szCs w:val="24"/>
          <w:rtl/>
        </w:rPr>
        <w:t xml:space="preserve">בשים לב לכל האמור לעיל, אני מרשיע את הנאשם בעבירות המיוחסות  לו בכתב האישום, כמפורט בפתח הכרעת הדין. </w:t>
      </w:r>
    </w:p>
    <w:p w14:paraId="0B40F998" w14:textId="77777777" w:rsidR="0074023F" w:rsidRDefault="0074023F">
      <w:pPr>
        <w:spacing w:after="80" w:line="320" w:lineRule="exact"/>
        <w:ind w:firstLine="283"/>
        <w:rPr>
          <w:rFonts w:hint="cs"/>
          <w:sz w:val="22"/>
          <w:szCs w:val="24"/>
          <w:rtl/>
        </w:rPr>
      </w:pPr>
      <w:r>
        <w:rPr>
          <w:rFonts w:hint="cs"/>
          <w:sz w:val="22"/>
          <w:szCs w:val="24"/>
          <w:rtl/>
        </w:rPr>
        <w:t>בשולי טעוניו, ביקש הסנגור לחילופין להימנע מהרשעה.</w:t>
      </w:r>
    </w:p>
    <w:p w14:paraId="56B3EF2B" w14:textId="77777777" w:rsidR="0074023F" w:rsidRDefault="0074023F">
      <w:pPr>
        <w:spacing w:after="80" w:line="320" w:lineRule="exact"/>
        <w:ind w:firstLine="283"/>
        <w:rPr>
          <w:rFonts w:hint="cs"/>
          <w:sz w:val="22"/>
          <w:szCs w:val="24"/>
          <w:rtl/>
        </w:rPr>
      </w:pPr>
      <w:r>
        <w:rPr>
          <w:rFonts w:hint="cs"/>
          <w:sz w:val="22"/>
          <w:szCs w:val="24"/>
          <w:rtl/>
        </w:rPr>
        <w:t>אינני סבור כי יש מקום להעתר לבקשה שכזאת.</w:t>
      </w:r>
    </w:p>
    <w:p w14:paraId="4FEB323E" w14:textId="77777777" w:rsidR="0074023F" w:rsidRDefault="0074023F">
      <w:pPr>
        <w:spacing w:after="80" w:line="320" w:lineRule="exact"/>
        <w:ind w:firstLine="283"/>
        <w:rPr>
          <w:rFonts w:hint="cs"/>
          <w:sz w:val="22"/>
          <w:szCs w:val="24"/>
          <w:rtl/>
        </w:rPr>
      </w:pPr>
      <w:r>
        <w:rPr>
          <w:rFonts w:hint="cs"/>
          <w:sz w:val="22"/>
          <w:szCs w:val="24"/>
          <w:rtl/>
        </w:rPr>
        <w:t>מדובר במעשים חמורים ביותר שנעברו על ידי נאשם בתפקיד בכיר בשירות הציבורי, אני סבור כי ההיגיינה הציבורית, כמו גם הדין, מחייבים הרשעה בדין, שאם לא כן ימצא החוק בבחינת אות מתה.</w:t>
      </w:r>
    </w:p>
    <w:p w14:paraId="0CF34467" w14:textId="77777777" w:rsidR="0074023F" w:rsidRDefault="0074023F">
      <w:pPr>
        <w:spacing w:after="80" w:line="320" w:lineRule="exact"/>
        <w:ind w:firstLine="283"/>
        <w:rPr>
          <w:rFonts w:hint="cs"/>
          <w:sz w:val="22"/>
          <w:szCs w:val="24"/>
          <w:rtl/>
        </w:rPr>
      </w:pPr>
      <w:r>
        <w:rPr>
          <w:rFonts w:hint="cs"/>
          <w:sz w:val="22"/>
          <w:szCs w:val="24"/>
          <w:rtl/>
        </w:rPr>
        <w:t>יש בהימנעות מהרשעה, בנסיבות בהן התרחשו האירועים נשוא כתב האישום, כדי לשלוח מסר מוטעה ושגוי, ויש להעדיף בנסיבות שכאלה את האינטרס הציבורי המחייב הרשעה בדין והשתת עונשים הולמים, גם אם מדובר בנאשם חסר עבר פלילי מכל מין וסוג, כפי הנאשם שלפני.</w:t>
      </w:r>
    </w:p>
    <w:p w14:paraId="6B93C8A8" w14:textId="77777777" w:rsidR="0074023F" w:rsidRDefault="0074023F">
      <w:pPr>
        <w:spacing w:after="80" w:line="320" w:lineRule="exact"/>
        <w:ind w:firstLine="283"/>
        <w:rPr>
          <w:rFonts w:hint="cs"/>
          <w:b/>
          <w:bCs/>
          <w:color w:val="000000"/>
          <w:sz w:val="22"/>
          <w:szCs w:val="24"/>
          <w:rtl/>
        </w:rPr>
      </w:pPr>
      <w:r>
        <w:rPr>
          <w:rFonts w:hint="cs"/>
          <w:b/>
          <w:bCs/>
          <w:color w:val="000000"/>
          <w:sz w:val="22"/>
          <w:szCs w:val="24"/>
          <w:rtl/>
        </w:rPr>
        <w:t>ניתן היום י"ב בניסן, תשס"ג (14 באפריל 2003) במעמד _________________.</w:t>
      </w:r>
    </w:p>
    <w:p w14:paraId="1F85B970" w14:textId="77777777" w:rsidR="0074023F" w:rsidRDefault="00CB0B55">
      <w:pPr>
        <w:spacing w:after="80" w:line="320" w:lineRule="exact"/>
        <w:ind w:firstLine="283"/>
        <w:rPr>
          <w:rFonts w:hint="cs"/>
          <w:b/>
          <w:bCs/>
          <w:color w:val="000080"/>
          <w:sz w:val="22"/>
          <w:szCs w:val="24"/>
          <w:rtl/>
        </w:rPr>
      </w:pPr>
      <w:r>
        <w:rPr>
          <w:rFonts w:hint="cs"/>
          <w:b/>
          <w:bCs/>
          <w:color w:val="000080"/>
          <w:sz w:val="22"/>
          <w:szCs w:val="24"/>
          <w:rtl/>
        </w:rPr>
        <w:t xml:space="preserve"> </w:t>
      </w:r>
    </w:p>
    <w:tbl>
      <w:tblPr>
        <w:tblW w:w="0" w:type="auto"/>
        <w:tblInd w:w="6294" w:type="dxa"/>
        <w:tblBorders>
          <w:top w:val="single" w:sz="4" w:space="0" w:color="auto"/>
        </w:tblBorders>
        <w:tblLook w:val="0000" w:firstRow="0" w:lastRow="0" w:firstColumn="0" w:lastColumn="0" w:noHBand="0" w:noVBand="0"/>
      </w:tblPr>
      <w:tblGrid>
        <w:gridCol w:w="2235"/>
      </w:tblGrid>
      <w:tr w:rsidR="0074023F" w14:paraId="4B3D0A8C" w14:textId="77777777">
        <w:tc>
          <w:tcPr>
            <w:tcW w:w="2235" w:type="dxa"/>
            <w:tcBorders>
              <w:top w:val="single" w:sz="4" w:space="0" w:color="auto"/>
              <w:left w:val="nil"/>
              <w:bottom w:val="nil"/>
              <w:right w:val="nil"/>
            </w:tcBorders>
          </w:tcPr>
          <w:p w14:paraId="6827C072" w14:textId="77777777" w:rsidR="0074023F" w:rsidRDefault="0074023F">
            <w:pPr>
              <w:spacing w:after="80" w:line="320" w:lineRule="exact"/>
              <w:ind w:firstLine="283"/>
              <w:rPr>
                <w:sz w:val="22"/>
                <w:szCs w:val="24"/>
              </w:rPr>
            </w:pPr>
            <w:r>
              <w:rPr>
                <w:rFonts w:hint="cs"/>
                <w:sz w:val="22"/>
                <w:szCs w:val="24"/>
                <w:rtl/>
              </w:rPr>
              <w:t>ש. ברוך, שופט</w:t>
            </w:r>
          </w:p>
          <w:p w14:paraId="580ECF8C" w14:textId="77777777" w:rsidR="0074023F" w:rsidRDefault="0074023F">
            <w:pPr>
              <w:spacing w:after="80" w:line="320" w:lineRule="exact"/>
              <w:ind w:firstLine="283"/>
              <w:rPr>
                <w:sz w:val="22"/>
                <w:szCs w:val="24"/>
              </w:rPr>
            </w:pPr>
            <w:r>
              <w:rPr>
                <w:rFonts w:hint="cs"/>
                <w:sz w:val="22"/>
                <w:szCs w:val="24"/>
                <w:rtl/>
              </w:rPr>
              <w:t>סגן נשיא</w:t>
            </w:r>
          </w:p>
        </w:tc>
      </w:tr>
    </w:tbl>
    <w:p w14:paraId="7FCA6AC8" w14:textId="77777777" w:rsidR="0074023F" w:rsidRDefault="00CB0B55">
      <w:pPr>
        <w:spacing w:after="80" w:line="320" w:lineRule="exact"/>
        <w:ind w:firstLine="283"/>
        <w:rPr>
          <w:rFonts w:hint="cs"/>
          <w:sz w:val="22"/>
          <w:szCs w:val="24"/>
          <w:rtl/>
        </w:rPr>
      </w:pPr>
      <w:r>
        <w:rPr>
          <w:sz w:val="22"/>
          <w:szCs w:val="24"/>
          <w:rtl/>
        </w:rPr>
        <w:t xml:space="preserve"> </w:t>
      </w:r>
    </w:p>
    <w:bookmarkEnd w:id="12"/>
    <w:p w14:paraId="136F7744" w14:textId="77777777" w:rsidR="0074023F" w:rsidRDefault="00CB0B55">
      <w:pPr>
        <w:spacing w:after="80" w:line="320" w:lineRule="exact"/>
        <w:ind w:firstLine="283"/>
        <w:rPr>
          <w:rFonts w:hint="cs"/>
          <w:sz w:val="22"/>
          <w:szCs w:val="24"/>
          <w:rtl/>
        </w:rPr>
      </w:pPr>
      <w:r>
        <w:rPr>
          <w:rFonts w:hint="cs"/>
          <w:sz w:val="22"/>
          <w:szCs w:val="24"/>
          <w:rtl/>
        </w:rPr>
        <w:t xml:space="preserve"> </w:t>
      </w:r>
      <w:r w:rsidR="0074023F">
        <w:rPr>
          <w:sz w:val="22"/>
          <w:szCs w:val="24"/>
          <w:rtl/>
        </w:rPr>
        <w:t>נוסח זה כפוף לשינויי עריכה וניסוח</w:t>
      </w:r>
    </w:p>
    <w:sectPr w:rsidR="0074023F">
      <w:headerReference w:type="even" r:id="rId16"/>
      <w:headerReference w:type="default" r:id="rId17"/>
      <w:footerReference w:type="even" r:id="rId18"/>
      <w:footerReference w:type="default" r:id="rId19"/>
      <w:endnotePr>
        <w:numFmt w:val="lowerLetter"/>
      </w:endnotePr>
      <w:pgSz w:w="11907" w:h="16840"/>
      <w:pgMar w:top="1134" w:right="1701" w:bottom="1134" w:left="1134" w:header="850" w:footer="567"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68E8A" w14:textId="77777777" w:rsidR="00476695" w:rsidRDefault="00476695">
      <w:pPr>
        <w:spacing w:line="240" w:lineRule="auto"/>
      </w:pPr>
      <w:r>
        <w:separator/>
      </w:r>
    </w:p>
  </w:endnote>
  <w:endnote w:type="continuationSeparator" w:id="0">
    <w:p w14:paraId="6B23794C" w14:textId="77777777" w:rsidR="00476695" w:rsidRDefault="004766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06E90" w14:textId="77777777" w:rsidR="00476695" w:rsidRDefault="00476695">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6</w:t>
    </w:r>
    <w:r>
      <w:rPr>
        <w:rFonts w:hAnsi="FrankRuehl" w:cs="FrankRuehl"/>
        <w:sz w:val="24"/>
        <w:rtl/>
      </w:rPr>
      <w:fldChar w:fldCharType="end"/>
    </w:r>
  </w:p>
  <w:p w14:paraId="409E4342" w14:textId="77777777" w:rsidR="00476695" w:rsidRDefault="00476695">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287169E" w14:textId="77777777" w:rsidR="00476695" w:rsidRDefault="00476695">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M:\000-shay\3-shalom\03-04-16</w:t>
    </w:r>
    <w:r>
      <w:rPr>
        <w:rFonts w:cs="TopType Jerushalmi"/>
        <w:color w:val="000000"/>
        <w:sz w:val="14"/>
        <w:szCs w:val="14"/>
        <w:rtl/>
      </w:rPr>
      <w:t>\פסקי-דין שלום 03-04-15\</w:t>
    </w:r>
    <w:r>
      <w:rPr>
        <w:rFonts w:cs="TopType Jerushalmi"/>
        <w:color w:val="000000"/>
        <w:sz w:val="14"/>
        <w:szCs w:val="14"/>
      </w:rPr>
      <w:t>OutDoc\s022061.doc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B1F5A" w14:textId="77777777" w:rsidR="00476695" w:rsidRDefault="00476695">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723B16">
      <w:rPr>
        <w:rFonts w:hAnsi="FrankRuehl" w:cs="FrankRuehl"/>
        <w:noProof/>
        <w:sz w:val="24"/>
        <w:rtl/>
      </w:rPr>
      <w:t>1</w:t>
    </w:r>
    <w:r>
      <w:rPr>
        <w:rFonts w:hAnsi="FrankRuehl" w:cs="FrankRuehl"/>
        <w:sz w:val="24"/>
        <w:rtl/>
      </w:rPr>
      <w:fldChar w:fldCharType="end"/>
    </w:r>
  </w:p>
  <w:p w14:paraId="7E7E708C" w14:textId="77777777" w:rsidR="00476695" w:rsidRDefault="00476695">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3B0952F" w14:textId="77777777" w:rsidR="00476695" w:rsidRDefault="00476695">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M:\000-shay\3-shalom\03-04-16</w:t>
    </w:r>
    <w:r>
      <w:rPr>
        <w:rFonts w:cs="TopType Jerushalmi"/>
        <w:color w:val="000000"/>
        <w:sz w:val="14"/>
        <w:szCs w:val="14"/>
        <w:rtl/>
      </w:rPr>
      <w:t>\פסקי-דין שלום 03-04-15\</w:t>
    </w:r>
    <w:r>
      <w:rPr>
        <w:rFonts w:cs="TopType Jerushalmi"/>
        <w:color w:val="000000"/>
        <w:sz w:val="14"/>
        <w:szCs w:val="14"/>
      </w:rPr>
      <w:t>OutDoc\s022061.doc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F21E1" w14:textId="77777777" w:rsidR="00476695" w:rsidRDefault="00476695">
      <w:pPr>
        <w:spacing w:line="240" w:lineRule="auto"/>
      </w:pPr>
      <w:r>
        <w:separator/>
      </w:r>
    </w:p>
  </w:footnote>
  <w:footnote w:type="continuationSeparator" w:id="0">
    <w:p w14:paraId="32A1E20E" w14:textId="77777777" w:rsidR="00476695" w:rsidRDefault="004766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D6106" w14:textId="77777777" w:rsidR="00476695" w:rsidRDefault="00476695">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(רמ') 2061/02</w:t>
    </w:r>
    <w:r>
      <w:rPr>
        <w:rFonts w:hAnsi="David"/>
        <w:color w:val="000000"/>
        <w:sz w:val="22"/>
        <w:szCs w:val="22"/>
        <w:rtl/>
      </w:rPr>
      <w:tab/>
      <w:t xml:space="preserve"> מדינת ישראל נ' אשכנזי אריה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AFD04" w14:textId="77777777" w:rsidR="00476695" w:rsidRDefault="00476695">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(רמ') 2061/02</w:t>
    </w:r>
    <w:r>
      <w:rPr>
        <w:rFonts w:hAnsi="David"/>
        <w:color w:val="000000"/>
        <w:sz w:val="22"/>
        <w:szCs w:val="22"/>
        <w:rtl/>
      </w:rPr>
      <w:tab/>
      <w:t xml:space="preserve"> מדינת ישראל נ' אשכנזי אריה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2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351ED1"/>
    <w:rsid w:val="00351ED1"/>
    <w:rsid w:val="004720AC"/>
    <w:rsid w:val="00476695"/>
    <w:rsid w:val="00723B16"/>
    <w:rsid w:val="0074023F"/>
    <w:rsid w:val="007B5198"/>
    <w:rsid w:val="00B27F45"/>
    <w:rsid w:val="00C0354B"/>
    <w:rsid w:val="00CB0B55"/>
    <w:rsid w:val="00E2320B"/>
    <w:rsid w:val="00EB3B0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63A0F37"/>
  <w15:chartTrackingRefBased/>
  <w15:docId w15:val="{12103580-5126-4042-8A21-C7E1E08D4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sz w:val="24"/>
      <w:szCs w:val="28"/>
      <w:lang w:eastAsia="he-IL"/>
    </w:rPr>
  </w:style>
  <w:style w:type="paragraph" w:styleId="Heading1">
    <w:name w:val="heading 1"/>
    <w:basedOn w:val="Normal"/>
    <w:next w:val="Normal"/>
    <w:qFormat/>
    <w:pPr>
      <w:jc w:val="center"/>
      <w:outlineLvl w:val="0"/>
    </w:pPr>
    <w:rPr>
      <w:b/>
      <w:bCs/>
      <w:sz w:val="32"/>
      <w:szCs w:val="32"/>
      <w:u w:val="single"/>
    </w:rPr>
  </w:style>
  <w:style w:type="paragraph" w:styleId="Heading2">
    <w:name w:val="heading 2"/>
    <w:basedOn w:val="Normal"/>
    <w:next w:val="Normal"/>
    <w:qFormat/>
    <w:pPr>
      <w:snapToGrid w:val="0"/>
      <w:spacing w:before="240" w:after="60"/>
      <w:jc w:val="center"/>
      <w:outlineLvl w:val="1"/>
    </w:pPr>
    <w:rPr>
      <w:rFonts w:ascii="Arial"/>
      <w:b/>
      <w:bCs/>
      <w:u w:val="single"/>
    </w:rPr>
  </w:style>
  <w:style w:type="paragraph" w:styleId="Heading3">
    <w:name w:val="heading 3"/>
    <w:basedOn w:val="Normal"/>
    <w:next w:val="Normal"/>
    <w:qFormat/>
    <w:pPr>
      <w:outlineLvl w:val="2"/>
    </w:pPr>
    <w:rPr>
      <w:b/>
      <w:bCs/>
    </w:rPr>
  </w:style>
  <w:style w:type="paragraph" w:styleId="Heading4">
    <w:name w:val="heading 4"/>
    <w:basedOn w:val="Normal"/>
    <w:next w:val="Normal"/>
    <w:qFormat/>
    <w:pPr>
      <w:jc w:val="center"/>
      <w:outlineLvl w:val="3"/>
    </w:pPr>
    <w:rPr>
      <w:b/>
      <w:bCs/>
      <w:u w:val="single"/>
    </w:rPr>
  </w:style>
  <w:style w:type="paragraph" w:styleId="Heading5">
    <w:name w:val="heading 5"/>
    <w:basedOn w:val="Normal"/>
    <w:next w:val="Normal"/>
    <w:qFormat/>
    <w:pPr>
      <w:outlineLvl w:val="4"/>
    </w:pPr>
    <w:rPr>
      <w:b/>
      <w:bCs/>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rPr>
      <w:szCs w:val="24"/>
    </w:rPr>
  </w:style>
  <w:style w:type="paragraph" w:styleId="Footer">
    <w:name w:val="footer"/>
    <w:basedOn w:val="Normal"/>
    <w:semiHidden/>
    <w:pPr>
      <w:tabs>
        <w:tab w:val="center" w:pos="4153"/>
        <w:tab w:val="right" w:pos="8306"/>
      </w:tabs>
      <w:snapToGrid w:val="0"/>
    </w:pPr>
    <w:rPr>
      <w:sz w:val="22"/>
      <w:szCs w:val="24"/>
    </w:rPr>
  </w:style>
  <w:style w:type="paragraph" w:styleId="Title">
    <w:name w:val="Title"/>
    <w:basedOn w:val="Normal"/>
    <w:qFormat/>
    <w:pPr>
      <w:spacing w:line="240" w:lineRule="auto"/>
      <w:jc w:val="center"/>
    </w:pPr>
    <w:rPr>
      <w:b/>
      <w:bCs/>
      <w:color w:val="FF0000"/>
      <w:sz w:val="44"/>
      <w:szCs w:val="44"/>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character" w:styleId="LineNumber">
    <w:name w:val="line number"/>
    <w:basedOn w:val="DefaultParagraphFont"/>
    <w:semiHidden/>
  </w:style>
  <w:style w:type="character" w:styleId="Hyperlink">
    <w:name w:val="Hyperlink"/>
    <w:rsid w:val="00CB0B55"/>
    <w:rPr>
      <w:color w:val="0000FF"/>
      <w:u w:val="single"/>
    </w:rPr>
  </w:style>
  <w:style w:type="character" w:customStyle="1" w:styleId="a2">
    <w:name w:val="אזכור לא מזוהה"/>
    <w:uiPriority w:val="99"/>
    <w:semiHidden/>
    <w:unhideWhenUsed/>
    <w:rsid w:val="00B27F4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2507/5.a" TargetMode="External"/><Relationship Id="rId13" Type="http://schemas.openxmlformats.org/officeDocument/2006/relationships/hyperlink" Target="http://www.nevo.co.il/law/72507/3.a.6.c"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nevo.co.il/law/72507/3.a.6.c" TargetMode="External"/><Relationship Id="rId12" Type="http://schemas.openxmlformats.org/officeDocument/2006/relationships/hyperlink" Target="http://www.nevo.co.il/law/70301"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2507" TargetMode="External"/><Relationship Id="rId11" Type="http://schemas.openxmlformats.org/officeDocument/2006/relationships/hyperlink" Target="http://www.nevo.co.il/law/72507" TargetMode="External"/><Relationship Id="rId5" Type="http://schemas.openxmlformats.org/officeDocument/2006/relationships/endnotes" Target="endnotes.xml"/><Relationship Id="rId15" Type="http://schemas.openxmlformats.org/officeDocument/2006/relationships/hyperlink" Target="http://www.nevo.co.il/law/70301/348.c" TargetMode="External"/><Relationship Id="rId10" Type="http://schemas.openxmlformats.org/officeDocument/2006/relationships/hyperlink" Target="http://www.nevo.co.il/law/70301/348.c"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72507/5.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2183</Words>
  <Characters>12448</Characters>
  <Application>Microsoft Office Word</Application>
  <DocSecurity>0</DocSecurity>
  <Lines>103</Lines>
  <Paragraphs>29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14602</CharactersWithSpaces>
  <SharedDoc>false</SharedDoc>
  <HLinks>
    <vt:vector size="60" baseType="variant">
      <vt:variant>
        <vt:i4>5177438</vt:i4>
      </vt:variant>
      <vt:variant>
        <vt:i4>27</vt:i4>
      </vt:variant>
      <vt:variant>
        <vt:i4>0</vt:i4>
      </vt:variant>
      <vt:variant>
        <vt:i4>5</vt:i4>
      </vt:variant>
      <vt:variant>
        <vt:lpwstr>http://www.nevo.co.il/law/70301/348.c</vt:lpwstr>
      </vt:variant>
      <vt:variant>
        <vt:lpwstr/>
      </vt:variant>
      <vt:variant>
        <vt:i4>7929952</vt:i4>
      </vt:variant>
      <vt:variant>
        <vt:i4>24</vt:i4>
      </vt:variant>
      <vt:variant>
        <vt:i4>0</vt:i4>
      </vt:variant>
      <vt:variant>
        <vt:i4>5</vt:i4>
      </vt:variant>
      <vt:variant>
        <vt:lpwstr>http://www.nevo.co.il/law/72507/5.a</vt:lpwstr>
      </vt:variant>
      <vt:variant>
        <vt:lpwstr/>
      </vt:variant>
      <vt:variant>
        <vt:i4>7929905</vt:i4>
      </vt:variant>
      <vt:variant>
        <vt:i4>21</vt:i4>
      </vt:variant>
      <vt:variant>
        <vt:i4>0</vt:i4>
      </vt:variant>
      <vt:variant>
        <vt:i4>5</vt:i4>
      </vt:variant>
      <vt:variant>
        <vt:lpwstr>http://www.nevo.co.il/law/72507/3.a.6.c</vt:lpwstr>
      </vt:variant>
      <vt:variant>
        <vt:lpwstr/>
      </vt:variant>
      <vt:variant>
        <vt:i4>7995492</vt:i4>
      </vt:variant>
      <vt:variant>
        <vt:i4>18</vt:i4>
      </vt:variant>
      <vt:variant>
        <vt:i4>0</vt:i4>
      </vt:variant>
      <vt:variant>
        <vt:i4>5</vt:i4>
      </vt:variant>
      <vt:variant>
        <vt:lpwstr>http://www.nevo.co.il/law/70301</vt:lpwstr>
      </vt:variant>
      <vt:variant>
        <vt:lpwstr/>
      </vt:variant>
      <vt:variant>
        <vt:i4>7864418</vt:i4>
      </vt:variant>
      <vt:variant>
        <vt:i4>15</vt:i4>
      </vt:variant>
      <vt:variant>
        <vt:i4>0</vt:i4>
      </vt:variant>
      <vt:variant>
        <vt:i4>5</vt:i4>
      </vt:variant>
      <vt:variant>
        <vt:lpwstr>http://www.nevo.co.il/law/72507</vt:lpwstr>
      </vt:variant>
      <vt:variant>
        <vt:lpwstr/>
      </vt:variant>
      <vt:variant>
        <vt:i4>5177438</vt:i4>
      </vt:variant>
      <vt:variant>
        <vt:i4>12</vt:i4>
      </vt:variant>
      <vt:variant>
        <vt:i4>0</vt:i4>
      </vt:variant>
      <vt:variant>
        <vt:i4>5</vt:i4>
      </vt:variant>
      <vt:variant>
        <vt:lpwstr>http://www.nevo.co.il/law/70301/348.c</vt:lpwstr>
      </vt:variant>
      <vt:variant>
        <vt:lpwstr/>
      </vt:variant>
      <vt:variant>
        <vt:i4>7995492</vt:i4>
      </vt:variant>
      <vt:variant>
        <vt:i4>9</vt:i4>
      </vt:variant>
      <vt:variant>
        <vt:i4>0</vt:i4>
      </vt:variant>
      <vt:variant>
        <vt:i4>5</vt:i4>
      </vt:variant>
      <vt:variant>
        <vt:lpwstr>http://www.nevo.co.il/law/70301</vt:lpwstr>
      </vt:variant>
      <vt:variant>
        <vt:lpwstr/>
      </vt:variant>
      <vt:variant>
        <vt:i4>7929952</vt:i4>
      </vt:variant>
      <vt:variant>
        <vt:i4>6</vt:i4>
      </vt:variant>
      <vt:variant>
        <vt:i4>0</vt:i4>
      </vt:variant>
      <vt:variant>
        <vt:i4>5</vt:i4>
      </vt:variant>
      <vt:variant>
        <vt:lpwstr>http://www.nevo.co.il/law/72507/5.a</vt:lpwstr>
      </vt:variant>
      <vt:variant>
        <vt:lpwstr/>
      </vt:variant>
      <vt:variant>
        <vt:i4>7929905</vt:i4>
      </vt:variant>
      <vt:variant>
        <vt:i4>3</vt:i4>
      </vt:variant>
      <vt:variant>
        <vt:i4>0</vt:i4>
      </vt:variant>
      <vt:variant>
        <vt:i4>5</vt:i4>
      </vt:variant>
      <vt:variant>
        <vt:lpwstr>http://www.nevo.co.il/law/72507/3.a.6.c</vt:lpwstr>
      </vt:variant>
      <vt:variant>
        <vt:lpwstr/>
      </vt:variant>
      <vt:variant>
        <vt:i4>7864418</vt:i4>
      </vt:variant>
      <vt:variant>
        <vt:i4>0</vt:i4>
      </vt:variant>
      <vt:variant>
        <vt:i4>0</vt:i4>
      </vt:variant>
      <vt:variant>
        <vt:i4>5</vt:i4>
      </vt:variant>
      <vt:variant>
        <vt:lpwstr>http://www.nevo.co.il/law/72507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2022-05-24T10:15:00Z</dcterms:created>
  <dcterms:modified xsi:type="dcterms:W3CDTF">2022-05-24T10:15:00Z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2061</vt:lpwstr>
  </property>
  <property fmtid="{D5CDD505-2E9C-101B-9397-08002B2CF9AE}" pid="6" name="PROCYEAR">
    <vt:lpwstr>02</vt:lpwstr>
  </property>
  <property fmtid="{D5CDD505-2E9C-101B-9397-08002B2CF9AE}" pid="7" name="APPELLANT">
    <vt:lpwstr>מדינת ישראל</vt:lpwstr>
  </property>
  <property fmtid="{D5CDD505-2E9C-101B-9397-08002B2CF9AE}" pid="8" name="APPELLEE">
    <vt:lpwstr>אשכנזי אריה</vt:lpwstr>
  </property>
  <property fmtid="{D5CDD505-2E9C-101B-9397-08002B2CF9AE}" pid="9" name="LAWYER">
    <vt:lpwstr>אמיר כהן;פרידמן</vt:lpwstr>
  </property>
  <property fmtid="{D5CDD505-2E9C-101B-9397-08002B2CF9AE}" pid="10" name="JUDGE">
    <vt:lpwstr>שמואל ברוך</vt:lpwstr>
  </property>
  <property fmtid="{D5CDD505-2E9C-101B-9397-08002B2CF9AE}" pid="11" name="CITY">
    <vt:lpwstr>רמ'</vt:lpwstr>
  </property>
  <property fmtid="{D5CDD505-2E9C-101B-9397-08002B2CF9AE}" pid="12" name="DATE">
    <vt:lpwstr>20030414</vt:lpwstr>
  </property>
  <property fmtid="{D5CDD505-2E9C-101B-9397-08002B2CF9AE}" pid="13" name="WORDNUMPAGES">
    <vt:lpwstr>6</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NOSE1">
    <vt:lpwstr/>
  </property>
  <property fmtid="{D5CDD505-2E9C-101B-9397-08002B2CF9AE}" pid="19" name="NOSE2">
    <vt:lpwstr/>
  </property>
  <property fmtid="{D5CDD505-2E9C-101B-9397-08002B2CF9AE}" pid="20" name="NOSE3">
    <vt:lpwstr/>
  </property>
  <property fmtid="{D5CDD505-2E9C-101B-9397-08002B2CF9AE}" pid="21" name="PADIMAIL">
    <vt:lpwstr/>
  </property>
  <property fmtid="{D5CDD505-2E9C-101B-9397-08002B2CF9AE}" pid="22" name="LINKK1">
    <vt:lpwstr/>
  </property>
  <property fmtid="{D5CDD505-2E9C-101B-9397-08002B2CF9AE}" pid="23" name="LINKK2">
    <vt:lpwstr/>
  </property>
  <property fmtid="{D5CDD505-2E9C-101B-9397-08002B2CF9AE}" pid="24" name="LINKK3">
    <vt:lpwstr/>
  </property>
  <property fmtid="{D5CDD505-2E9C-101B-9397-08002B2CF9AE}" pid="25" name="LINKK4">
    <vt:lpwstr/>
  </property>
  <property fmtid="{D5CDD505-2E9C-101B-9397-08002B2CF9AE}" pid="26" name="LINKK5">
    <vt:lpwstr/>
  </property>
  <property fmtid="{D5CDD505-2E9C-101B-9397-08002B2CF9AE}" pid="27" name="LINKK6">
    <vt:lpwstr/>
  </property>
  <property fmtid="{D5CDD505-2E9C-101B-9397-08002B2CF9AE}" pid="28" name="LINKK7">
    <vt:lpwstr/>
  </property>
  <property fmtid="{D5CDD505-2E9C-101B-9397-08002B2CF9AE}" pid="29" name="LAWLISTTMP1">
    <vt:lpwstr>72507/003.a.6.c;005.a</vt:lpwstr>
  </property>
  <property fmtid="{D5CDD505-2E9C-101B-9397-08002B2CF9AE}" pid="30" name="LAWLISTTMP2">
    <vt:lpwstr>70301/348.c</vt:lpwstr>
  </property>
</Properties>
</file>