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E954" w14:textId="77777777" w:rsidR="00493F04" w:rsidRDefault="00493F04">
      <w:pPr>
        <w:spacing w:after="80" w:line="320" w:lineRule="exact"/>
        <w:ind w:firstLine="283"/>
        <w:jc w:val="both"/>
        <w:rPr>
          <w:noProof/>
          <w:sz w:val="22"/>
          <w:rtl/>
        </w:rPr>
      </w:pPr>
      <w:bookmarkStart w:id="0" w:name="LastJudge"/>
      <w:r>
        <w:rPr>
          <w:noProof/>
          <w:sz w:val="22"/>
        </w:rPr>
        <w:t xml:space="preserve">    </w:t>
      </w:r>
    </w:p>
    <w:p w14:paraId="05550B05" w14:textId="77777777" w:rsidR="00493F04" w:rsidRDefault="00493F04">
      <w:pPr>
        <w:spacing w:after="80" w:line="320" w:lineRule="exact"/>
        <w:ind w:firstLine="283"/>
        <w:jc w:val="center"/>
        <w:rPr>
          <w:rFonts w:hint="cs"/>
          <w:b/>
          <w:bCs/>
          <w:sz w:val="22"/>
          <w:rtl/>
        </w:rPr>
      </w:pPr>
      <w:r>
        <w:rPr>
          <w:b/>
          <w:bCs/>
          <w:sz w:val="22"/>
          <w:rtl/>
        </w:rPr>
        <w:t>ב</w:t>
      </w:r>
      <w:r>
        <w:rPr>
          <w:rFonts w:hint="cs"/>
          <w:b/>
          <w:bCs/>
          <w:sz w:val="22"/>
          <w:rtl/>
        </w:rPr>
        <w:t>תי המשפט</w:t>
      </w:r>
    </w:p>
    <w:p w14:paraId="2A946794" w14:textId="77777777" w:rsidR="00493F04" w:rsidRDefault="00493F04">
      <w:pPr>
        <w:spacing w:after="80" w:line="320" w:lineRule="exact"/>
        <w:ind w:firstLine="283"/>
        <w:jc w:val="center"/>
        <w:rPr>
          <w:sz w:val="22"/>
          <w:rtl/>
        </w:rPr>
      </w:pPr>
    </w:p>
    <w:tbl>
      <w:tblPr>
        <w:bidiVisual/>
        <w:tblW w:w="0" w:type="auto"/>
        <w:tblLayout w:type="fixed"/>
        <w:tblLook w:val="0000" w:firstRow="0" w:lastRow="0" w:firstColumn="0" w:lastColumn="0" w:noHBand="0" w:noVBand="0"/>
      </w:tblPr>
      <w:tblGrid>
        <w:gridCol w:w="5614"/>
        <w:gridCol w:w="964"/>
        <w:gridCol w:w="1951"/>
      </w:tblGrid>
      <w:tr w:rsidR="00493F04" w14:paraId="048E4213" w14:textId="77777777">
        <w:tblPrEx>
          <w:tblCellMar>
            <w:top w:w="0" w:type="dxa"/>
            <w:bottom w:w="0" w:type="dxa"/>
          </w:tblCellMar>
        </w:tblPrEx>
        <w:trPr>
          <w:cantSplit/>
          <w:trHeight w:val="627"/>
        </w:trPr>
        <w:tc>
          <w:tcPr>
            <w:tcW w:w="5614" w:type="dxa"/>
            <w:vMerge w:val="restart"/>
            <w:tcBorders>
              <w:top w:val="nil"/>
              <w:left w:val="nil"/>
              <w:bottom w:val="nil"/>
              <w:right w:val="nil"/>
            </w:tcBorders>
          </w:tcPr>
          <w:p w14:paraId="1A566B6A" w14:textId="77777777" w:rsidR="00493F04" w:rsidRDefault="00493F04">
            <w:pPr>
              <w:spacing w:after="80" w:line="320" w:lineRule="exact"/>
              <w:ind w:firstLine="283"/>
              <w:jc w:val="both"/>
              <w:rPr>
                <w:b/>
                <w:bCs/>
                <w:noProof/>
                <w:sz w:val="22"/>
                <w:rtl/>
              </w:rPr>
            </w:pPr>
            <w:bookmarkStart w:id="1" w:name="בית_משפט" w:colFirst="1" w:colLast="1"/>
            <w:bookmarkStart w:id="2" w:name="זיהוי_תיק" w:colFirst="0" w:colLast="0"/>
            <w:r>
              <w:rPr>
                <w:b/>
                <w:bCs/>
                <w:sz w:val="22"/>
                <w:rtl/>
              </w:rPr>
              <w:t>ב</w:t>
            </w:r>
            <w:r>
              <w:rPr>
                <w:rFonts w:hint="cs"/>
                <w:b/>
                <w:bCs/>
                <w:sz w:val="22"/>
                <w:rtl/>
              </w:rPr>
              <w:t>ית משפט השלום רחובות</w:t>
            </w:r>
          </w:p>
        </w:tc>
        <w:tc>
          <w:tcPr>
            <w:tcW w:w="2915" w:type="dxa"/>
            <w:gridSpan w:val="2"/>
            <w:tcBorders>
              <w:top w:val="nil"/>
              <w:left w:val="nil"/>
              <w:bottom w:val="nil"/>
              <w:right w:val="nil"/>
            </w:tcBorders>
          </w:tcPr>
          <w:p w14:paraId="00638266" w14:textId="77777777" w:rsidR="00493F04" w:rsidRDefault="00493F04">
            <w:pPr>
              <w:spacing w:after="80" w:line="320" w:lineRule="exact"/>
              <w:ind w:firstLine="283"/>
              <w:jc w:val="both"/>
              <w:rPr>
                <w:b/>
                <w:bCs/>
                <w:noProof/>
                <w:sz w:val="22"/>
                <w:rtl/>
              </w:rPr>
            </w:pPr>
            <w:r>
              <w:rPr>
                <w:b/>
                <w:bCs/>
                <w:sz w:val="22"/>
                <w:rtl/>
              </w:rPr>
              <w:t>פ</w:t>
            </w:r>
            <w:r>
              <w:rPr>
                <w:rFonts w:hint="cs"/>
                <w:b/>
                <w:bCs/>
                <w:sz w:val="22"/>
                <w:rtl/>
              </w:rPr>
              <w:t xml:space="preserve">  002741/02</w:t>
            </w:r>
          </w:p>
        </w:tc>
      </w:tr>
      <w:bookmarkEnd w:id="1"/>
      <w:bookmarkEnd w:id="2"/>
      <w:tr w:rsidR="00493F04" w14:paraId="57B628B5" w14:textId="77777777">
        <w:tblPrEx>
          <w:tblCellMar>
            <w:top w:w="0" w:type="dxa"/>
            <w:bottom w:w="0" w:type="dxa"/>
          </w:tblCellMar>
        </w:tblPrEx>
        <w:trPr>
          <w:cantSplit/>
          <w:trHeight w:val="195"/>
        </w:trPr>
        <w:tc>
          <w:tcPr>
            <w:tcW w:w="5614" w:type="dxa"/>
            <w:vMerge/>
            <w:tcBorders>
              <w:top w:val="nil"/>
              <w:left w:val="nil"/>
              <w:bottom w:val="nil"/>
              <w:right w:val="nil"/>
            </w:tcBorders>
          </w:tcPr>
          <w:p w14:paraId="60897D29" w14:textId="77777777" w:rsidR="00493F04" w:rsidRDefault="00493F04">
            <w:pPr>
              <w:spacing w:after="80" w:line="320" w:lineRule="exact"/>
              <w:ind w:firstLine="283"/>
              <w:jc w:val="both"/>
              <w:rPr>
                <w:b/>
                <w:bCs/>
                <w:noProof/>
                <w:sz w:val="22"/>
                <w:rtl/>
              </w:rPr>
            </w:pPr>
          </w:p>
        </w:tc>
        <w:tc>
          <w:tcPr>
            <w:tcW w:w="2915" w:type="dxa"/>
            <w:gridSpan w:val="2"/>
            <w:tcBorders>
              <w:top w:val="nil"/>
              <w:left w:val="nil"/>
              <w:bottom w:val="nil"/>
              <w:right w:val="nil"/>
            </w:tcBorders>
          </w:tcPr>
          <w:p w14:paraId="15938731" w14:textId="77777777" w:rsidR="00493F04" w:rsidRDefault="00493F04">
            <w:pPr>
              <w:spacing w:after="80" w:line="320" w:lineRule="exact"/>
              <w:ind w:firstLine="283"/>
              <w:jc w:val="both"/>
              <w:rPr>
                <w:b/>
                <w:bCs/>
                <w:noProof/>
                <w:sz w:val="22"/>
                <w:rtl/>
              </w:rPr>
            </w:pPr>
          </w:p>
        </w:tc>
      </w:tr>
      <w:tr w:rsidR="00493F04" w14:paraId="71E21B70" w14:textId="77777777">
        <w:tblPrEx>
          <w:tblCellMar>
            <w:top w:w="0" w:type="dxa"/>
            <w:bottom w:w="0" w:type="dxa"/>
          </w:tblCellMar>
        </w:tblPrEx>
        <w:trPr>
          <w:cantSplit/>
          <w:trHeight w:val="286"/>
        </w:trPr>
        <w:tc>
          <w:tcPr>
            <w:tcW w:w="5614" w:type="dxa"/>
            <w:tcBorders>
              <w:top w:val="nil"/>
              <w:left w:val="nil"/>
              <w:bottom w:val="nil"/>
              <w:right w:val="nil"/>
            </w:tcBorders>
          </w:tcPr>
          <w:p w14:paraId="024493A8" w14:textId="77777777" w:rsidR="00493F04" w:rsidRDefault="00493F04">
            <w:pPr>
              <w:spacing w:after="80" w:line="320" w:lineRule="exact"/>
              <w:ind w:firstLine="283"/>
              <w:jc w:val="both"/>
              <w:rPr>
                <w:b/>
                <w:bCs/>
                <w:noProof/>
                <w:sz w:val="22"/>
                <w:rtl/>
              </w:rPr>
            </w:pPr>
            <w:bookmarkStart w:id="3" w:name="תאריך" w:colFirst="0" w:colLast="0"/>
            <w:bookmarkStart w:id="4" w:name="שם_שופט" w:colFirst="2" w:colLast="2"/>
            <w:r>
              <w:rPr>
                <w:b/>
                <w:bCs/>
                <w:sz w:val="22"/>
                <w:rtl/>
              </w:rPr>
              <w:t>ב</w:t>
            </w:r>
            <w:r>
              <w:rPr>
                <w:rFonts w:hint="cs"/>
                <w:b/>
                <w:bCs/>
                <w:sz w:val="22"/>
                <w:rtl/>
              </w:rPr>
              <w:t>פני כב</w:t>
            </w:r>
            <w:r>
              <w:rPr>
                <w:b/>
                <w:bCs/>
                <w:sz w:val="22"/>
                <w:rtl/>
              </w:rPr>
              <w:t>ו</w:t>
            </w:r>
            <w:r>
              <w:rPr>
                <w:rFonts w:hint="cs"/>
                <w:b/>
                <w:bCs/>
                <w:sz w:val="22"/>
                <w:rtl/>
              </w:rPr>
              <w:t>ד השופט ירון לוי</w:t>
            </w:r>
          </w:p>
        </w:tc>
        <w:tc>
          <w:tcPr>
            <w:tcW w:w="964" w:type="dxa"/>
            <w:tcBorders>
              <w:top w:val="nil"/>
              <w:left w:val="nil"/>
              <w:bottom w:val="nil"/>
              <w:right w:val="nil"/>
            </w:tcBorders>
            <w:tcMar>
              <w:left w:w="28" w:type="dxa"/>
              <w:right w:w="28" w:type="dxa"/>
            </w:tcMar>
          </w:tcPr>
          <w:p w14:paraId="1BE136BA" w14:textId="77777777" w:rsidR="00493F04" w:rsidRDefault="00493F04">
            <w:pPr>
              <w:spacing w:after="80" w:line="320" w:lineRule="exact"/>
              <w:jc w:val="both"/>
              <w:rPr>
                <w:b/>
                <w:bCs/>
                <w:noProof/>
                <w:sz w:val="22"/>
                <w:rtl/>
              </w:rPr>
            </w:pPr>
            <w:r>
              <w:rPr>
                <w:b/>
                <w:bCs/>
                <w:sz w:val="22"/>
                <w:rtl/>
              </w:rPr>
              <w:t xml:space="preserve"> </w:t>
            </w:r>
            <w:r>
              <w:rPr>
                <w:rFonts w:hint="cs"/>
                <w:b/>
                <w:bCs/>
                <w:sz w:val="22"/>
                <w:rtl/>
              </w:rPr>
              <w:t>תאריך:</w:t>
            </w:r>
          </w:p>
        </w:tc>
        <w:tc>
          <w:tcPr>
            <w:tcW w:w="1951" w:type="dxa"/>
            <w:tcBorders>
              <w:top w:val="nil"/>
              <w:left w:val="nil"/>
              <w:bottom w:val="nil"/>
              <w:right w:val="nil"/>
            </w:tcBorders>
          </w:tcPr>
          <w:p w14:paraId="29FD34DF" w14:textId="77777777" w:rsidR="00493F04" w:rsidRDefault="00493F04">
            <w:pPr>
              <w:spacing w:after="80" w:line="320" w:lineRule="exact"/>
              <w:ind w:firstLine="283"/>
              <w:jc w:val="both"/>
              <w:rPr>
                <w:b/>
                <w:bCs/>
                <w:noProof/>
                <w:sz w:val="22"/>
                <w:rtl/>
              </w:rPr>
            </w:pPr>
            <w:r>
              <w:rPr>
                <w:b/>
                <w:bCs/>
                <w:sz w:val="22"/>
                <w:rtl/>
              </w:rPr>
              <w:t>10/12/2003</w:t>
            </w:r>
          </w:p>
        </w:tc>
      </w:tr>
      <w:bookmarkEnd w:id="3"/>
      <w:bookmarkEnd w:id="4"/>
    </w:tbl>
    <w:p w14:paraId="0A437C05" w14:textId="77777777" w:rsidR="00493F04" w:rsidRDefault="00493F04">
      <w:pPr>
        <w:spacing w:after="80" w:line="320" w:lineRule="exact"/>
        <w:ind w:firstLine="283"/>
        <w:jc w:val="both"/>
        <w:rPr>
          <w:sz w:val="22"/>
          <w:rtl/>
        </w:rPr>
      </w:pPr>
    </w:p>
    <w:tbl>
      <w:tblPr>
        <w:bidiVisual/>
        <w:tblW w:w="8647" w:type="dxa"/>
        <w:tblInd w:w="-120" w:type="dxa"/>
        <w:tblLayout w:type="fixed"/>
        <w:tblCellMar>
          <w:left w:w="107" w:type="dxa"/>
          <w:right w:w="107" w:type="dxa"/>
        </w:tblCellMar>
        <w:tblLook w:val="0000" w:firstRow="0" w:lastRow="0" w:firstColumn="0" w:lastColumn="0" w:noHBand="0" w:noVBand="0"/>
      </w:tblPr>
      <w:tblGrid>
        <w:gridCol w:w="1418"/>
        <w:gridCol w:w="1757"/>
        <w:gridCol w:w="3063"/>
        <w:gridCol w:w="2409"/>
      </w:tblGrid>
      <w:tr w:rsidR="00493F04" w14:paraId="63B366C6" w14:textId="77777777">
        <w:tblPrEx>
          <w:tblCellMar>
            <w:top w:w="0" w:type="dxa"/>
            <w:bottom w:w="0" w:type="dxa"/>
          </w:tblCellMar>
        </w:tblPrEx>
        <w:tc>
          <w:tcPr>
            <w:tcW w:w="1418" w:type="dxa"/>
            <w:tcBorders>
              <w:top w:val="nil"/>
              <w:left w:val="nil"/>
              <w:bottom w:val="nil"/>
              <w:right w:val="nil"/>
            </w:tcBorders>
          </w:tcPr>
          <w:p w14:paraId="59F987AF" w14:textId="77777777" w:rsidR="00493F04" w:rsidRDefault="00493F04">
            <w:pPr>
              <w:spacing w:after="80" w:line="320" w:lineRule="exact"/>
              <w:ind w:firstLine="283"/>
              <w:jc w:val="both"/>
              <w:rPr>
                <w:b/>
                <w:bCs/>
                <w:sz w:val="22"/>
                <w:rtl/>
              </w:rPr>
            </w:pPr>
            <w:bookmarkStart w:id="5" w:name="FirstAppellant"/>
            <w:r>
              <w:rPr>
                <w:b/>
                <w:bCs/>
                <w:sz w:val="22"/>
                <w:rtl/>
              </w:rPr>
              <w:t>ב</w:t>
            </w:r>
            <w:r>
              <w:rPr>
                <w:rFonts w:hint="cs"/>
                <w:b/>
                <w:bCs/>
                <w:sz w:val="22"/>
                <w:rtl/>
              </w:rPr>
              <w:t>עניין:</w:t>
            </w:r>
          </w:p>
        </w:tc>
        <w:tc>
          <w:tcPr>
            <w:tcW w:w="4820" w:type="dxa"/>
            <w:gridSpan w:val="2"/>
            <w:tcBorders>
              <w:top w:val="nil"/>
              <w:left w:val="nil"/>
              <w:bottom w:val="nil"/>
              <w:right w:val="nil"/>
            </w:tcBorders>
          </w:tcPr>
          <w:p w14:paraId="54D7236F" w14:textId="77777777" w:rsidR="00493F04" w:rsidRDefault="00493F04">
            <w:pPr>
              <w:spacing w:after="80" w:line="320" w:lineRule="exact"/>
              <w:ind w:firstLine="283"/>
              <w:jc w:val="both"/>
              <w:rPr>
                <w:b/>
                <w:bCs/>
                <w:sz w:val="22"/>
                <w:rtl/>
              </w:rPr>
            </w:pPr>
            <w:r>
              <w:rPr>
                <w:b/>
                <w:bCs/>
                <w:sz w:val="22"/>
                <w:rtl/>
              </w:rPr>
              <w:t>מ</w:t>
            </w:r>
            <w:r>
              <w:rPr>
                <w:rFonts w:hint="cs"/>
                <w:b/>
                <w:bCs/>
                <w:sz w:val="22"/>
                <w:rtl/>
              </w:rPr>
              <w:t>דינת ישראל</w:t>
            </w:r>
            <w:r>
              <w:rPr>
                <w:b/>
                <w:bCs/>
                <w:sz w:val="22"/>
                <w:rtl/>
              </w:rPr>
              <w:t xml:space="preserve"> – </w:t>
            </w:r>
            <w:r>
              <w:rPr>
                <w:rFonts w:hint="cs"/>
                <w:b/>
                <w:bCs/>
                <w:sz w:val="22"/>
                <w:rtl/>
              </w:rPr>
              <w:t>פמ"מ</w:t>
            </w:r>
          </w:p>
        </w:tc>
        <w:tc>
          <w:tcPr>
            <w:tcW w:w="2409" w:type="dxa"/>
            <w:tcBorders>
              <w:top w:val="nil"/>
              <w:left w:val="nil"/>
              <w:bottom w:val="nil"/>
              <w:right w:val="nil"/>
            </w:tcBorders>
          </w:tcPr>
          <w:p w14:paraId="5C773183" w14:textId="77777777" w:rsidR="00493F04" w:rsidRDefault="00493F04">
            <w:pPr>
              <w:spacing w:after="80" w:line="320" w:lineRule="exact"/>
              <w:ind w:firstLine="283"/>
              <w:jc w:val="both"/>
              <w:rPr>
                <w:b/>
                <w:bCs/>
                <w:sz w:val="22"/>
                <w:rtl/>
              </w:rPr>
            </w:pPr>
            <w:r>
              <w:rPr>
                <w:b/>
                <w:bCs/>
                <w:sz w:val="22"/>
                <w:rtl/>
              </w:rPr>
              <w:t>ה</w:t>
            </w:r>
            <w:r>
              <w:rPr>
                <w:rFonts w:hint="cs"/>
                <w:b/>
                <w:bCs/>
                <w:sz w:val="22"/>
                <w:rtl/>
              </w:rPr>
              <w:t>מאשימה</w:t>
            </w:r>
          </w:p>
        </w:tc>
      </w:tr>
      <w:tr w:rsidR="00493F04" w14:paraId="629F77E1" w14:textId="77777777">
        <w:tblPrEx>
          <w:tblCellMar>
            <w:top w:w="0" w:type="dxa"/>
            <w:bottom w:w="0" w:type="dxa"/>
          </w:tblCellMar>
        </w:tblPrEx>
        <w:tc>
          <w:tcPr>
            <w:tcW w:w="1418" w:type="dxa"/>
            <w:tcBorders>
              <w:top w:val="nil"/>
              <w:left w:val="nil"/>
              <w:bottom w:val="nil"/>
              <w:right w:val="nil"/>
            </w:tcBorders>
          </w:tcPr>
          <w:p w14:paraId="747AA141" w14:textId="77777777" w:rsidR="00493F04" w:rsidRDefault="00493F04">
            <w:pPr>
              <w:spacing w:after="80" w:line="320" w:lineRule="exact"/>
              <w:ind w:firstLine="283"/>
              <w:jc w:val="both"/>
              <w:rPr>
                <w:b/>
                <w:bCs/>
                <w:sz w:val="22"/>
                <w:rtl/>
              </w:rPr>
            </w:pPr>
            <w:bookmarkStart w:id="6" w:name="בא_כוח_א" w:colFirst="1" w:colLast="1"/>
            <w:bookmarkStart w:id="7" w:name="FirstLawyer"/>
            <w:bookmarkEnd w:id="5"/>
          </w:p>
        </w:tc>
        <w:tc>
          <w:tcPr>
            <w:tcW w:w="1757" w:type="dxa"/>
            <w:tcBorders>
              <w:top w:val="nil"/>
              <w:left w:val="nil"/>
              <w:bottom w:val="nil"/>
              <w:right w:val="nil"/>
            </w:tcBorders>
          </w:tcPr>
          <w:p w14:paraId="1F8926F6" w14:textId="77777777" w:rsidR="00493F04" w:rsidRDefault="00493F04">
            <w:pPr>
              <w:spacing w:after="80" w:line="320" w:lineRule="exact"/>
              <w:jc w:val="both"/>
              <w:rPr>
                <w:b/>
                <w:bCs/>
                <w:sz w:val="22"/>
                <w:rtl/>
              </w:rPr>
            </w:pPr>
            <w:r>
              <w:rPr>
                <w:b/>
                <w:bCs/>
                <w:sz w:val="22"/>
                <w:rtl/>
              </w:rPr>
              <w:t>ע</w:t>
            </w:r>
            <w:r>
              <w:rPr>
                <w:rFonts w:hint="cs"/>
                <w:b/>
                <w:bCs/>
                <w:sz w:val="22"/>
                <w:rtl/>
              </w:rPr>
              <w:t xml:space="preserve">ל ידי ב"כ עו"ד </w:t>
            </w:r>
          </w:p>
        </w:tc>
        <w:tc>
          <w:tcPr>
            <w:tcW w:w="3063" w:type="dxa"/>
            <w:tcBorders>
              <w:top w:val="nil"/>
              <w:left w:val="nil"/>
              <w:bottom w:val="nil"/>
              <w:right w:val="nil"/>
            </w:tcBorders>
          </w:tcPr>
          <w:p w14:paraId="6BA87804" w14:textId="77777777" w:rsidR="00493F04" w:rsidRDefault="00493F04">
            <w:pPr>
              <w:spacing w:after="80" w:line="320" w:lineRule="exact"/>
              <w:ind w:firstLine="283"/>
              <w:jc w:val="both"/>
              <w:rPr>
                <w:b/>
                <w:bCs/>
                <w:sz w:val="22"/>
                <w:rtl/>
              </w:rPr>
            </w:pPr>
            <w:r>
              <w:rPr>
                <w:rFonts w:hint="cs"/>
                <w:b/>
                <w:bCs/>
                <w:sz w:val="22"/>
                <w:rtl/>
              </w:rPr>
              <w:t>אורי רינצקי</w:t>
            </w:r>
          </w:p>
        </w:tc>
        <w:tc>
          <w:tcPr>
            <w:tcW w:w="2409" w:type="dxa"/>
            <w:tcBorders>
              <w:top w:val="nil"/>
              <w:left w:val="nil"/>
              <w:bottom w:val="nil"/>
              <w:right w:val="nil"/>
            </w:tcBorders>
          </w:tcPr>
          <w:p w14:paraId="39112AB0" w14:textId="77777777" w:rsidR="00493F04" w:rsidRDefault="00493F04">
            <w:pPr>
              <w:spacing w:after="80" w:line="320" w:lineRule="exact"/>
              <w:ind w:firstLine="283"/>
              <w:jc w:val="both"/>
              <w:rPr>
                <w:b/>
                <w:bCs/>
                <w:sz w:val="22"/>
                <w:rtl/>
              </w:rPr>
            </w:pPr>
          </w:p>
        </w:tc>
      </w:tr>
      <w:bookmarkEnd w:id="6"/>
      <w:bookmarkEnd w:id="7"/>
      <w:tr w:rsidR="00493F04" w14:paraId="7B09ADF9" w14:textId="77777777">
        <w:tblPrEx>
          <w:tblCellMar>
            <w:top w:w="0" w:type="dxa"/>
            <w:bottom w:w="0" w:type="dxa"/>
          </w:tblCellMar>
        </w:tblPrEx>
        <w:tc>
          <w:tcPr>
            <w:tcW w:w="1418" w:type="dxa"/>
            <w:tcBorders>
              <w:top w:val="nil"/>
              <w:left w:val="nil"/>
              <w:bottom w:val="nil"/>
              <w:right w:val="nil"/>
            </w:tcBorders>
          </w:tcPr>
          <w:p w14:paraId="1AC6D9B1" w14:textId="77777777" w:rsidR="00493F04" w:rsidRDefault="00493F04">
            <w:pPr>
              <w:spacing w:after="80" w:line="320" w:lineRule="exact"/>
              <w:ind w:firstLine="283"/>
              <w:jc w:val="both"/>
              <w:rPr>
                <w:b/>
                <w:bCs/>
                <w:sz w:val="22"/>
                <w:rtl/>
              </w:rPr>
            </w:pPr>
          </w:p>
        </w:tc>
        <w:tc>
          <w:tcPr>
            <w:tcW w:w="4820" w:type="dxa"/>
            <w:gridSpan w:val="2"/>
            <w:tcBorders>
              <w:top w:val="nil"/>
              <w:left w:val="nil"/>
              <w:bottom w:val="nil"/>
              <w:right w:val="nil"/>
            </w:tcBorders>
          </w:tcPr>
          <w:p w14:paraId="599A24CE" w14:textId="77777777" w:rsidR="00493F04" w:rsidRDefault="00493F04">
            <w:pPr>
              <w:pStyle w:val="Heading3"/>
              <w:rPr>
                <w:rtl/>
              </w:rPr>
            </w:pPr>
            <w:r>
              <w:rPr>
                <w:rtl/>
              </w:rPr>
              <w:t>נ ג ד</w:t>
            </w:r>
          </w:p>
        </w:tc>
        <w:tc>
          <w:tcPr>
            <w:tcW w:w="2409" w:type="dxa"/>
            <w:tcBorders>
              <w:top w:val="nil"/>
              <w:left w:val="nil"/>
              <w:bottom w:val="nil"/>
              <w:right w:val="nil"/>
            </w:tcBorders>
          </w:tcPr>
          <w:p w14:paraId="0982D3F2" w14:textId="77777777" w:rsidR="00493F04" w:rsidRDefault="00493F04">
            <w:pPr>
              <w:spacing w:after="80" w:line="320" w:lineRule="exact"/>
              <w:ind w:firstLine="283"/>
              <w:jc w:val="both"/>
              <w:rPr>
                <w:b/>
                <w:bCs/>
                <w:sz w:val="22"/>
                <w:rtl/>
              </w:rPr>
            </w:pPr>
          </w:p>
        </w:tc>
      </w:tr>
      <w:tr w:rsidR="00493F04" w14:paraId="0FA4AAE0" w14:textId="77777777">
        <w:tblPrEx>
          <w:tblCellMar>
            <w:top w:w="0" w:type="dxa"/>
            <w:bottom w:w="0" w:type="dxa"/>
          </w:tblCellMar>
        </w:tblPrEx>
        <w:tc>
          <w:tcPr>
            <w:tcW w:w="1418" w:type="dxa"/>
            <w:tcBorders>
              <w:top w:val="nil"/>
              <w:left w:val="nil"/>
              <w:bottom w:val="nil"/>
              <w:right w:val="nil"/>
            </w:tcBorders>
          </w:tcPr>
          <w:p w14:paraId="3D64191A" w14:textId="77777777" w:rsidR="00493F04" w:rsidRDefault="00493F04">
            <w:pPr>
              <w:spacing w:after="80" w:line="320" w:lineRule="exact"/>
              <w:ind w:firstLine="283"/>
              <w:jc w:val="both"/>
              <w:rPr>
                <w:b/>
                <w:bCs/>
                <w:sz w:val="22"/>
                <w:rtl/>
              </w:rPr>
            </w:pPr>
            <w:bookmarkStart w:id="8" w:name="שם_ב" w:colFirst="1" w:colLast="1"/>
          </w:p>
        </w:tc>
        <w:tc>
          <w:tcPr>
            <w:tcW w:w="4820" w:type="dxa"/>
            <w:gridSpan w:val="2"/>
            <w:tcBorders>
              <w:top w:val="nil"/>
              <w:left w:val="nil"/>
              <w:bottom w:val="nil"/>
              <w:right w:val="nil"/>
            </w:tcBorders>
          </w:tcPr>
          <w:p w14:paraId="4423C6CC" w14:textId="77777777" w:rsidR="00493F04" w:rsidRDefault="00493F04">
            <w:pPr>
              <w:spacing w:after="80" w:line="320" w:lineRule="exact"/>
              <w:ind w:firstLine="283"/>
              <w:jc w:val="both"/>
              <w:rPr>
                <w:b/>
                <w:bCs/>
                <w:sz w:val="22"/>
                <w:rtl/>
              </w:rPr>
            </w:pPr>
            <w:r>
              <w:rPr>
                <w:b/>
                <w:bCs/>
                <w:sz w:val="22"/>
                <w:rtl/>
              </w:rPr>
              <w:t>פ</w:t>
            </w:r>
            <w:r>
              <w:rPr>
                <w:rFonts w:hint="cs"/>
                <w:b/>
                <w:bCs/>
                <w:sz w:val="22"/>
                <w:rtl/>
              </w:rPr>
              <w:t>לוני</w:t>
            </w:r>
          </w:p>
        </w:tc>
        <w:tc>
          <w:tcPr>
            <w:tcW w:w="2409" w:type="dxa"/>
            <w:tcBorders>
              <w:top w:val="nil"/>
              <w:left w:val="nil"/>
              <w:bottom w:val="nil"/>
              <w:right w:val="nil"/>
            </w:tcBorders>
          </w:tcPr>
          <w:p w14:paraId="2B8E5D79" w14:textId="77777777" w:rsidR="00493F04" w:rsidRDefault="00493F04">
            <w:pPr>
              <w:spacing w:after="80" w:line="320" w:lineRule="exact"/>
              <w:ind w:firstLine="283"/>
              <w:jc w:val="both"/>
              <w:rPr>
                <w:b/>
                <w:bCs/>
                <w:sz w:val="22"/>
                <w:rtl/>
              </w:rPr>
            </w:pPr>
            <w:r>
              <w:rPr>
                <w:b/>
                <w:bCs/>
                <w:sz w:val="22"/>
                <w:rtl/>
              </w:rPr>
              <w:t>ה</w:t>
            </w:r>
            <w:r>
              <w:rPr>
                <w:rFonts w:hint="cs"/>
                <w:b/>
                <w:bCs/>
                <w:sz w:val="22"/>
                <w:rtl/>
              </w:rPr>
              <w:t>נאשם</w:t>
            </w:r>
          </w:p>
        </w:tc>
      </w:tr>
      <w:tr w:rsidR="00493F04" w14:paraId="0DDD883D" w14:textId="77777777">
        <w:tblPrEx>
          <w:tblCellMar>
            <w:top w:w="0" w:type="dxa"/>
            <w:bottom w:w="0" w:type="dxa"/>
          </w:tblCellMar>
        </w:tblPrEx>
        <w:tc>
          <w:tcPr>
            <w:tcW w:w="1418" w:type="dxa"/>
            <w:tcBorders>
              <w:top w:val="nil"/>
              <w:left w:val="nil"/>
              <w:bottom w:val="nil"/>
              <w:right w:val="nil"/>
            </w:tcBorders>
          </w:tcPr>
          <w:p w14:paraId="3B3C0487" w14:textId="77777777" w:rsidR="00493F04" w:rsidRDefault="00493F04">
            <w:pPr>
              <w:spacing w:after="80" w:line="320" w:lineRule="exact"/>
              <w:ind w:firstLine="283"/>
              <w:jc w:val="both"/>
              <w:rPr>
                <w:b/>
                <w:bCs/>
                <w:sz w:val="22"/>
                <w:rtl/>
              </w:rPr>
            </w:pPr>
            <w:bookmarkStart w:id="9" w:name="בא_כוח_ב" w:colFirst="1" w:colLast="1"/>
            <w:bookmarkEnd w:id="8"/>
          </w:p>
        </w:tc>
        <w:tc>
          <w:tcPr>
            <w:tcW w:w="1757" w:type="dxa"/>
            <w:tcBorders>
              <w:top w:val="nil"/>
              <w:left w:val="nil"/>
              <w:bottom w:val="nil"/>
              <w:right w:val="nil"/>
            </w:tcBorders>
          </w:tcPr>
          <w:p w14:paraId="08868EE1" w14:textId="77777777" w:rsidR="00493F04" w:rsidRDefault="00493F04">
            <w:pPr>
              <w:spacing w:after="80" w:line="320" w:lineRule="exact"/>
              <w:jc w:val="both"/>
              <w:rPr>
                <w:b/>
                <w:bCs/>
                <w:sz w:val="22"/>
                <w:rtl/>
              </w:rPr>
            </w:pPr>
            <w:r>
              <w:rPr>
                <w:b/>
                <w:bCs/>
                <w:sz w:val="22"/>
                <w:rtl/>
              </w:rPr>
              <w:t>ע</w:t>
            </w:r>
            <w:r>
              <w:rPr>
                <w:rFonts w:hint="cs"/>
                <w:b/>
                <w:bCs/>
                <w:sz w:val="22"/>
                <w:rtl/>
              </w:rPr>
              <w:t>ל ידי ב"כ עו"ד</w:t>
            </w:r>
          </w:p>
        </w:tc>
        <w:tc>
          <w:tcPr>
            <w:tcW w:w="3063" w:type="dxa"/>
            <w:tcBorders>
              <w:top w:val="nil"/>
              <w:left w:val="nil"/>
              <w:bottom w:val="nil"/>
              <w:right w:val="nil"/>
            </w:tcBorders>
          </w:tcPr>
          <w:p w14:paraId="2D240D6E" w14:textId="77777777" w:rsidR="00493F04" w:rsidRDefault="00493F04">
            <w:pPr>
              <w:spacing w:after="80" w:line="320" w:lineRule="exact"/>
              <w:jc w:val="both"/>
              <w:rPr>
                <w:b/>
                <w:bCs/>
                <w:sz w:val="22"/>
                <w:rtl/>
              </w:rPr>
            </w:pPr>
            <w:r>
              <w:rPr>
                <w:rFonts w:hint="cs"/>
                <w:b/>
                <w:bCs/>
                <w:sz w:val="22"/>
                <w:rtl/>
              </w:rPr>
              <w:t xml:space="preserve">אלפסי מהסניגוריה הציבורית </w:t>
            </w:r>
          </w:p>
        </w:tc>
        <w:tc>
          <w:tcPr>
            <w:tcW w:w="2409" w:type="dxa"/>
            <w:tcBorders>
              <w:top w:val="nil"/>
              <w:left w:val="nil"/>
              <w:bottom w:val="nil"/>
              <w:right w:val="nil"/>
            </w:tcBorders>
          </w:tcPr>
          <w:p w14:paraId="5B23F792" w14:textId="77777777" w:rsidR="00493F04" w:rsidRDefault="00493F04">
            <w:pPr>
              <w:spacing w:after="80" w:line="320" w:lineRule="exact"/>
              <w:ind w:firstLine="283"/>
              <w:jc w:val="both"/>
              <w:rPr>
                <w:b/>
                <w:bCs/>
                <w:sz w:val="22"/>
                <w:rtl/>
              </w:rPr>
            </w:pPr>
          </w:p>
        </w:tc>
      </w:tr>
    </w:tbl>
    <w:p w14:paraId="06C04ABB" w14:textId="77777777" w:rsidR="00F6112E" w:rsidRDefault="00F6112E">
      <w:pPr>
        <w:pStyle w:val="Footer"/>
        <w:rPr>
          <w:sz w:val="24"/>
          <w:rtl/>
        </w:rPr>
      </w:pPr>
      <w:bookmarkStart w:id="10" w:name="LawTable"/>
      <w:bookmarkEnd w:id="9"/>
      <w:bookmarkEnd w:id="10"/>
    </w:p>
    <w:p w14:paraId="19FF8EC0" w14:textId="77777777" w:rsidR="00F6112E" w:rsidRPr="00F6112E" w:rsidRDefault="00F6112E" w:rsidP="00F6112E">
      <w:pPr>
        <w:pStyle w:val="Footer"/>
        <w:spacing w:after="120" w:line="240" w:lineRule="exact"/>
        <w:ind w:left="283" w:hanging="283"/>
        <w:rPr>
          <w:rFonts w:ascii="FrankRuehl" w:hAnsi="FrankRuehl" w:cs="FrankRuehl"/>
          <w:sz w:val="24"/>
          <w:rtl/>
        </w:rPr>
      </w:pPr>
    </w:p>
    <w:p w14:paraId="7C1412AB" w14:textId="77777777" w:rsidR="00F6112E" w:rsidRPr="00F6112E" w:rsidRDefault="00F6112E" w:rsidP="00F6112E">
      <w:pPr>
        <w:pStyle w:val="Footer"/>
        <w:spacing w:after="120" w:line="240" w:lineRule="exact"/>
        <w:ind w:left="283" w:hanging="283"/>
        <w:rPr>
          <w:rFonts w:ascii="FrankRuehl" w:hAnsi="FrankRuehl" w:cs="FrankRuehl"/>
          <w:sz w:val="24"/>
          <w:rtl/>
        </w:rPr>
      </w:pPr>
      <w:r w:rsidRPr="00F6112E">
        <w:rPr>
          <w:rFonts w:ascii="FrankRuehl" w:hAnsi="FrankRuehl" w:cs="FrankRuehl"/>
          <w:sz w:val="24"/>
          <w:rtl/>
        </w:rPr>
        <w:t xml:space="preserve">חקיקה שאוזכרה: </w:t>
      </w:r>
    </w:p>
    <w:p w14:paraId="291D2FCB" w14:textId="77777777" w:rsidR="00F6112E" w:rsidRPr="00F6112E" w:rsidRDefault="00F6112E" w:rsidP="00F6112E">
      <w:pPr>
        <w:pStyle w:val="Footer"/>
        <w:spacing w:after="120" w:line="240" w:lineRule="exact"/>
        <w:ind w:left="283" w:hanging="283"/>
        <w:rPr>
          <w:rFonts w:ascii="FrankRuehl" w:hAnsi="FrankRuehl" w:cs="FrankRuehl"/>
          <w:sz w:val="24"/>
          <w:rtl/>
        </w:rPr>
      </w:pPr>
      <w:hyperlink r:id="rId6" w:history="1">
        <w:r w:rsidRPr="00F6112E">
          <w:rPr>
            <w:rFonts w:ascii="FrankRuehl" w:hAnsi="FrankRuehl" w:cs="FrankRuehl"/>
            <w:color w:val="0000FF"/>
            <w:sz w:val="24"/>
            <w:u w:val="single"/>
            <w:rtl/>
          </w:rPr>
          <w:t>חוק העונשין, תשל"ז-1977</w:t>
        </w:r>
      </w:hyperlink>
      <w:r w:rsidRPr="00F6112E">
        <w:rPr>
          <w:rFonts w:ascii="FrankRuehl" w:hAnsi="FrankRuehl" w:cs="FrankRuehl"/>
          <w:sz w:val="24"/>
          <w:rtl/>
        </w:rPr>
        <w:t xml:space="preserve">: סע'  </w:t>
      </w:r>
      <w:hyperlink r:id="rId7" w:history="1">
        <w:r w:rsidRPr="00F6112E">
          <w:rPr>
            <w:rFonts w:ascii="FrankRuehl" w:hAnsi="FrankRuehl" w:cs="FrankRuehl"/>
            <w:color w:val="0000FF"/>
            <w:sz w:val="24"/>
            <w:u w:val="single"/>
            <w:rtl/>
          </w:rPr>
          <w:t>351 (ג) (3)</w:t>
        </w:r>
      </w:hyperlink>
      <w:r w:rsidRPr="00F6112E">
        <w:rPr>
          <w:rFonts w:ascii="FrankRuehl" w:hAnsi="FrankRuehl" w:cs="FrankRuehl"/>
          <w:sz w:val="24"/>
          <w:rtl/>
        </w:rPr>
        <w:t xml:space="preserve">, </w:t>
      </w:r>
      <w:hyperlink r:id="rId8" w:history="1">
        <w:r w:rsidRPr="00F6112E">
          <w:rPr>
            <w:rFonts w:ascii="FrankRuehl" w:hAnsi="FrankRuehl" w:cs="FrankRuehl"/>
            <w:color w:val="0000FF"/>
            <w:sz w:val="24"/>
            <w:u w:val="single"/>
            <w:rtl/>
          </w:rPr>
          <w:t>351 (ד)</w:t>
        </w:r>
      </w:hyperlink>
    </w:p>
    <w:p w14:paraId="5FBF5A62" w14:textId="77777777" w:rsidR="00F6112E" w:rsidRPr="00F6112E" w:rsidRDefault="00F6112E" w:rsidP="00F6112E">
      <w:pPr>
        <w:pStyle w:val="Footer"/>
        <w:spacing w:after="120" w:line="240" w:lineRule="exact"/>
        <w:ind w:left="283" w:hanging="283"/>
        <w:rPr>
          <w:rFonts w:ascii="FrankRuehl" w:hAnsi="FrankRuehl" w:cs="FrankRuehl"/>
          <w:sz w:val="24"/>
          <w:rtl/>
        </w:rPr>
      </w:pPr>
    </w:p>
    <w:p w14:paraId="4AFB410F" w14:textId="77777777" w:rsidR="00F6112E" w:rsidRPr="00F6112E" w:rsidRDefault="00F6112E">
      <w:pPr>
        <w:pStyle w:val="Footer"/>
        <w:rPr>
          <w:sz w:val="24"/>
          <w:rtl/>
        </w:rPr>
      </w:pPr>
      <w:bookmarkStart w:id="11" w:name="LawTable_End"/>
      <w:bookmarkEnd w:id="11"/>
    </w:p>
    <w:p w14:paraId="23FBC606" w14:textId="77777777" w:rsidR="00F6112E" w:rsidRPr="00F6112E" w:rsidRDefault="00F6112E">
      <w:pPr>
        <w:pStyle w:val="Footer"/>
        <w:rPr>
          <w:sz w:val="24"/>
          <w:rtl/>
        </w:rPr>
      </w:pPr>
    </w:p>
    <w:p w14:paraId="0CE8AB66" w14:textId="77777777" w:rsidR="0084645C" w:rsidRPr="0084645C" w:rsidRDefault="0084645C">
      <w:pPr>
        <w:pStyle w:val="Footer"/>
        <w:rPr>
          <w:rFonts w:hint="cs"/>
          <w:sz w:val="24"/>
          <w:rtl/>
        </w:rPr>
      </w:pPr>
    </w:p>
    <w:p w14:paraId="55042C04" w14:textId="77777777" w:rsidR="0084645C" w:rsidRPr="0084645C" w:rsidRDefault="0084645C">
      <w:pPr>
        <w:pStyle w:val="Footer"/>
        <w:rPr>
          <w:sz w:val="24"/>
          <w:rtl/>
        </w:rPr>
      </w:pPr>
    </w:p>
    <w:p w14:paraId="1C1965A1" w14:textId="77777777" w:rsidR="00493F04" w:rsidRPr="0084645C" w:rsidRDefault="00493F04">
      <w:pPr>
        <w:pStyle w:val="Footer"/>
        <w:rPr>
          <w:rFonts w:hint="cs"/>
          <w:sz w:val="24"/>
          <w:rtl/>
        </w:rPr>
      </w:pPr>
    </w:p>
    <w:p w14:paraId="155C929B" w14:textId="77777777" w:rsidR="00493F04" w:rsidRDefault="00493F04">
      <w:pPr>
        <w:pStyle w:val="Footer"/>
        <w:pBdr>
          <w:top w:val="single" w:sz="4" w:space="1" w:color="auto"/>
          <w:bottom w:val="single" w:sz="4" w:space="1" w:color="auto"/>
        </w:pBdr>
        <w:spacing w:after="120" w:line="320" w:lineRule="exact"/>
        <w:rPr>
          <w:rFonts w:cs="FrankRuehl" w:hint="cs"/>
          <w:sz w:val="26"/>
          <w:szCs w:val="26"/>
          <w:rtl/>
        </w:rPr>
      </w:pPr>
      <w:bookmarkStart w:id="12" w:name="ABSTRACT_START"/>
      <w:bookmarkEnd w:id="12"/>
      <w:r>
        <w:rPr>
          <w:rFonts w:cs="FrankRuehl" w:hint="cs"/>
          <w:sz w:val="26"/>
          <w:szCs w:val="26"/>
          <w:rtl/>
        </w:rPr>
        <w:t>מיני-רציו:</w:t>
      </w:r>
    </w:p>
    <w:p w14:paraId="1B70F1DE" w14:textId="77777777" w:rsidR="00493F04" w:rsidRDefault="00493F04">
      <w:pPr>
        <w:pStyle w:val="Footer"/>
        <w:pBdr>
          <w:top w:val="single" w:sz="4" w:space="1" w:color="auto"/>
          <w:bottom w:val="single" w:sz="4" w:space="1" w:color="auto"/>
        </w:pBdr>
        <w:spacing w:after="120" w:line="320" w:lineRule="exact"/>
        <w:rPr>
          <w:rFonts w:cs="FrankRuehl" w:hint="cs"/>
          <w:sz w:val="26"/>
          <w:szCs w:val="26"/>
          <w:rtl/>
        </w:rPr>
      </w:pPr>
      <w:r>
        <w:rPr>
          <w:rFonts w:cs="FrankRuehl" w:hint="cs"/>
          <w:sz w:val="26"/>
          <w:szCs w:val="26"/>
          <w:rtl/>
        </w:rPr>
        <w:t xml:space="preserve">עונשין </w:t>
      </w:r>
      <w:r>
        <w:rPr>
          <w:rFonts w:cs="FrankRuehl"/>
          <w:sz w:val="26"/>
          <w:szCs w:val="26"/>
          <w:rtl/>
        </w:rPr>
        <w:t>–</w:t>
      </w:r>
      <w:r>
        <w:rPr>
          <w:rFonts w:cs="FrankRuehl" w:hint="cs"/>
          <w:sz w:val="26"/>
          <w:szCs w:val="26"/>
          <w:rtl/>
        </w:rPr>
        <w:t xml:space="preserve"> הימנעות מהרשעה</w:t>
      </w:r>
    </w:p>
    <w:p w14:paraId="56FB95E8" w14:textId="77777777" w:rsidR="00493F04" w:rsidRDefault="00493F04">
      <w:pPr>
        <w:pStyle w:val="Footer"/>
        <w:pBdr>
          <w:top w:val="single" w:sz="4" w:space="1" w:color="auto"/>
          <w:bottom w:val="single" w:sz="4" w:space="1" w:color="auto"/>
        </w:pBdr>
        <w:spacing w:after="120" w:line="320" w:lineRule="exact"/>
        <w:rPr>
          <w:rFonts w:cs="FrankRuehl" w:hint="cs"/>
          <w:sz w:val="26"/>
          <w:szCs w:val="26"/>
          <w:rtl/>
        </w:rPr>
      </w:pPr>
      <w:r>
        <w:rPr>
          <w:rFonts w:cs="FrankRuehl" w:hint="cs"/>
          <w:sz w:val="26"/>
          <w:szCs w:val="26"/>
          <w:rtl/>
        </w:rPr>
        <w:t>הנאשם הואשם בעבירות מין שונות וביקש כי ביהמ"ש יימנע מלהרשיעו. ביהמ"ש הרשיע את הנאשם, בציינו כי לפי ההלכה, הימנעות מהרשעה היא בבחינת חריג שביהמ"ש ינקוט בו רק</w:t>
      </w:r>
      <w:r>
        <w:rPr>
          <w:rFonts w:cs="FrankRuehl"/>
          <w:sz w:val="26"/>
          <w:szCs w:val="26"/>
          <w:rtl/>
        </w:rPr>
        <w:t xml:space="preserve"> </w:t>
      </w:r>
      <w:r>
        <w:rPr>
          <w:rFonts w:cs="FrankRuehl" w:hint="cs"/>
          <w:sz w:val="26"/>
          <w:szCs w:val="26"/>
          <w:rtl/>
        </w:rPr>
        <w:t>בנסיבות יוצאות-דופן, שבהן אין יחס סביר בין הנזק הצפוי מן ההרשעה בדין לבין חומרתה של העבירה. באיזון שנערך בנסיבות העניין הנדון נפסק כי קיימים, מבחינת האינטרס הציבורי, שיקולים כבדי משקל המצדיקים את הרשעת הנאשם, וזאת לאור אופיים של המעשים המיוחסים לו.</w:t>
      </w:r>
    </w:p>
    <w:p w14:paraId="0CB2D155" w14:textId="77777777" w:rsidR="00493F04" w:rsidRDefault="00493F04">
      <w:pPr>
        <w:pStyle w:val="Footer"/>
        <w:pBdr>
          <w:top w:val="single" w:sz="4" w:space="1" w:color="auto"/>
          <w:bottom w:val="single" w:sz="4" w:space="1" w:color="auto"/>
        </w:pBdr>
        <w:spacing w:after="120" w:line="320" w:lineRule="exact"/>
        <w:rPr>
          <w:rFonts w:cs="FrankRuehl"/>
          <w:sz w:val="26"/>
          <w:szCs w:val="26"/>
          <w:rtl/>
        </w:rPr>
      </w:pPr>
      <w:r>
        <w:rPr>
          <w:rFonts w:cs="FrankRuehl" w:hint="cs"/>
          <w:sz w:val="26"/>
          <w:szCs w:val="26"/>
          <w:rtl/>
        </w:rPr>
        <w:t xml:space="preserve">נקבע כי מחובת ביהמ"ש לשמש מגן לקורבנות עברייני מין, ובמיוחד כשמדובר בקטינים כבמקרה הנדון, בין היתר באמצעות </w:t>
      </w:r>
      <w:r>
        <w:rPr>
          <w:rFonts w:cs="FrankRuehl"/>
          <w:sz w:val="26"/>
          <w:szCs w:val="26"/>
          <w:rtl/>
        </w:rPr>
        <w:t>ה</w:t>
      </w:r>
      <w:r>
        <w:rPr>
          <w:rFonts w:cs="FrankRuehl" w:hint="cs"/>
          <w:sz w:val="26"/>
          <w:szCs w:val="26"/>
          <w:rtl/>
        </w:rPr>
        <w:t>רשעתם בדין.</w:t>
      </w:r>
      <w:bookmarkStart w:id="13" w:name="ABSTRACT_END"/>
      <w:bookmarkEnd w:id="13"/>
      <w:r>
        <w:rPr>
          <w:rFonts w:cs="FrankRuehl" w:hint="cs"/>
          <w:sz w:val="26"/>
          <w:szCs w:val="26"/>
          <w:rtl/>
        </w:rPr>
        <w:t xml:space="preserve"> </w:t>
      </w:r>
    </w:p>
    <w:p w14:paraId="43155A82" w14:textId="77777777" w:rsidR="00493F04" w:rsidRDefault="00493F04">
      <w:pPr>
        <w:spacing w:after="80" w:line="320" w:lineRule="exact"/>
        <w:ind w:firstLine="283"/>
        <w:jc w:val="center"/>
        <w:rPr>
          <w:rFonts w:hint="cs"/>
          <w:b/>
          <w:bCs/>
          <w:sz w:val="22"/>
          <w:u w:val="single"/>
          <w:rtl/>
        </w:rPr>
      </w:pPr>
      <w:bookmarkStart w:id="14" w:name="תיק_עיקרי"/>
      <w:bookmarkStart w:id="15" w:name="פרוטוקול"/>
      <w:bookmarkStart w:id="16" w:name="PsakDin"/>
      <w:bookmarkEnd w:id="0"/>
      <w:bookmarkEnd w:id="14"/>
      <w:bookmarkEnd w:id="15"/>
    </w:p>
    <w:p w14:paraId="253E02A6" w14:textId="77777777" w:rsidR="00493F04" w:rsidRDefault="00493F04">
      <w:pPr>
        <w:spacing w:after="80" w:line="320" w:lineRule="exact"/>
        <w:ind w:firstLine="283"/>
        <w:jc w:val="center"/>
        <w:rPr>
          <w:b/>
          <w:bCs/>
          <w:sz w:val="22"/>
          <w:u w:val="single"/>
          <w:rtl/>
        </w:rPr>
      </w:pPr>
      <w:r>
        <w:rPr>
          <w:b/>
          <w:bCs/>
          <w:sz w:val="22"/>
          <w:u w:val="single"/>
          <w:rtl/>
        </w:rPr>
        <w:t>הכרעת דין</w:t>
      </w:r>
    </w:p>
    <w:bookmarkEnd w:id="16"/>
    <w:p w14:paraId="56F8507A" w14:textId="77777777" w:rsidR="00493F04" w:rsidRDefault="00493F04">
      <w:pPr>
        <w:spacing w:after="80" w:line="320" w:lineRule="exact"/>
        <w:ind w:firstLine="283"/>
        <w:jc w:val="both"/>
        <w:rPr>
          <w:b/>
          <w:bCs/>
          <w:sz w:val="22"/>
          <w:u w:val="single"/>
          <w:rtl/>
        </w:rPr>
      </w:pPr>
      <w:r>
        <w:rPr>
          <w:b/>
          <w:bCs/>
          <w:sz w:val="22"/>
          <w:u w:val="single"/>
          <w:rtl/>
        </w:rPr>
        <w:t>ה</w:t>
      </w:r>
      <w:r>
        <w:rPr>
          <w:rFonts w:hint="cs"/>
          <w:b/>
          <w:bCs/>
          <w:sz w:val="22"/>
          <w:u w:val="single"/>
          <w:rtl/>
        </w:rPr>
        <w:t>עבירות</w:t>
      </w:r>
    </w:p>
    <w:p w14:paraId="0F343EAD" w14:textId="77777777" w:rsidR="00493F04" w:rsidRDefault="00493F04">
      <w:pPr>
        <w:spacing w:after="80" w:line="320" w:lineRule="exact"/>
        <w:ind w:firstLine="283"/>
        <w:jc w:val="both"/>
        <w:rPr>
          <w:sz w:val="22"/>
          <w:rtl/>
        </w:rPr>
      </w:pPr>
      <w:r>
        <w:rPr>
          <w:sz w:val="22"/>
          <w:rtl/>
        </w:rPr>
        <w:t xml:space="preserve">1. </w:t>
      </w:r>
      <w:r>
        <w:rPr>
          <w:rFonts w:hint="cs"/>
          <w:sz w:val="22"/>
          <w:rtl/>
        </w:rPr>
        <w:t xml:space="preserve">הנאשם </w:t>
      </w:r>
      <w:r>
        <w:rPr>
          <w:sz w:val="22"/>
          <w:rtl/>
        </w:rPr>
        <w:t xml:space="preserve">– </w:t>
      </w:r>
      <w:r>
        <w:rPr>
          <w:rFonts w:hint="cs"/>
          <w:sz w:val="22"/>
          <w:rtl/>
        </w:rPr>
        <w:t xml:space="preserve">אביה החורג של הקטינה מ.ד., ילידת 2/4/1986 (להלן: </w:t>
      </w:r>
      <w:r>
        <w:rPr>
          <w:b/>
          <w:bCs/>
          <w:sz w:val="22"/>
          <w:rtl/>
        </w:rPr>
        <w:t>"</w:t>
      </w:r>
      <w:r>
        <w:rPr>
          <w:rFonts w:hint="cs"/>
          <w:b/>
          <w:bCs/>
          <w:sz w:val="22"/>
          <w:rtl/>
        </w:rPr>
        <w:t>המתלוננת"</w:t>
      </w:r>
      <w:r>
        <w:rPr>
          <w:sz w:val="22"/>
          <w:rtl/>
        </w:rPr>
        <w:t xml:space="preserve">) - </w:t>
      </w:r>
      <w:r>
        <w:rPr>
          <w:rFonts w:hint="cs"/>
          <w:sz w:val="22"/>
          <w:rtl/>
        </w:rPr>
        <w:t>הודה בעבירות הבאות:</w:t>
      </w:r>
    </w:p>
    <w:p w14:paraId="62552AF8" w14:textId="77777777" w:rsidR="00493F04" w:rsidRDefault="00493F04">
      <w:pPr>
        <w:spacing w:after="80" w:line="320" w:lineRule="exact"/>
        <w:ind w:firstLine="283"/>
        <w:jc w:val="both"/>
        <w:rPr>
          <w:sz w:val="22"/>
          <w:rtl/>
        </w:rPr>
      </w:pPr>
    </w:p>
    <w:p w14:paraId="785E47CE" w14:textId="77777777" w:rsidR="00493F04" w:rsidRDefault="00493F04">
      <w:pPr>
        <w:spacing w:after="80" w:line="320" w:lineRule="exact"/>
        <w:ind w:firstLine="283"/>
        <w:jc w:val="both"/>
        <w:rPr>
          <w:color w:val="FFFFFF"/>
          <w:sz w:val="4"/>
          <w:szCs w:val="4"/>
          <w:rtl/>
        </w:rPr>
      </w:pPr>
      <w:r>
        <w:rPr>
          <w:sz w:val="22"/>
          <w:rtl/>
        </w:rPr>
        <w:t>א</w:t>
      </w:r>
      <w:r>
        <w:rPr>
          <w:rFonts w:hint="cs"/>
          <w:sz w:val="22"/>
          <w:rtl/>
        </w:rPr>
        <w:t>.</w:t>
      </w:r>
      <w:r>
        <w:rPr>
          <w:sz w:val="22"/>
          <w:rtl/>
        </w:rPr>
        <w:t xml:space="preserve"> </w:t>
      </w:r>
      <w:r>
        <w:rPr>
          <w:b/>
          <w:bCs/>
          <w:sz w:val="22"/>
          <w:rtl/>
        </w:rPr>
        <w:t>מ</w:t>
      </w:r>
      <w:r>
        <w:rPr>
          <w:rFonts w:hint="cs"/>
          <w:b/>
          <w:bCs/>
          <w:sz w:val="22"/>
          <w:rtl/>
        </w:rPr>
        <w:t>עשה מגונה באדם שהוא קטין ובן משפחה</w:t>
      </w:r>
      <w:r>
        <w:rPr>
          <w:sz w:val="22"/>
          <w:rtl/>
        </w:rPr>
        <w:t xml:space="preserve"> – </w:t>
      </w:r>
      <w:r>
        <w:rPr>
          <w:rFonts w:hint="cs"/>
          <w:sz w:val="22"/>
          <w:rtl/>
        </w:rPr>
        <w:t xml:space="preserve">לפי </w:t>
      </w:r>
      <w:hyperlink r:id="rId9" w:history="1">
        <w:r w:rsidR="00F6112E" w:rsidRPr="00F6112E">
          <w:rPr>
            <w:color w:val="0000FF"/>
            <w:sz w:val="22"/>
            <w:u w:val="single"/>
            <w:rtl/>
          </w:rPr>
          <w:t>סעיף 351 (ג) (3)</w:t>
        </w:r>
      </w:hyperlink>
      <w:r>
        <w:rPr>
          <w:sz w:val="22"/>
          <w:rtl/>
        </w:rPr>
        <w:t xml:space="preserve"> </w:t>
      </w:r>
      <w:r>
        <w:rPr>
          <w:rFonts w:hint="cs"/>
          <w:sz w:val="22"/>
          <w:rtl/>
        </w:rPr>
        <w:t>ל</w:t>
      </w:r>
      <w:hyperlink r:id="rId10" w:history="1">
        <w:r w:rsidR="0084645C" w:rsidRPr="0084645C">
          <w:rPr>
            <w:rStyle w:val="Hyperlink"/>
            <w:rFonts w:hint="eastAsia"/>
            <w:sz w:val="22"/>
            <w:rtl/>
          </w:rPr>
          <w:t>חוק</w:t>
        </w:r>
        <w:r w:rsidR="0084645C" w:rsidRPr="0084645C">
          <w:rPr>
            <w:rStyle w:val="Hyperlink"/>
            <w:sz w:val="22"/>
            <w:rtl/>
          </w:rPr>
          <w:t xml:space="preserve"> העונשין</w:t>
        </w:r>
      </w:hyperlink>
      <w:r>
        <w:rPr>
          <w:rFonts w:hint="cs"/>
          <w:sz w:val="22"/>
          <w:rtl/>
        </w:rPr>
        <w:t xml:space="preserve">, התשל"ז </w:t>
      </w:r>
      <w:r>
        <w:rPr>
          <w:sz w:val="22"/>
          <w:rtl/>
        </w:rPr>
        <w:t>– 1977 (</w:t>
      </w:r>
      <w:r>
        <w:rPr>
          <w:rFonts w:hint="cs"/>
          <w:sz w:val="22"/>
          <w:rtl/>
        </w:rPr>
        <w:t xml:space="preserve">להלן: </w:t>
      </w:r>
      <w:r>
        <w:rPr>
          <w:b/>
          <w:bCs/>
          <w:sz w:val="22"/>
          <w:rtl/>
        </w:rPr>
        <w:t>"</w:t>
      </w:r>
      <w:r>
        <w:rPr>
          <w:rFonts w:hint="cs"/>
          <w:b/>
          <w:bCs/>
          <w:sz w:val="22"/>
          <w:rtl/>
        </w:rPr>
        <w:t>חוק העונשין"</w:t>
      </w:r>
      <w:r>
        <w:rPr>
          <w:sz w:val="22"/>
          <w:rtl/>
        </w:rPr>
        <w:t xml:space="preserve">). </w:t>
      </w:r>
      <w:r>
        <w:rPr>
          <w:color w:val="FFFFFF"/>
          <w:sz w:val="4"/>
          <w:szCs w:val="4"/>
          <w:rtl/>
        </w:rPr>
        <w:t>29371</w:t>
      </w:r>
    </w:p>
    <w:p w14:paraId="53F59043" w14:textId="77777777" w:rsidR="00493F04" w:rsidRDefault="00493F04">
      <w:pPr>
        <w:spacing w:after="80" w:line="320" w:lineRule="exact"/>
        <w:ind w:firstLine="283"/>
        <w:jc w:val="both"/>
        <w:rPr>
          <w:sz w:val="24"/>
          <w:rtl/>
        </w:rPr>
      </w:pPr>
    </w:p>
    <w:p w14:paraId="0EAC3FDF" w14:textId="77777777" w:rsidR="00493F04" w:rsidRDefault="00493F04">
      <w:pPr>
        <w:spacing w:after="80" w:line="320" w:lineRule="exact"/>
        <w:ind w:firstLine="283"/>
        <w:jc w:val="both"/>
        <w:rPr>
          <w:sz w:val="22"/>
          <w:rtl/>
        </w:rPr>
      </w:pPr>
      <w:r>
        <w:rPr>
          <w:sz w:val="22"/>
          <w:rtl/>
        </w:rPr>
        <w:t>ב</w:t>
      </w:r>
      <w:r>
        <w:rPr>
          <w:rFonts w:hint="cs"/>
          <w:sz w:val="22"/>
          <w:rtl/>
        </w:rPr>
        <w:t>.</w:t>
      </w:r>
      <w:r>
        <w:rPr>
          <w:sz w:val="22"/>
          <w:rtl/>
        </w:rPr>
        <w:t xml:space="preserve"> </w:t>
      </w:r>
      <w:r>
        <w:rPr>
          <w:b/>
          <w:bCs/>
          <w:sz w:val="22"/>
          <w:rtl/>
        </w:rPr>
        <w:t>מ</w:t>
      </w:r>
      <w:r>
        <w:rPr>
          <w:rFonts w:hint="cs"/>
          <w:b/>
          <w:bCs/>
          <w:sz w:val="22"/>
          <w:rtl/>
        </w:rPr>
        <w:t>עשה מגונה בפני אדם שהוא קטין ובן משפחה</w:t>
      </w:r>
      <w:r>
        <w:rPr>
          <w:sz w:val="22"/>
          <w:rtl/>
        </w:rPr>
        <w:t xml:space="preserve"> – </w:t>
      </w:r>
      <w:r>
        <w:rPr>
          <w:rFonts w:hint="cs"/>
          <w:sz w:val="22"/>
          <w:rtl/>
        </w:rPr>
        <w:t xml:space="preserve">לפי </w:t>
      </w:r>
      <w:hyperlink r:id="rId11" w:history="1">
        <w:r w:rsidR="00F6112E" w:rsidRPr="00F6112E">
          <w:rPr>
            <w:color w:val="0000FF"/>
            <w:sz w:val="22"/>
            <w:u w:val="single"/>
            <w:rtl/>
          </w:rPr>
          <w:t>סעיף 351 (ד)</w:t>
        </w:r>
      </w:hyperlink>
      <w:r>
        <w:rPr>
          <w:sz w:val="22"/>
          <w:rtl/>
        </w:rPr>
        <w:t xml:space="preserve"> </w:t>
      </w:r>
      <w:r>
        <w:rPr>
          <w:rFonts w:hint="cs"/>
          <w:sz w:val="22"/>
          <w:rtl/>
        </w:rPr>
        <w:t>ל</w:t>
      </w:r>
      <w:hyperlink r:id="rId12" w:history="1">
        <w:r w:rsidR="0084645C" w:rsidRPr="0084645C">
          <w:rPr>
            <w:rStyle w:val="Hyperlink"/>
            <w:rFonts w:hint="eastAsia"/>
            <w:sz w:val="22"/>
            <w:rtl/>
          </w:rPr>
          <w:t>חוק</w:t>
        </w:r>
        <w:r w:rsidR="0084645C" w:rsidRPr="0084645C">
          <w:rPr>
            <w:rStyle w:val="Hyperlink"/>
            <w:sz w:val="22"/>
            <w:rtl/>
          </w:rPr>
          <w:t xml:space="preserve"> העונשין</w:t>
        </w:r>
      </w:hyperlink>
      <w:r>
        <w:rPr>
          <w:rFonts w:hint="cs"/>
          <w:sz w:val="22"/>
          <w:rtl/>
        </w:rPr>
        <w:t xml:space="preserve">. </w:t>
      </w:r>
    </w:p>
    <w:p w14:paraId="011B0636" w14:textId="77777777" w:rsidR="00493F04" w:rsidRDefault="00493F04">
      <w:pPr>
        <w:spacing w:after="80" w:line="320" w:lineRule="exact"/>
        <w:ind w:firstLine="283"/>
        <w:jc w:val="both"/>
        <w:rPr>
          <w:sz w:val="22"/>
          <w:rtl/>
        </w:rPr>
      </w:pPr>
    </w:p>
    <w:p w14:paraId="04CA01F0" w14:textId="77777777" w:rsidR="00493F04" w:rsidRDefault="00493F04">
      <w:pPr>
        <w:spacing w:after="80" w:line="320" w:lineRule="exact"/>
        <w:ind w:firstLine="283"/>
        <w:jc w:val="both"/>
        <w:rPr>
          <w:sz w:val="22"/>
          <w:rtl/>
        </w:rPr>
      </w:pPr>
      <w:r>
        <w:rPr>
          <w:sz w:val="22"/>
          <w:rtl/>
        </w:rPr>
        <w:t xml:space="preserve">2. </w:t>
      </w:r>
      <w:r>
        <w:rPr>
          <w:rFonts w:hint="cs"/>
          <w:sz w:val="22"/>
          <w:rtl/>
        </w:rPr>
        <w:t>לבקשת הסניגור, הורה בית המשפט (סגן הנשיא, כבוד השופט הרטל) על ק</w:t>
      </w:r>
      <w:r>
        <w:rPr>
          <w:sz w:val="22"/>
          <w:rtl/>
        </w:rPr>
        <w:t>ב</w:t>
      </w:r>
      <w:r>
        <w:rPr>
          <w:rFonts w:hint="cs"/>
          <w:sz w:val="22"/>
          <w:rtl/>
        </w:rPr>
        <w:t xml:space="preserve">לת תסקיר שירות המבחן, שיתייחס, בין היתר, לאפשרות סיום ההליך בלא הרשעה. </w:t>
      </w:r>
    </w:p>
    <w:p w14:paraId="54B91021" w14:textId="77777777" w:rsidR="00493F04" w:rsidRDefault="00493F04">
      <w:pPr>
        <w:spacing w:after="80" w:line="320" w:lineRule="exact"/>
        <w:ind w:firstLine="283"/>
        <w:jc w:val="both"/>
        <w:rPr>
          <w:sz w:val="22"/>
          <w:rtl/>
        </w:rPr>
      </w:pPr>
    </w:p>
    <w:p w14:paraId="5AACB350" w14:textId="77777777" w:rsidR="00493F04" w:rsidRDefault="00493F04">
      <w:pPr>
        <w:spacing w:after="80" w:line="320" w:lineRule="exact"/>
        <w:ind w:firstLine="283"/>
        <w:jc w:val="both"/>
        <w:rPr>
          <w:sz w:val="22"/>
          <w:rtl/>
        </w:rPr>
      </w:pPr>
      <w:r>
        <w:rPr>
          <w:sz w:val="22"/>
          <w:rtl/>
        </w:rPr>
        <w:t xml:space="preserve"> </w:t>
      </w:r>
      <w:r>
        <w:rPr>
          <w:rFonts w:hint="cs"/>
          <w:sz w:val="22"/>
          <w:rtl/>
        </w:rPr>
        <w:t xml:space="preserve">באותו מעמד, הודיעה התביעה כי, בלא קשר להמלצת השירות, נוכח חומרת העבירות, תעתור להרשעת הנאשם ולעונש מאסר בפועל. </w:t>
      </w:r>
    </w:p>
    <w:p w14:paraId="2E67DF2D" w14:textId="77777777" w:rsidR="00493F04" w:rsidRDefault="00493F04">
      <w:pPr>
        <w:spacing w:after="80" w:line="320" w:lineRule="exact"/>
        <w:ind w:firstLine="283"/>
        <w:jc w:val="both"/>
        <w:rPr>
          <w:sz w:val="22"/>
          <w:rtl/>
        </w:rPr>
      </w:pPr>
    </w:p>
    <w:p w14:paraId="61E99664" w14:textId="77777777" w:rsidR="00493F04" w:rsidRDefault="00493F04">
      <w:pPr>
        <w:spacing w:after="80" w:line="320" w:lineRule="exact"/>
        <w:ind w:firstLine="283"/>
        <w:jc w:val="both"/>
        <w:rPr>
          <w:b/>
          <w:bCs/>
          <w:sz w:val="22"/>
          <w:u w:val="single"/>
          <w:rtl/>
        </w:rPr>
      </w:pPr>
      <w:r>
        <w:rPr>
          <w:b/>
          <w:bCs/>
          <w:sz w:val="22"/>
          <w:u w:val="single"/>
          <w:rtl/>
        </w:rPr>
        <w:t>ה</w:t>
      </w:r>
      <w:r>
        <w:rPr>
          <w:rFonts w:hint="cs"/>
          <w:b/>
          <w:bCs/>
          <w:sz w:val="22"/>
          <w:u w:val="single"/>
          <w:rtl/>
        </w:rPr>
        <w:t>עובדות</w:t>
      </w:r>
    </w:p>
    <w:p w14:paraId="593B5A63" w14:textId="77777777" w:rsidR="00493F04" w:rsidRDefault="00493F04">
      <w:pPr>
        <w:spacing w:after="80" w:line="320" w:lineRule="exact"/>
        <w:ind w:firstLine="283"/>
        <w:jc w:val="both"/>
        <w:rPr>
          <w:sz w:val="22"/>
          <w:rtl/>
        </w:rPr>
      </w:pPr>
      <w:r>
        <w:rPr>
          <w:sz w:val="22"/>
          <w:rtl/>
        </w:rPr>
        <w:t xml:space="preserve">3. </w:t>
      </w:r>
      <w:r>
        <w:rPr>
          <w:rFonts w:hint="cs"/>
          <w:sz w:val="22"/>
          <w:rtl/>
        </w:rPr>
        <w:t xml:space="preserve">ואלה המעשים בביצועם הודה הנאשם: </w:t>
      </w:r>
    </w:p>
    <w:p w14:paraId="55075C8F" w14:textId="77777777" w:rsidR="00493F04" w:rsidRDefault="00493F04">
      <w:pPr>
        <w:spacing w:after="80" w:line="320" w:lineRule="exact"/>
        <w:ind w:firstLine="283"/>
        <w:jc w:val="both"/>
        <w:rPr>
          <w:sz w:val="22"/>
          <w:rtl/>
        </w:rPr>
      </w:pPr>
      <w:r>
        <w:rPr>
          <w:sz w:val="22"/>
          <w:rtl/>
        </w:rPr>
        <w:t>ב</w:t>
      </w:r>
      <w:r>
        <w:rPr>
          <w:rFonts w:hint="cs"/>
          <w:sz w:val="22"/>
          <w:rtl/>
        </w:rPr>
        <w:t>ין החודשים יוני 2001</w:t>
      </w:r>
      <w:r>
        <w:rPr>
          <w:sz w:val="22"/>
          <w:rtl/>
        </w:rPr>
        <w:t xml:space="preserve"> </w:t>
      </w:r>
      <w:r>
        <w:rPr>
          <w:rFonts w:hint="cs"/>
          <w:sz w:val="22"/>
          <w:rtl/>
        </w:rPr>
        <w:t xml:space="preserve">ועד אוגוסט 2001, נכנס הנאשם, לחדר השינה של המתלוננת, ליטף את ישבנה, ובעודה ישנה, חשף את איבר מינו והחל לאונן. </w:t>
      </w:r>
    </w:p>
    <w:p w14:paraId="1676B690" w14:textId="77777777" w:rsidR="00493F04" w:rsidRDefault="00493F04">
      <w:pPr>
        <w:spacing w:after="80" w:line="320" w:lineRule="exact"/>
        <w:ind w:firstLine="283"/>
        <w:jc w:val="both"/>
        <w:rPr>
          <w:sz w:val="22"/>
          <w:rtl/>
        </w:rPr>
      </w:pPr>
      <w:r>
        <w:rPr>
          <w:sz w:val="22"/>
          <w:rtl/>
        </w:rPr>
        <w:t>מ</w:t>
      </w:r>
      <w:r>
        <w:rPr>
          <w:rFonts w:hint="cs"/>
          <w:sz w:val="22"/>
          <w:rtl/>
        </w:rPr>
        <w:t xml:space="preserve">שניעורה המתלוננת  משנתה, יצא הנאשם מהחדר. </w:t>
      </w:r>
    </w:p>
    <w:p w14:paraId="63467945" w14:textId="77777777" w:rsidR="00493F04" w:rsidRDefault="00493F04">
      <w:pPr>
        <w:spacing w:after="80" w:line="320" w:lineRule="exact"/>
        <w:ind w:firstLine="283"/>
        <w:jc w:val="both"/>
        <w:rPr>
          <w:sz w:val="22"/>
          <w:rtl/>
        </w:rPr>
      </w:pPr>
      <w:r>
        <w:rPr>
          <w:sz w:val="22"/>
          <w:rtl/>
        </w:rPr>
        <w:t>ע</w:t>
      </w:r>
      <w:r>
        <w:rPr>
          <w:rFonts w:hint="cs"/>
          <w:sz w:val="22"/>
          <w:rtl/>
        </w:rPr>
        <w:t>וד באותו יום, סיפרה המתלוננת על האירוע לאימה, וזו ביקשה מהנאשם לעזוב את הבית. לאחר ימים ספורים, התנ</w:t>
      </w:r>
      <w:r>
        <w:rPr>
          <w:sz w:val="22"/>
          <w:rtl/>
        </w:rPr>
        <w:t>צ</w:t>
      </w:r>
      <w:r>
        <w:rPr>
          <w:rFonts w:hint="cs"/>
          <w:sz w:val="22"/>
          <w:rtl/>
        </w:rPr>
        <w:t xml:space="preserve">ל הנאשם על מעשיו בפני המתלוננת ואימה, וחזר להתגורר בביתם. </w:t>
      </w:r>
    </w:p>
    <w:p w14:paraId="21A7266F" w14:textId="77777777" w:rsidR="00493F04" w:rsidRDefault="00493F04">
      <w:pPr>
        <w:spacing w:after="80" w:line="320" w:lineRule="exact"/>
        <w:ind w:firstLine="283"/>
        <w:jc w:val="both"/>
        <w:rPr>
          <w:sz w:val="22"/>
          <w:rtl/>
        </w:rPr>
      </w:pPr>
    </w:p>
    <w:p w14:paraId="247A260D" w14:textId="77777777" w:rsidR="00493F04" w:rsidRDefault="00493F04">
      <w:pPr>
        <w:spacing w:after="80" w:line="320" w:lineRule="exact"/>
        <w:ind w:firstLine="283"/>
        <w:jc w:val="both"/>
        <w:rPr>
          <w:sz w:val="22"/>
          <w:rtl/>
        </w:rPr>
      </w:pPr>
      <w:r>
        <w:rPr>
          <w:sz w:val="22"/>
          <w:rtl/>
        </w:rPr>
        <w:t>כ</w:t>
      </w:r>
      <w:r>
        <w:rPr>
          <w:rFonts w:hint="cs"/>
          <w:sz w:val="22"/>
          <w:rtl/>
        </w:rPr>
        <w:t xml:space="preserve">חודשיים לאחר מכן, עת היתה המתלוננת עירומה בחדר האמבטיה, הציץ הנאשם מבעד לחור המנעול, והביט במתלוננת. </w:t>
      </w:r>
    </w:p>
    <w:p w14:paraId="7D127D43" w14:textId="77777777" w:rsidR="00493F04" w:rsidRDefault="00493F04">
      <w:pPr>
        <w:spacing w:after="80" w:line="320" w:lineRule="exact"/>
        <w:ind w:firstLine="283"/>
        <w:jc w:val="both"/>
        <w:rPr>
          <w:sz w:val="22"/>
          <w:rtl/>
        </w:rPr>
      </w:pPr>
      <w:r>
        <w:rPr>
          <w:rFonts w:hint="cs"/>
          <w:sz w:val="22"/>
          <w:rtl/>
        </w:rPr>
        <w:t>המתלוננת יצאה בריצה מחדר האמבטיה, והתחבאה כפופה, מאחרי ארון בחדר של אחיה, משם קראה לאמה, תוך</w:t>
      </w:r>
      <w:r>
        <w:rPr>
          <w:sz w:val="22"/>
          <w:rtl/>
        </w:rPr>
        <w:t xml:space="preserve"> </w:t>
      </w:r>
      <w:r>
        <w:rPr>
          <w:rFonts w:hint="cs"/>
          <w:sz w:val="22"/>
          <w:rtl/>
        </w:rPr>
        <w:t xml:space="preserve">שהיא ממררת בבכי, מפוחדת ומבוהלת. </w:t>
      </w:r>
    </w:p>
    <w:p w14:paraId="495C6A8D" w14:textId="77777777" w:rsidR="00493F04" w:rsidRDefault="00493F04">
      <w:pPr>
        <w:spacing w:after="80" w:line="320" w:lineRule="exact"/>
        <w:ind w:firstLine="283"/>
        <w:jc w:val="both"/>
        <w:rPr>
          <w:sz w:val="22"/>
          <w:rtl/>
        </w:rPr>
      </w:pPr>
    </w:p>
    <w:p w14:paraId="79707CC2" w14:textId="77777777" w:rsidR="00493F04" w:rsidRDefault="00493F04">
      <w:pPr>
        <w:spacing w:after="80" w:line="320" w:lineRule="exact"/>
        <w:ind w:firstLine="283"/>
        <w:jc w:val="both"/>
        <w:rPr>
          <w:sz w:val="22"/>
          <w:rtl/>
        </w:rPr>
      </w:pPr>
      <w:r>
        <w:rPr>
          <w:sz w:val="22"/>
          <w:rtl/>
        </w:rPr>
        <w:t xml:space="preserve"> </w:t>
      </w:r>
      <w:r>
        <w:rPr>
          <w:rFonts w:hint="cs"/>
          <w:sz w:val="22"/>
          <w:rtl/>
        </w:rPr>
        <w:t xml:space="preserve">בעקבות אירוע זה, ביקשה, שוב, אֵם המתלוננת, מהנאשם, לעזוב את הבית. </w:t>
      </w:r>
    </w:p>
    <w:p w14:paraId="6B6F2100" w14:textId="77777777" w:rsidR="00493F04" w:rsidRDefault="00493F04">
      <w:pPr>
        <w:spacing w:after="80" w:line="320" w:lineRule="exact"/>
        <w:ind w:firstLine="283"/>
        <w:jc w:val="both"/>
        <w:rPr>
          <w:sz w:val="22"/>
          <w:rtl/>
        </w:rPr>
      </w:pPr>
      <w:r>
        <w:rPr>
          <w:sz w:val="22"/>
          <w:rtl/>
        </w:rPr>
        <w:t>ה</w:t>
      </w:r>
      <w:r>
        <w:rPr>
          <w:rFonts w:hint="cs"/>
          <w:sz w:val="22"/>
          <w:rtl/>
        </w:rPr>
        <w:t xml:space="preserve">נאשם התנצל על מעשיו באומרו שהיצר הרע השתלט עליו, ועזב את הבית למשך חודש ימים. </w:t>
      </w:r>
    </w:p>
    <w:p w14:paraId="2151E707" w14:textId="77777777" w:rsidR="00493F04" w:rsidRDefault="00493F04">
      <w:pPr>
        <w:spacing w:after="80" w:line="320" w:lineRule="exact"/>
        <w:ind w:firstLine="283"/>
        <w:jc w:val="both"/>
        <w:rPr>
          <w:sz w:val="22"/>
          <w:rtl/>
        </w:rPr>
      </w:pPr>
    </w:p>
    <w:p w14:paraId="5E18ABEB" w14:textId="77777777" w:rsidR="00493F04" w:rsidRDefault="00493F04">
      <w:pPr>
        <w:spacing w:after="80" w:line="320" w:lineRule="exact"/>
        <w:ind w:firstLine="283"/>
        <w:jc w:val="both"/>
        <w:rPr>
          <w:sz w:val="22"/>
          <w:rtl/>
        </w:rPr>
      </w:pPr>
      <w:r>
        <w:rPr>
          <w:sz w:val="22"/>
          <w:rtl/>
        </w:rPr>
        <w:t>ב</w:t>
      </w:r>
      <w:r>
        <w:rPr>
          <w:rFonts w:hint="cs"/>
          <w:sz w:val="22"/>
          <w:rtl/>
        </w:rPr>
        <w:t xml:space="preserve">עקבות מעשי הנאשם, סבלה המתלוננת, משך מספר חודשים, מסיוטים וחרדות. </w:t>
      </w:r>
    </w:p>
    <w:p w14:paraId="73882EEF" w14:textId="77777777" w:rsidR="00493F04" w:rsidRDefault="00493F04">
      <w:pPr>
        <w:spacing w:after="80" w:line="320" w:lineRule="exact"/>
        <w:ind w:firstLine="283"/>
        <w:jc w:val="both"/>
        <w:rPr>
          <w:sz w:val="22"/>
          <w:rtl/>
        </w:rPr>
      </w:pPr>
    </w:p>
    <w:p w14:paraId="4A7D7B7D" w14:textId="77777777" w:rsidR="00493F04" w:rsidRDefault="00493F04">
      <w:pPr>
        <w:spacing w:after="80" w:line="320" w:lineRule="exact"/>
        <w:ind w:firstLine="283"/>
        <w:jc w:val="both"/>
        <w:rPr>
          <w:b/>
          <w:bCs/>
          <w:sz w:val="22"/>
          <w:u w:val="single"/>
          <w:rtl/>
        </w:rPr>
      </w:pPr>
      <w:r>
        <w:rPr>
          <w:b/>
          <w:bCs/>
          <w:sz w:val="22"/>
          <w:u w:val="single"/>
          <w:rtl/>
        </w:rPr>
        <w:t>ת</w:t>
      </w:r>
      <w:r>
        <w:rPr>
          <w:rFonts w:hint="cs"/>
          <w:b/>
          <w:bCs/>
          <w:sz w:val="22"/>
          <w:u w:val="single"/>
          <w:rtl/>
        </w:rPr>
        <w:t>ס</w:t>
      </w:r>
      <w:r>
        <w:rPr>
          <w:b/>
          <w:bCs/>
          <w:sz w:val="22"/>
          <w:u w:val="single"/>
          <w:rtl/>
        </w:rPr>
        <w:t>ק</w:t>
      </w:r>
      <w:r>
        <w:rPr>
          <w:rFonts w:hint="cs"/>
          <w:b/>
          <w:bCs/>
          <w:sz w:val="22"/>
          <w:u w:val="single"/>
          <w:rtl/>
        </w:rPr>
        <w:t>ירי שירות המבחן</w:t>
      </w:r>
    </w:p>
    <w:p w14:paraId="4AF73D35" w14:textId="77777777" w:rsidR="00493F04" w:rsidRDefault="00493F04">
      <w:pPr>
        <w:spacing w:after="80" w:line="320" w:lineRule="exact"/>
        <w:ind w:firstLine="283"/>
        <w:jc w:val="both"/>
        <w:rPr>
          <w:sz w:val="22"/>
          <w:rtl/>
        </w:rPr>
      </w:pPr>
      <w:r>
        <w:rPr>
          <w:sz w:val="22"/>
          <w:rtl/>
        </w:rPr>
        <w:t xml:space="preserve">4. </w:t>
      </w:r>
      <w:r>
        <w:rPr>
          <w:rFonts w:hint="cs"/>
          <w:sz w:val="22"/>
          <w:rtl/>
        </w:rPr>
        <w:t xml:space="preserve">בעניינו של הנאשם הוגשו 3 תסקירי שירות המבחן. </w:t>
      </w:r>
    </w:p>
    <w:p w14:paraId="09F3E915" w14:textId="77777777" w:rsidR="00493F04" w:rsidRDefault="00493F04">
      <w:pPr>
        <w:spacing w:after="80" w:line="320" w:lineRule="exact"/>
        <w:ind w:firstLine="283"/>
        <w:jc w:val="both"/>
        <w:rPr>
          <w:sz w:val="22"/>
          <w:rtl/>
        </w:rPr>
      </w:pPr>
    </w:p>
    <w:p w14:paraId="6D418166" w14:textId="77777777" w:rsidR="00493F04" w:rsidRDefault="00493F04">
      <w:pPr>
        <w:spacing w:after="80" w:line="320" w:lineRule="exact"/>
        <w:ind w:firstLine="283"/>
        <w:jc w:val="both"/>
        <w:rPr>
          <w:sz w:val="22"/>
          <w:rtl/>
        </w:rPr>
      </w:pPr>
      <w:r>
        <w:rPr>
          <w:sz w:val="22"/>
          <w:rtl/>
        </w:rPr>
        <w:t>ה</w:t>
      </w:r>
      <w:r>
        <w:rPr>
          <w:rFonts w:hint="cs"/>
          <w:sz w:val="22"/>
          <w:rtl/>
        </w:rPr>
        <w:t xml:space="preserve">נאשם בן 45, נשוי בשנית, ואב לשתי בנות, האחת מנישואיו הראשונים, והשניה, מנישואיו הנוכחיים. </w:t>
      </w:r>
    </w:p>
    <w:p w14:paraId="050E1DCB" w14:textId="77777777" w:rsidR="00493F04" w:rsidRDefault="00493F04">
      <w:pPr>
        <w:spacing w:after="80" w:line="320" w:lineRule="exact"/>
        <w:ind w:firstLine="283"/>
        <w:jc w:val="both"/>
        <w:rPr>
          <w:sz w:val="22"/>
          <w:rtl/>
        </w:rPr>
      </w:pPr>
      <w:r>
        <w:rPr>
          <w:rFonts w:hint="cs"/>
          <w:sz w:val="22"/>
          <w:rtl/>
        </w:rPr>
        <w:t xml:space="preserve">מאז 1993, משמש הנאשם כמפקח במשטרה הירוקה במשרד לאיכות הסביבה. </w:t>
      </w:r>
    </w:p>
    <w:p w14:paraId="0999B26A" w14:textId="77777777" w:rsidR="00493F04" w:rsidRDefault="00493F04">
      <w:pPr>
        <w:spacing w:after="80" w:line="320" w:lineRule="exact"/>
        <w:ind w:firstLine="283"/>
        <w:jc w:val="both"/>
        <w:rPr>
          <w:sz w:val="22"/>
          <w:rtl/>
        </w:rPr>
      </w:pPr>
      <w:r>
        <w:rPr>
          <w:rFonts w:hint="cs"/>
          <w:sz w:val="22"/>
          <w:rtl/>
        </w:rPr>
        <w:t>לדברי הנאשם הוא פעיל בעבודה קהילתי</w:t>
      </w:r>
      <w:r>
        <w:rPr>
          <w:sz w:val="22"/>
          <w:rtl/>
        </w:rPr>
        <w:t>ת</w:t>
      </w:r>
      <w:r>
        <w:rPr>
          <w:rFonts w:hint="cs"/>
          <w:sz w:val="22"/>
          <w:rtl/>
        </w:rPr>
        <w:t xml:space="preserve">, מתנדב, ותורם לקידום חברתי של בני נוער. </w:t>
      </w:r>
    </w:p>
    <w:p w14:paraId="685E52CA" w14:textId="77777777" w:rsidR="00493F04" w:rsidRDefault="00493F04">
      <w:pPr>
        <w:spacing w:after="80" w:line="320" w:lineRule="exact"/>
        <w:ind w:firstLine="283"/>
        <w:jc w:val="both"/>
        <w:rPr>
          <w:sz w:val="22"/>
          <w:rtl/>
        </w:rPr>
      </w:pPr>
      <w:r>
        <w:rPr>
          <w:sz w:val="22"/>
          <w:rtl/>
        </w:rPr>
        <w:lastRenderedPageBreak/>
        <w:t>ב</w:t>
      </w:r>
      <w:r>
        <w:rPr>
          <w:rFonts w:hint="cs"/>
          <w:sz w:val="22"/>
          <w:rtl/>
        </w:rPr>
        <w:t xml:space="preserve">מהלך השיחות, בלטה במיוחד מצוקתו האישית של הנאשם, עלו תכנים קשים ביותר וזכרונות ילדות כאובים, ובין היתר, אלימות קשה מצד אביו, התעללות נפשית קשה של האֵם, כלפיו. </w:t>
      </w:r>
    </w:p>
    <w:p w14:paraId="059AF7C3" w14:textId="77777777" w:rsidR="00493F04" w:rsidRDefault="00493F04">
      <w:pPr>
        <w:spacing w:after="80" w:line="320" w:lineRule="exact"/>
        <w:ind w:firstLine="283"/>
        <w:jc w:val="both"/>
        <w:rPr>
          <w:sz w:val="22"/>
          <w:rtl/>
        </w:rPr>
      </w:pPr>
    </w:p>
    <w:p w14:paraId="251FA84B" w14:textId="77777777" w:rsidR="00493F04" w:rsidRDefault="00493F04">
      <w:pPr>
        <w:spacing w:after="80" w:line="320" w:lineRule="exact"/>
        <w:ind w:firstLine="283"/>
        <w:jc w:val="both"/>
        <w:rPr>
          <w:sz w:val="22"/>
          <w:rtl/>
        </w:rPr>
      </w:pPr>
      <w:r>
        <w:rPr>
          <w:rFonts w:hint="cs"/>
          <w:sz w:val="22"/>
          <w:rtl/>
        </w:rPr>
        <w:t>הנאשם סיים 10 שנות לימוד, ולדבריו, נאלץ לנשור מהלימ</w:t>
      </w:r>
      <w:r>
        <w:rPr>
          <w:sz w:val="22"/>
          <w:rtl/>
        </w:rPr>
        <w:t>ו</w:t>
      </w:r>
      <w:r>
        <w:rPr>
          <w:rFonts w:hint="cs"/>
          <w:sz w:val="22"/>
          <w:rtl/>
        </w:rPr>
        <w:t xml:space="preserve">דים, נוכח עזיבתו את הבית ונשיאתו בעול פרנסת עצמו. </w:t>
      </w:r>
    </w:p>
    <w:p w14:paraId="4A87FE6B" w14:textId="77777777" w:rsidR="00493F04" w:rsidRDefault="00493F04">
      <w:pPr>
        <w:spacing w:after="80" w:line="320" w:lineRule="exact"/>
        <w:ind w:firstLine="283"/>
        <w:jc w:val="both"/>
        <w:rPr>
          <w:sz w:val="22"/>
          <w:rtl/>
        </w:rPr>
      </w:pPr>
    </w:p>
    <w:p w14:paraId="5E38190C" w14:textId="77777777" w:rsidR="00493F04" w:rsidRDefault="00493F04">
      <w:pPr>
        <w:spacing w:after="80" w:line="320" w:lineRule="exact"/>
        <w:ind w:firstLine="283"/>
        <w:jc w:val="both"/>
        <w:rPr>
          <w:sz w:val="22"/>
          <w:rtl/>
        </w:rPr>
      </w:pPr>
      <w:r>
        <w:rPr>
          <w:rFonts w:hint="cs"/>
          <w:sz w:val="22"/>
          <w:rtl/>
        </w:rPr>
        <w:t xml:space="preserve">ממבחנים פסיכו-דיאגנוסטיים, עולה, בין היתר, כי הנאשם בעל </w:t>
      </w:r>
      <w:r>
        <w:rPr>
          <w:b/>
          <w:bCs/>
          <w:sz w:val="22"/>
          <w:rtl/>
        </w:rPr>
        <w:t>"</w:t>
      </w:r>
      <w:r>
        <w:rPr>
          <w:rFonts w:hint="cs"/>
          <w:b/>
          <w:bCs/>
          <w:sz w:val="22"/>
          <w:rtl/>
        </w:rPr>
        <w:t>רמת דחפים מיניים גבוהה"</w:t>
      </w:r>
      <w:r>
        <w:rPr>
          <w:sz w:val="22"/>
          <w:rtl/>
        </w:rPr>
        <w:t xml:space="preserve"> </w:t>
      </w:r>
      <w:r>
        <w:rPr>
          <w:rFonts w:hint="cs"/>
          <w:sz w:val="22"/>
          <w:rtl/>
        </w:rPr>
        <w:t>ומשאבים רגשיים נמוכים, לויסותה.</w:t>
      </w:r>
      <w:r>
        <w:rPr>
          <w:color w:val="FFFFFF"/>
          <w:sz w:val="4"/>
          <w:szCs w:val="4"/>
          <w:rtl/>
        </w:rPr>
        <w:t>נ</w:t>
      </w:r>
    </w:p>
    <w:p w14:paraId="2925DAD2" w14:textId="77777777" w:rsidR="00493F04" w:rsidRDefault="00493F04">
      <w:pPr>
        <w:spacing w:after="80" w:line="320" w:lineRule="exact"/>
        <w:ind w:firstLine="283"/>
        <w:jc w:val="both"/>
        <w:rPr>
          <w:b/>
          <w:bCs/>
          <w:sz w:val="22"/>
          <w:rtl/>
        </w:rPr>
      </w:pPr>
      <w:r>
        <w:rPr>
          <w:rFonts w:hint="cs"/>
          <w:sz w:val="22"/>
          <w:rtl/>
        </w:rPr>
        <w:t xml:space="preserve">במקרה של הצפה רגשית </w:t>
      </w:r>
      <w:r>
        <w:rPr>
          <w:b/>
          <w:bCs/>
          <w:sz w:val="22"/>
          <w:rtl/>
        </w:rPr>
        <w:t>"</w:t>
      </w:r>
      <w:r>
        <w:rPr>
          <w:rFonts w:hint="cs"/>
          <w:b/>
          <w:bCs/>
          <w:sz w:val="22"/>
          <w:rtl/>
        </w:rPr>
        <w:t>קיימת רמת מסוכנות גבוהה למדי".</w:t>
      </w:r>
      <w:r>
        <w:rPr>
          <w:b/>
          <w:bCs/>
          <w:color w:val="FFFFFF"/>
          <w:sz w:val="4"/>
          <w:szCs w:val="4"/>
          <w:rtl/>
        </w:rPr>
        <w:t>ב</w:t>
      </w:r>
    </w:p>
    <w:p w14:paraId="2C486EA0" w14:textId="77777777" w:rsidR="00493F04" w:rsidRDefault="00493F04">
      <w:pPr>
        <w:spacing w:after="80" w:line="320" w:lineRule="exact"/>
        <w:ind w:firstLine="283"/>
        <w:jc w:val="both"/>
        <w:rPr>
          <w:b/>
          <w:bCs/>
          <w:sz w:val="22"/>
          <w:rtl/>
        </w:rPr>
      </w:pPr>
      <w:r>
        <w:rPr>
          <w:sz w:val="22"/>
          <w:rtl/>
        </w:rPr>
        <w:t>ע</w:t>
      </w:r>
      <w:r>
        <w:rPr>
          <w:rFonts w:hint="cs"/>
          <w:sz w:val="22"/>
          <w:rtl/>
        </w:rPr>
        <w:t>ם זאת, צויין, כי</w:t>
      </w:r>
      <w:r>
        <w:rPr>
          <w:b/>
          <w:bCs/>
          <w:sz w:val="22"/>
          <w:rtl/>
        </w:rPr>
        <w:t xml:space="preserve"> "</w:t>
      </w:r>
      <w:r>
        <w:rPr>
          <w:rFonts w:hint="cs"/>
          <w:b/>
          <w:bCs/>
          <w:sz w:val="22"/>
          <w:rtl/>
        </w:rPr>
        <w:t>לא נמצא שמדובר באדם</w:t>
      </w:r>
      <w:r>
        <w:rPr>
          <w:b/>
          <w:bCs/>
          <w:sz w:val="22"/>
          <w:rtl/>
        </w:rPr>
        <w:t xml:space="preserve"> </w:t>
      </w:r>
      <w:r>
        <w:rPr>
          <w:rFonts w:hint="cs"/>
          <w:b/>
          <w:bCs/>
          <w:sz w:val="22"/>
          <w:rtl/>
        </w:rPr>
        <w:t>אלים, המפעיל כוח על מנת להגיע לסיפוק צרכיו, אלא הסכנה היא בהישנות מקרים כמקרה הפגיעה שביצע".</w:t>
      </w:r>
      <w:r>
        <w:rPr>
          <w:b/>
          <w:bCs/>
          <w:color w:val="FFFFFF"/>
          <w:sz w:val="4"/>
          <w:szCs w:val="4"/>
          <w:rtl/>
        </w:rPr>
        <w:t>ו</w:t>
      </w:r>
    </w:p>
    <w:p w14:paraId="71C8BCC6" w14:textId="77777777" w:rsidR="00493F04" w:rsidRDefault="00493F04">
      <w:pPr>
        <w:spacing w:after="80" w:line="320" w:lineRule="exact"/>
        <w:ind w:firstLine="283"/>
        <w:jc w:val="both"/>
        <w:rPr>
          <w:sz w:val="22"/>
          <w:rtl/>
        </w:rPr>
      </w:pPr>
    </w:p>
    <w:p w14:paraId="3CFEF12A" w14:textId="77777777" w:rsidR="00493F04" w:rsidRDefault="00493F04">
      <w:pPr>
        <w:spacing w:after="80" w:line="320" w:lineRule="exact"/>
        <w:ind w:firstLine="283"/>
        <w:jc w:val="both"/>
        <w:rPr>
          <w:sz w:val="22"/>
          <w:rtl/>
        </w:rPr>
      </w:pPr>
      <w:r>
        <w:rPr>
          <w:rFonts w:hint="cs"/>
          <w:sz w:val="22"/>
          <w:rtl/>
        </w:rPr>
        <w:t xml:space="preserve">לפני מספר חודשים, שבה  המתלוננת להתגורר עם אימה והנאשם, בביתם המשותף. </w:t>
      </w:r>
    </w:p>
    <w:p w14:paraId="1B76AE34" w14:textId="77777777" w:rsidR="00493F04" w:rsidRDefault="00493F04">
      <w:pPr>
        <w:spacing w:after="80" w:line="320" w:lineRule="exact"/>
        <w:ind w:firstLine="283"/>
        <w:jc w:val="both"/>
        <w:rPr>
          <w:sz w:val="22"/>
          <w:rtl/>
        </w:rPr>
      </w:pPr>
      <w:r>
        <w:rPr>
          <w:rFonts w:hint="cs"/>
          <w:sz w:val="22"/>
          <w:rtl/>
        </w:rPr>
        <w:t>האֵם נוקטת גישה אמביוולנטית ביחס לנאשם ולבתה. בעקבות האירוע הראשון לא הניעה האֵם את בתה לה</w:t>
      </w:r>
      <w:r>
        <w:rPr>
          <w:sz w:val="22"/>
          <w:rtl/>
        </w:rPr>
        <w:t>ת</w:t>
      </w:r>
      <w:r>
        <w:rPr>
          <w:rFonts w:hint="cs"/>
          <w:sz w:val="22"/>
          <w:rtl/>
        </w:rPr>
        <w:t xml:space="preserve">לונן, והתלונה הוגשה בעידוד מדריך הפנימייה בה שהתה. </w:t>
      </w:r>
    </w:p>
    <w:p w14:paraId="3305C17B" w14:textId="77777777" w:rsidR="00493F04" w:rsidRDefault="00493F04">
      <w:pPr>
        <w:spacing w:after="80" w:line="320" w:lineRule="exact"/>
        <w:ind w:firstLine="283"/>
        <w:jc w:val="both"/>
        <w:rPr>
          <w:sz w:val="22"/>
          <w:rtl/>
        </w:rPr>
      </w:pPr>
    </w:p>
    <w:p w14:paraId="7EDC552F" w14:textId="77777777" w:rsidR="00493F04" w:rsidRDefault="00493F04">
      <w:pPr>
        <w:spacing w:after="80" w:line="320" w:lineRule="exact"/>
        <w:ind w:firstLine="283"/>
        <w:jc w:val="both"/>
        <w:rPr>
          <w:sz w:val="22"/>
          <w:rtl/>
        </w:rPr>
      </w:pPr>
      <w:r>
        <w:rPr>
          <w:rFonts w:hint="cs"/>
          <w:sz w:val="22"/>
          <w:rtl/>
        </w:rPr>
        <w:t>משיחה עם מפקדו של הנאשם, עולה כי הנאשם מבצע עבודתו נאמנה, מסור וחרוץ. עם זאת, ציין המפקד, כי הרשעת הנאשם בדין, תגרום לפיטוריו המיידיים.</w:t>
      </w:r>
      <w:r>
        <w:rPr>
          <w:color w:val="FFFFFF"/>
          <w:sz w:val="4"/>
          <w:szCs w:val="4"/>
          <w:rtl/>
        </w:rPr>
        <w:t>נ</w:t>
      </w:r>
    </w:p>
    <w:p w14:paraId="65BCF38B" w14:textId="77777777" w:rsidR="00493F04" w:rsidRDefault="00493F04">
      <w:pPr>
        <w:spacing w:after="80" w:line="320" w:lineRule="exact"/>
        <w:ind w:firstLine="283"/>
        <w:jc w:val="both"/>
        <w:rPr>
          <w:sz w:val="22"/>
          <w:rtl/>
        </w:rPr>
      </w:pPr>
    </w:p>
    <w:p w14:paraId="1CD804EC" w14:textId="77777777" w:rsidR="00493F04" w:rsidRDefault="00493F04">
      <w:pPr>
        <w:spacing w:after="80" w:line="320" w:lineRule="exact"/>
        <w:ind w:firstLine="283"/>
        <w:jc w:val="both"/>
        <w:rPr>
          <w:sz w:val="22"/>
          <w:rtl/>
        </w:rPr>
      </w:pPr>
      <w:r>
        <w:rPr>
          <w:rFonts w:hint="cs"/>
          <w:sz w:val="22"/>
          <w:rtl/>
        </w:rPr>
        <w:t xml:space="preserve">השירות התרשם, כי הנאשם מתחרט ומצר על מעשיו, מכיר בפגיעתו בקורבן, </w:t>
      </w:r>
      <w:r>
        <w:rPr>
          <w:sz w:val="22"/>
          <w:rtl/>
        </w:rPr>
        <w:t>ו</w:t>
      </w:r>
      <w:r>
        <w:rPr>
          <w:rFonts w:hint="cs"/>
          <w:sz w:val="22"/>
          <w:rtl/>
        </w:rPr>
        <w:t xml:space="preserve">נכון לטפל בעצמו. </w:t>
      </w:r>
    </w:p>
    <w:p w14:paraId="26419B04" w14:textId="77777777" w:rsidR="00493F04" w:rsidRDefault="00493F04">
      <w:pPr>
        <w:spacing w:after="80" w:line="320" w:lineRule="exact"/>
        <w:ind w:firstLine="283"/>
        <w:jc w:val="both"/>
        <w:rPr>
          <w:sz w:val="22"/>
          <w:rtl/>
        </w:rPr>
      </w:pPr>
      <w:r>
        <w:rPr>
          <w:sz w:val="22"/>
          <w:rtl/>
        </w:rPr>
        <w:t>מ</w:t>
      </w:r>
      <w:r>
        <w:rPr>
          <w:rFonts w:hint="cs"/>
          <w:sz w:val="22"/>
          <w:rtl/>
        </w:rPr>
        <w:t xml:space="preserve">מידע שנתקבל מהמחלקה לשירותים חברתיים בענין מצב המתלוננת, עולה תמונה בעייתית ומורכבת. </w:t>
      </w:r>
    </w:p>
    <w:p w14:paraId="3DE4B4A8" w14:textId="77777777" w:rsidR="00493F04" w:rsidRDefault="00493F04">
      <w:pPr>
        <w:spacing w:after="80" w:line="320" w:lineRule="exact"/>
        <w:ind w:firstLine="283"/>
        <w:jc w:val="both"/>
        <w:rPr>
          <w:sz w:val="22"/>
          <w:rtl/>
        </w:rPr>
      </w:pPr>
      <w:r>
        <w:rPr>
          <w:rFonts w:hint="cs"/>
          <w:sz w:val="22"/>
          <w:rtl/>
        </w:rPr>
        <w:t xml:space="preserve">בלט קושי של המשפחה לשיתוף פעולה, תוך הימנעות מהשתלבות בטיפול משפחתי ופרטני. </w:t>
      </w:r>
    </w:p>
    <w:p w14:paraId="09F36075" w14:textId="77777777" w:rsidR="00493F04" w:rsidRDefault="00493F04">
      <w:pPr>
        <w:spacing w:after="80" w:line="320" w:lineRule="exact"/>
        <w:ind w:firstLine="283"/>
        <w:jc w:val="both"/>
        <w:rPr>
          <w:sz w:val="22"/>
          <w:rtl/>
        </w:rPr>
      </w:pPr>
    </w:p>
    <w:p w14:paraId="58C830A9" w14:textId="77777777" w:rsidR="00493F04" w:rsidRDefault="00493F04">
      <w:pPr>
        <w:spacing w:after="80" w:line="320" w:lineRule="exact"/>
        <w:ind w:firstLine="283"/>
        <w:jc w:val="both"/>
        <w:rPr>
          <w:sz w:val="22"/>
          <w:rtl/>
        </w:rPr>
      </w:pPr>
      <w:r>
        <w:rPr>
          <w:rFonts w:hint="cs"/>
          <w:sz w:val="22"/>
          <w:rtl/>
        </w:rPr>
        <w:t>לאור כל האמור, המליץ השירות, על העמדת הנאשם במבחן, לתקופה של שנתיים, במה</w:t>
      </w:r>
      <w:r>
        <w:rPr>
          <w:sz w:val="22"/>
          <w:rtl/>
        </w:rPr>
        <w:t>ל</w:t>
      </w:r>
      <w:r>
        <w:rPr>
          <w:rFonts w:hint="cs"/>
          <w:sz w:val="22"/>
          <w:rtl/>
        </w:rPr>
        <w:t xml:space="preserve">כם ישתלב בקבוצה טיפולית לעברייני מין ובטיפול פרטני. </w:t>
      </w:r>
    </w:p>
    <w:p w14:paraId="12FF9A2A" w14:textId="77777777" w:rsidR="00493F04" w:rsidRDefault="00493F04">
      <w:pPr>
        <w:spacing w:after="80" w:line="320" w:lineRule="exact"/>
        <w:ind w:firstLine="283"/>
        <w:jc w:val="both"/>
        <w:rPr>
          <w:sz w:val="22"/>
          <w:rtl/>
        </w:rPr>
      </w:pPr>
    </w:p>
    <w:p w14:paraId="72C9FDC5" w14:textId="77777777" w:rsidR="00493F04" w:rsidRDefault="00493F04">
      <w:pPr>
        <w:spacing w:after="80" w:line="320" w:lineRule="exact"/>
        <w:ind w:firstLine="283"/>
        <w:jc w:val="both"/>
        <w:rPr>
          <w:sz w:val="22"/>
          <w:rtl/>
        </w:rPr>
      </w:pPr>
      <w:r>
        <w:rPr>
          <w:rFonts w:hint="cs"/>
          <w:sz w:val="22"/>
          <w:rtl/>
        </w:rPr>
        <w:t xml:space="preserve">ביחס לשאלת הרשעתו בדין, נמנע השירות ממתן המלצה כלשהי, נוכח חומרת העבירות המתוארות, והתרשמותו מהמצב הבעייתי בו נתונה המתלוננת. </w:t>
      </w:r>
    </w:p>
    <w:p w14:paraId="4A195777" w14:textId="77777777" w:rsidR="00493F04" w:rsidRDefault="00493F04">
      <w:pPr>
        <w:spacing w:after="80" w:line="320" w:lineRule="exact"/>
        <w:ind w:firstLine="283"/>
        <w:jc w:val="both"/>
        <w:rPr>
          <w:sz w:val="22"/>
          <w:rtl/>
        </w:rPr>
      </w:pPr>
    </w:p>
    <w:p w14:paraId="493D5575" w14:textId="77777777" w:rsidR="00493F04" w:rsidRDefault="00493F04">
      <w:pPr>
        <w:spacing w:after="80" w:line="320" w:lineRule="exact"/>
        <w:ind w:firstLine="283"/>
        <w:jc w:val="both"/>
        <w:rPr>
          <w:b/>
          <w:bCs/>
          <w:sz w:val="22"/>
          <w:u w:val="single"/>
          <w:rtl/>
        </w:rPr>
      </w:pPr>
      <w:r>
        <w:rPr>
          <w:b/>
          <w:bCs/>
          <w:sz w:val="22"/>
          <w:u w:val="single"/>
          <w:rtl/>
        </w:rPr>
        <w:t>ע</w:t>
      </w:r>
      <w:r>
        <w:rPr>
          <w:rFonts w:hint="cs"/>
          <w:b/>
          <w:bCs/>
          <w:sz w:val="22"/>
          <w:u w:val="single"/>
          <w:rtl/>
        </w:rPr>
        <w:t>תירות הצדדים</w:t>
      </w:r>
    </w:p>
    <w:p w14:paraId="5104528D" w14:textId="77777777" w:rsidR="00493F04" w:rsidRDefault="00493F04">
      <w:pPr>
        <w:spacing w:after="80" w:line="320" w:lineRule="exact"/>
        <w:ind w:firstLine="283"/>
        <w:jc w:val="both"/>
        <w:rPr>
          <w:sz w:val="22"/>
          <w:rtl/>
        </w:rPr>
      </w:pPr>
      <w:r>
        <w:rPr>
          <w:sz w:val="22"/>
          <w:rtl/>
        </w:rPr>
        <w:t xml:space="preserve">5. </w:t>
      </w:r>
      <w:r>
        <w:rPr>
          <w:rFonts w:hint="cs"/>
          <w:sz w:val="22"/>
          <w:rtl/>
        </w:rPr>
        <w:t>הסניגור המלומד, עו"ד אלפסי, עתר להימנע מהרשעת הנאשם, מהט</w:t>
      </w:r>
      <w:r>
        <w:rPr>
          <w:sz w:val="22"/>
          <w:rtl/>
        </w:rPr>
        <w:t>ע</w:t>
      </w:r>
      <w:r>
        <w:rPr>
          <w:rFonts w:hint="cs"/>
          <w:sz w:val="22"/>
          <w:rtl/>
        </w:rPr>
        <w:t>מים הבאים:</w:t>
      </w:r>
    </w:p>
    <w:p w14:paraId="2DDFDE64" w14:textId="77777777" w:rsidR="00493F04" w:rsidRDefault="00493F04">
      <w:pPr>
        <w:spacing w:after="80" w:line="320" w:lineRule="exact"/>
        <w:ind w:firstLine="283"/>
        <w:jc w:val="both"/>
        <w:rPr>
          <w:sz w:val="22"/>
          <w:rtl/>
        </w:rPr>
      </w:pPr>
      <w:r>
        <w:rPr>
          <w:sz w:val="22"/>
          <w:rtl/>
        </w:rPr>
        <w:t>א</w:t>
      </w:r>
      <w:r>
        <w:rPr>
          <w:rFonts w:hint="cs"/>
          <w:sz w:val="22"/>
          <w:rtl/>
        </w:rPr>
        <w:t>.</w:t>
      </w:r>
      <w:r>
        <w:rPr>
          <w:sz w:val="22"/>
          <w:rtl/>
        </w:rPr>
        <w:t xml:space="preserve"> </w:t>
      </w:r>
      <w:r>
        <w:rPr>
          <w:rFonts w:hint="cs"/>
          <w:sz w:val="22"/>
          <w:rtl/>
        </w:rPr>
        <w:t xml:space="preserve">עברו הנקי של הנאשם. </w:t>
      </w:r>
    </w:p>
    <w:p w14:paraId="00635CC7" w14:textId="77777777" w:rsidR="00493F04" w:rsidRDefault="00493F04">
      <w:pPr>
        <w:spacing w:after="80" w:line="320" w:lineRule="exact"/>
        <w:ind w:firstLine="283"/>
        <w:jc w:val="both"/>
        <w:rPr>
          <w:sz w:val="22"/>
          <w:rtl/>
        </w:rPr>
      </w:pPr>
      <w:r>
        <w:rPr>
          <w:sz w:val="22"/>
          <w:rtl/>
        </w:rPr>
        <w:t>ב</w:t>
      </w:r>
      <w:r>
        <w:rPr>
          <w:rFonts w:hint="cs"/>
          <w:sz w:val="22"/>
          <w:rtl/>
        </w:rPr>
        <w:t>.</w:t>
      </w:r>
      <w:r>
        <w:rPr>
          <w:sz w:val="22"/>
          <w:rtl/>
        </w:rPr>
        <w:t xml:space="preserve"> </w:t>
      </w:r>
      <w:r>
        <w:rPr>
          <w:rFonts w:hint="cs"/>
          <w:sz w:val="22"/>
          <w:rtl/>
        </w:rPr>
        <w:t xml:space="preserve">הרשעת הנאשם, תגרום לפיטוריו, ולפגיעה אף במשפחה עצמה. </w:t>
      </w:r>
    </w:p>
    <w:p w14:paraId="7EEAE57A" w14:textId="77777777" w:rsidR="00493F04" w:rsidRDefault="00493F04">
      <w:pPr>
        <w:spacing w:after="80" w:line="320" w:lineRule="exact"/>
        <w:ind w:firstLine="283"/>
        <w:jc w:val="both"/>
        <w:rPr>
          <w:sz w:val="22"/>
          <w:rtl/>
        </w:rPr>
      </w:pPr>
      <w:r>
        <w:rPr>
          <w:sz w:val="22"/>
          <w:rtl/>
        </w:rPr>
        <w:t>ג</w:t>
      </w:r>
      <w:r>
        <w:rPr>
          <w:rFonts w:hint="cs"/>
          <w:sz w:val="22"/>
          <w:rtl/>
        </w:rPr>
        <w:t>.</w:t>
      </w:r>
      <w:r>
        <w:rPr>
          <w:sz w:val="22"/>
          <w:rtl/>
        </w:rPr>
        <w:t xml:space="preserve"> </w:t>
      </w:r>
      <w:r>
        <w:rPr>
          <w:rFonts w:hint="cs"/>
          <w:sz w:val="22"/>
          <w:rtl/>
        </w:rPr>
        <w:t xml:space="preserve">הודאתו המיידית של הנאשם וחרטתו הכנה. </w:t>
      </w:r>
    </w:p>
    <w:p w14:paraId="14727974" w14:textId="77777777" w:rsidR="00493F04" w:rsidRDefault="00493F04">
      <w:pPr>
        <w:spacing w:after="80" w:line="320" w:lineRule="exact"/>
        <w:ind w:firstLine="283"/>
        <w:jc w:val="both"/>
        <w:rPr>
          <w:sz w:val="22"/>
          <w:rtl/>
        </w:rPr>
      </w:pPr>
      <w:r>
        <w:rPr>
          <w:rFonts w:hint="cs"/>
          <w:sz w:val="22"/>
          <w:rtl/>
        </w:rPr>
        <w:t>ד.</w:t>
      </w:r>
      <w:r>
        <w:rPr>
          <w:sz w:val="22"/>
          <w:rtl/>
        </w:rPr>
        <w:t xml:space="preserve"> </w:t>
      </w:r>
      <w:r>
        <w:rPr>
          <w:rFonts w:hint="cs"/>
          <w:sz w:val="22"/>
          <w:rtl/>
        </w:rPr>
        <w:t xml:space="preserve">אי העדת המתלוננת, על כל הכרוך בכך. </w:t>
      </w:r>
    </w:p>
    <w:p w14:paraId="06AA09DF" w14:textId="77777777" w:rsidR="00493F04" w:rsidRDefault="00493F04">
      <w:pPr>
        <w:spacing w:after="80" w:line="320" w:lineRule="exact"/>
        <w:ind w:firstLine="283"/>
        <w:jc w:val="both"/>
        <w:rPr>
          <w:sz w:val="22"/>
          <w:rtl/>
        </w:rPr>
      </w:pPr>
      <w:r>
        <w:rPr>
          <w:sz w:val="22"/>
          <w:rtl/>
        </w:rPr>
        <w:t>ה</w:t>
      </w:r>
      <w:r>
        <w:rPr>
          <w:rFonts w:hint="cs"/>
          <w:sz w:val="22"/>
          <w:rtl/>
        </w:rPr>
        <w:t>.</w:t>
      </w:r>
      <w:r>
        <w:rPr>
          <w:sz w:val="22"/>
          <w:rtl/>
        </w:rPr>
        <w:t xml:space="preserve"> </w:t>
      </w:r>
      <w:r>
        <w:rPr>
          <w:rFonts w:hint="cs"/>
          <w:sz w:val="22"/>
          <w:rtl/>
        </w:rPr>
        <w:t xml:space="preserve">אין ראיה לגבי הנזק שנגרם למתלוננת, מעבר להנחה שנגרם נזק. </w:t>
      </w:r>
    </w:p>
    <w:p w14:paraId="4449625D" w14:textId="77777777" w:rsidR="00493F04" w:rsidRDefault="00493F04">
      <w:pPr>
        <w:spacing w:after="80" w:line="320" w:lineRule="exact"/>
        <w:ind w:firstLine="283"/>
        <w:jc w:val="both"/>
        <w:rPr>
          <w:sz w:val="22"/>
          <w:rtl/>
        </w:rPr>
      </w:pPr>
      <w:r>
        <w:rPr>
          <w:sz w:val="22"/>
          <w:rtl/>
        </w:rPr>
        <w:t>ו</w:t>
      </w:r>
      <w:r>
        <w:rPr>
          <w:rFonts w:hint="cs"/>
          <w:sz w:val="22"/>
          <w:rtl/>
        </w:rPr>
        <w:t>.</w:t>
      </w:r>
      <w:r>
        <w:rPr>
          <w:sz w:val="22"/>
          <w:rtl/>
        </w:rPr>
        <w:t xml:space="preserve"> </w:t>
      </w:r>
      <w:r>
        <w:rPr>
          <w:rFonts w:hint="cs"/>
          <w:sz w:val="22"/>
          <w:rtl/>
        </w:rPr>
        <w:t>הצורך בהתערבות טיפו</w:t>
      </w:r>
      <w:r>
        <w:rPr>
          <w:sz w:val="22"/>
          <w:rtl/>
        </w:rPr>
        <w:t>ל</w:t>
      </w:r>
      <w:r>
        <w:rPr>
          <w:rFonts w:hint="cs"/>
          <w:sz w:val="22"/>
          <w:rtl/>
        </w:rPr>
        <w:t xml:space="preserve">ית. </w:t>
      </w:r>
    </w:p>
    <w:p w14:paraId="4E4F6605" w14:textId="77777777" w:rsidR="00493F04" w:rsidRDefault="00493F04">
      <w:pPr>
        <w:spacing w:after="80" w:line="320" w:lineRule="exact"/>
        <w:ind w:firstLine="283"/>
        <w:jc w:val="both"/>
        <w:rPr>
          <w:sz w:val="22"/>
          <w:rtl/>
        </w:rPr>
      </w:pPr>
    </w:p>
    <w:p w14:paraId="5709BEA8" w14:textId="77777777" w:rsidR="00493F04" w:rsidRDefault="00493F04">
      <w:pPr>
        <w:spacing w:after="80" w:line="320" w:lineRule="exact"/>
        <w:ind w:firstLine="283"/>
        <w:jc w:val="both"/>
        <w:rPr>
          <w:sz w:val="22"/>
          <w:rtl/>
        </w:rPr>
      </w:pPr>
      <w:r>
        <w:rPr>
          <w:sz w:val="22"/>
          <w:rtl/>
        </w:rPr>
        <w:t xml:space="preserve">6. </w:t>
      </w:r>
      <w:r>
        <w:rPr>
          <w:rFonts w:hint="cs"/>
          <w:sz w:val="22"/>
          <w:rtl/>
        </w:rPr>
        <w:t>מנגד, ביקשה התביעה להרשיע את הנאשם, מהטעמים הבאים:</w:t>
      </w:r>
    </w:p>
    <w:p w14:paraId="2BE42200" w14:textId="77777777" w:rsidR="00493F04" w:rsidRDefault="00493F04">
      <w:pPr>
        <w:spacing w:after="80" w:line="320" w:lineRule="exact"/>
        <w:ind w:firstLine="283"/>
        <w:jc w:val="both"/>
        <w:rPr>
          <w:sz w:val="22"/>
          <w:rtl/>
        </w:rPr>
      </w:pPr>
      <w:r>
        <w:rPr>
          <w:sz w:val="22"/>
          <w:rtl/>
        </w:rPr>
        <w:t>א</w:t>
      </w:r>
      <w:r>
        <w:rPr>
          <w:rFonts w:hint="cs"/>
          <w:sz w:val="22"/>
          <w:rtl/>
        </w:rPr>
        <w:t>.</w:t>
      </w:r>
      <w:r>
        <w:rPr>
          <w:sz w:val="22"/>
          <w:rtl/>
        </w:rPr>
        <w:t xml:space="preserve"> </w:t>
      </w:r>
      <w:r>
        <w:rPr>
          <w:rFonts w:hint="cs"/>
          <w:sz w:val="22"/>
          <w:rtl/>
        </w:rPr>
        <w:t xml:space="preserve">חומרת העבירות, ונסיבות ביצוען, ובין היתר, היות הנאשם אביה החורג של המתלוננת; הפרש גילאים של כ- 30 שנה ביניהם, וביצוע העבירות בזמן שהמתלוננת התגוררה עימו, ותוך ניצול האמון שנתנה בו. </w:t>
      </w:r>
    </w:p>
    <w:p w14:paraId="69F93436" w14:textId="77777777" w:rsidR="00493F04" w:rsidRDefault="00493F04">
      <w:pPr>
        <w:spacing w:after="80" w:line="320" w:lineRule="exact"/>
        <w:ind w:firstLine="283"/>
        <w:jc w:val="both"/>
        <w:rPr>
          <w:sz w:val="22"/>
          <w:rtl/>
        </w:rPr>
      </w:pPr>
      <w:r>
        <w:rPr>
          <w:sz w:val="22"/>
          <w:rtl/>
        </w:rPr>
        <w:t>ב</w:t>
      </w:r>
      <w:r>
        <w:rPr>
          <w:rFonts w:hint="cs"/>
          <w:sz w:val="22"/>
          <w:rtl/>
        </w:rPr>
        <w:t>.</w:t>
      </w:r>
      <w:r>
        <w:rPr>
          <w:sz w:val="22"/>
          <w:rtl/>
        </w:rPr>
        <w:t xml:space="preserve"> </w:t>
      </w:r>
      <w:r>
        <w:rPr>
          <w:rFonts w:hint="cs"/>
          <w:sz w:val="22"/>
          <w:rtl/>
        </w:rPr>
        <w:t>הנזק הנ</w:t>
      </w:r>
      <w:r>
        <w:rPr>
          <w:sz w:val="22"/>
          <w:rtl/>
        </w:rPr>
        <w:t>פ</w:t>
      </w:r>
      <w:r>
        <w:rPr>
          <w:rFonts w:hint="cs"/>
          <w:sz w:val="22"/>
          <w:rtl/>
        </w:rPr>
        <w:t xml:space="preserve">שי שנגרם למתלוננת. </w:t>
      </w:r>
    </w:p>
    <w:p w14:paraId="1854F022" w14:textId="77777777" w:rsidR="00493F04" w:rsidRDefault="00493F04">
      <w:pPr>
        <w:spacing w:after="80" w:line="320" w:lineRule="exact"/>
        <w:ind w:firstLine="283"/>
        <w:jc w:val="both"/>
        <w:rPr>
          <w:sz w:val="22"/>
          <w:rtl/>
        </w:rPr>
      </w:pPr>
      <w:r>
        <w:rPr>
          <w:sz w:val="22"/>
          <w:rtl/>
        </w:rPr>
        <w:t>ג</w:t>
      </w:r>
      <w:r>
        <w:rPr>
          <w:rFonts w:hint="cs"/>
          <w:sz w:val="22"/>
          <w:rtl/>
        </w:rPr>
        <w:t>.</w:t>
      </w:r>
      <w:r>
        <w:rPr>
          <w:sz w:val="22"/>
          <w:rtl/>
        </w:rPr>
        <w:t xml:space="preserve"> </w:t>
      </w:r>
      <w:r>
        <w:rPr>
          <w:rFonts w:hint="cs"/>
          <w:sz w:val="22"/>
          <w:rtl/>
        </w:rPr>
        <w:t xml:space="preserve">הישנות המעשים. </w:t>
      </w:r>
    </w:p>
    <w:p w14:paraId="0D8D0D24" w14:textId="77777777" w:rsidR="00493F04" w:rsidRDefault="00493F04">
      <w:pPr>
        <w:spacing w:after="80" w:line="320" w:lineRule="exact"/>
        <w:ind w:firstLine="283"/>
        <w:jc w:val="both"/>
        <w:rPr>
          <w:sz w:val="22"/>
          <w:rtl/>
        </w:rPr>
      </w:pPr>
      <w:r>
        <w:rPr>
          <w:sz w:val="22"/>
          <w:rtl/>
        </w:rPr>
        <w:t>ל</w:t>
      </w:r>
      <w:r>
        <w:rPr>
          <w:rFonts w:hint="cs"/>
          <w:sz w:val="22"/>
          <w:rtl/>
        </w:rPr>
        <w:t xml:space="preserve">מעשה, לנאשם, ניתנה הזדמנות על ידי המתלוננת ואימה, לאחר האירוע הראשון, אך, הנאשם הפר אמון זה, ועשה מעשה מגונה נוסף. </w:t>
      </w:r>
    </w:p>
    <w:p w14:paraId="773DC7CF" w14:textId="77777777" w:rsidR="00493F04" w:rsidRDefault="00493F04">
      <w:pPr>
        <w:spacing w:after="80" w:line="320" w:lineRule="exact"/>
        <w:ind w:firstLine="283"/>
        <w:jc w:val="both"/>
        <w:rPr>
          <w:sz w:val="22"/>
          <w:rtl/>
        </w:rPr>
      </w:pPr>
    </w:p>
    <w:p w14:paraId="18275713" w14:textId="77777777" w:rsidR="00493F04" w:rsidRDefault="00493F04">
      <w:pPr>
        <w:spacing w:after="80" w:line="320" w:lineRule="exact"/>
        <w:ind w:firstLine="283"/>
        <w:jc w:val="both"/>
        <w:rPr>
          <w:b/>
          <w:bCs/>
          <w:sz w:val="22"/>
          <w:u w:val="single"/>
          <w:rtl/>
        </w:rPr>
      </w:pPr>
      <w:r>
        <w:rPr>
          <w:b/>
          <w:bCs/>
          <w:sz w:val="22"/>
          <w:u w:val="single"/>
          <w:rtl/>
        </w:rPr>
        <w:t>ד</w:t>
      </w:r>
      <w:r>
        <w:rPr>
          <w:rFonts w:hint="cs"/>
          <w:b/>
          <w:bCs/>
          <w:sz w:val="22"/>
          <w:u w:val="single"/>
          <w:rtl/>
        </w:rPr>
        <w:t>יון</w:t>
      </w:r>
    </w:p>
    <w:p w14:paraId="38442595" w14:textId="77777777" w:rsidR="00493F04" w:rsidRDefault="00493F04">
      <w:pPr>
        <w:spacing w:after="80" w:line="320" w:lineRule="exact"/>
        <w:ind w:firstLine="283"/>
        <w:jc w:val="both"/>
        <w:rPr>
          <w:sz w:val="22"/>
          <w:u w:val="single"/>
          <w:rtl/>
        </w:rPr>
      </w:pPr>
      <w:r>
        <w:rPr>
          <w:sz w:val="22"/>
          <w:rtl/>
        </w:rPr>
        <w:t xml:space="preserve"> </w:t>
      </w:r>
      <w:r>
        <w:rPr>
          <w:sz w:val="22"/>
          <w:u w:val="single"/>
          <w:rtl/>
        </w:rPr>
        <w:t>ע</w:t>
      </w:r>
      <w:r>
        <w:rPr>
          <w:rFonts w:hint="cs"/>
          <w:sz w:val="22"/>
          <w:u w:val="single"/>
          <w:rtl/>
        </w:rPr>
        <w:t xml:space="preserve">נישה ללא הרשעה </w:t>
      </w:r>
      <w:r>
        <w:rPr>
          <w:sz w:val="22"/>
          <w:u w:val="single"/>
          <w:rtl/>
        </w:rPr>
        <w:t xml:space="preserve">– </w:t>
      </w:r>
      <w:r>
        <w:rPr>
          <w:rFonts w:hint="cs"/>
          <w:sz w:val="22"/>
          <w:u w:val="single"/>
          <w:rtl/>
        </w:rPr>
        <w:t>הכלל</w:t>
      </w:r>
    </w:p>
    <w:p w14:paraId="29628904" w14:textId="77777777" w:rsidR="00493F04" w:rsidRDefault="00493F04">
      <w:pPr>
        <w:spacing w:after="80" w:line="320" w:lineRule="exact"/>
        <w:ind w:firstLine="283"/>
        <w:jc w:val="both"/>
        <w:rPr>
          <w:sz w:val="22"/>
          <w:rtl/>
        </w:rPr>
      </w:pPr>
      <w:r>
        <w:rPr>
          <w:sz w:val="22"/>
          <w:rtl/>
        </w:rPr>
        <w:t xml:space="preserve">7. </w:t>
      </w:r>
      <w:r>
        <w:rPr>
          <w:rFonts w:hint="cs"/>
          <w:sz w:val="22"/>
          <w:rtl/>
        </w:rPr>
        <w:t>הלכה היא כי הימנעות מהרשעה היא בבחינת חריג, שבית המשפט ינקוט בו רק</w:t>
      </w:r>
      <w:r>
        <w:rPr>
          <w:sz w:val="22"/>
          <w:rtl/>
        </w:rPr>
        <w:t xml:space="preserve"> </w:t>
      </w:r>
      <w:r>
        <w:rPr>
          <w:rFonts w:hint="cs"/>
          <w:sz w:val="22"/>
          <w:rtl/>
        </w:rPr>
        <w:t xml:space="preserve">בנסיבות יוצאות דופן, בהן אין יחס סביר בין הנזק הצפוי מן ההרשעה בדין, לבין חומרתה של העבירה. </w:t>
      </w:r>
    </w:p>
    <w:p w14:paraId="442F27A8" w14:textId="77777777" w:rsidR="00493F04" w:rsidRDefault="00493F04">
      <w:pPr>
        <w:spacing w:after="80" w:line="320" w:lineRule="exact"/>
        <w:ind w:firstLine="283"/>
        <w:jc w:val="both"/>
        <w:rPr>
          <w:sz w:val="22"/>
          <w:rtl/>
        </w:rPr>
      </w:pPr>
      <w:r>
        <w:rPr>
          <w:sz w:val="22"/>
          <w:rtl/>
        </w:rPr>
        <w:t>(</w:t>
      </w:r>
      <w:r>
        <w:rPr>
          <w:rFonts w:hint="cs"/>
          <w:sz w:val="22"/>
          <w:rtl/>
        </w:rPr>
        <w:t>ראו: ב</w:t>
      </w:r>
      <w:hyperlink r:id="rId13" w:history="1">
        <w:r w:rsidR="0084645C" w:rsidRPr="0084645C">
          <w:rPr>
            <w:rStyle w:val="Hyperlink"/>
            <w:rFonts w:hint="eastAsia"/>
            <w:sz w:val="22"/>
            <w:rtl/>
          </w:rPr>
          <w:t>ר</w:t>
        </w:r>
        <w:r w:rsidR="0084645C" w:rsidRPr="0084645C">
          <w:rPr>
            <w:rStyle w:val="Hyperlink"/>
            <w:sz w:val="22"/>
            <w:rtl/>
          </w:rPr>
          <w:t>"ע 432/85</w:t>
        </w:r>
      </w:hyperlink>
      <w:r>
        <w:rPr>
          <w:rFonts w:hint="cs"/>
          <w:sz w:val="22"/>
          <w:rtl/>
        </w:rPr>
        <w:t xml:space="preserve"> </w:t>
      </w:r>
      <w:r>
        <w:rPr>
          <w:b/>
          <w:bCs/>
          <w:sz w:val="22"/>
          <w:u w:val="single"/>
          <w:rtl/>
        </w:rPr>
        <w:t>ג</w:t>
      </w:r>
      <w:r>
        <w:rPr>
          <w:rFonts w:hint="cs"/>
          <w:b/>
          <w:bCs/>
          <w:sz w:val="22"/>
          <w:u w:val="single"/>
          <w:rtl/>
        </w:rPr>
        <w:t>דעון רומנו נ' מדינת ישראל</w:t>
      </w:r>
      <w:r>
        <w:rPr>
          <w:sz w:val="22"/>
          <w:rtl/>
        </w:rPr>
        <w:t xml:space="preserve">, </w:t>
      </w:r>
      <w:r>
        <w:rPr>
          <w:rFonts w:hint="cs"/>
          <w:sz w:val="22"/>
          <w:rtl/>
        </w:rPr>
        <w:t xml:space="preserve">תקדין עליון, כרך 85 (3), תשמ"ה/תשמ"ו, 1985, 737, 7). </w:t>
      </w:r>
    </w:p>
    <w:p w14:paraId="601143A0" w14:textId="77777777" w:rsidR="00493F04" w:rsidRDefault="00493F04">
      <w:pPr>
        <w:spacing w:after="80" w:line="320" w:lineRule="exact"/>
        <w:ind w:firstLine="283"/>
        <w:jc w:val="both"/>
        <w:rPr>
          <w:sz w:val="22"/>
          <w:rtl/>
        </w:rPr>
      </w:pPr>
    </w:p>
    <w:p w14:paraId="115C4B09" w14:textId="77777777" w:rsidR="00493F04" w:rsidRDefault="00493F04">
      <w:pPr>
        <w:spacing w:after="80" w:line="320" w:lineRule="exact"/>
        <w:ind w:firstLine="283"/>
        <w:jc w:val="both"/>
        <w:rPr>
          <w:sz w:val="22"/>
          <w:rtl/>
        </w:rPr>
      </w:pPr>
      <w:r>
        <w:rPr>
          <w:rFonts w:hint="cs"/>
          <w:sz w:val="22"/>
          <w:rtl/>
        </w:rPr>
        <w:t xml:space="preserve">לרשימת שיקולים מנחים, אימתי ימנע בית המשפט מהרשעה, ראו: </w:t>
      </w:r>
      <w:hyperlink r:id="rId14" w:history="1">
        <w:r w:rsidR="0084645C" w:rsidRPr="0084645C">
          <w:rPr>
            <w:rStyle w:val="Hyperlink"/>
            <w:rFonts w:hint="eastAsia"/>
            <w:sz w:val="22"/>
            <w:rtl/>
          </w:rPr>
          <w:t>ע</w:t>
        </w:r>
        <w:r w:rsidR="0084645C" w:rsidRPr="0084645C">
          <w:rPr>
            <w:rStyle w:val="Hyperlink"/>
            <w:sz w:val="22"/>
            <w:rtl/>
          </w:rPr>
          <w:t>"פ 2083/96 תמר כתב נ' מדינת ישראל, פ"ד נ"ב</w:t>
        </w:r>
      </w:hyperlink>
      <w:r>
        <w:rPr>
          <w:rFonts w:hint="cs"/>
          <w:sz w:val="22"/>
          <w:rtl/>
        </w:rPr>
        <w:t xml:space="preserve">(3), 337). </w:t>
      </w:r>
    </w:p>
    <w:p w14:paraId="1CB7600E" w14:textId="77777777" w:rsidR="00493F04" w:rsidRDefault="00493F04">
      <w:pPr>
        <w:spacing w:after="80" w:line="320" w:lineRule="exact"/>
        <w:ind w:firstLine="283"/>
        <w:jc w:val="both"/>
        <w:rPr>
          <w:sz w:val="22"/>
          <w:rtl/>
        </w:rPr>
      </w:pPr>
    </w:p>
    <w:p w14:paraId="41ECAD03" w14:textId="77777777" w:rsidR="00493F04" w:rsidRDefault="00493F04">
      <w:pPr>
        <w:spacing w:after="80" w:line="320" w:lineRule="exact"/>
        <w:ind w:firstLine="283"/>
        <w:jc w:val="both"/>
        <w:rPr>
          <w:sz w:val="22"/>
          <w:rtl/>
        </w:rPr>
      </w:pPr>
    </w:p>
    <w:p w14:paraId="2FB62136" w14:textId="77777777" w:rsidR="00493F04" w:rsidRDefault="00493F04">
      <w:pPr>
        <w:spacing w:after="80" w:line="320" w:lineRule="exact"/>
        <w:ind w:firstLine="283"/>
        <w:jc w:val="both"/>
        <w:rPr>
          <w:sz w:val="22"/>
          <w:rtl/>
        </w:rPr>
      </w:pPr>
    </w:p>
    <w:p w14:paraId="7924D547" w14:textId="77777777" w:rsidR="00493F04" w:rsidRDefault="00493F04">
      <w:pPr>
        <w:spacing w:after="80" w:line="320" w:lineRule="exact"/>
        <w:ind w:firstLine="283"/>
        <w:jc w:val="both"/>
        <w:rPr>
          <w:b/>
          <w:bCs/>
          <w:sz w:val="22"/>
          <w:u w:val="single"/>
          <w:rtl/>
        </w:rPr>
      </w:pPr>
      <w:r>
        <w:rPr>
          <w:b/>
          <w:bCs/>
          <w:sz w:val="22"/>
          <w:u w:val="single"/>
          <w:rtl/>
        </w:rPr>
        <w:t>מ</w:t>
      </w:r>
      <w:r>
        <w:rPr>
          <w:rFonts w:hint="cs"/>
          <w:b/>
          <w:bCs/>
          <w:sz w:val="22"/>
          <w:u w:val="single"/>
          <w:rtl/>
        </w:rPr>
        <w:t>ן הכלל אל הפרט</w:t>
      </w:r>
    </w:p>
    <w:p w14:paraId="1516FBA2" w14:textId="77777777" w:rsidR="00493F04" w:rsidRDefault="00493F04">
      <w:pPr>
        <w:spacing w:after="80" w:line="320" w:lineRule="exact"/>
        <w:ind w:firstLine="283"/>
        <w:jc w:val="both"/>
        <w:rPr>
          <w:sz w:val="22"/>
          <w:rtl/>
        </w:rPr>
      </w:pPr>
      <w:r>
        <w:rPr>
          <w:sz w:val="22"/>
          <w:rtl/>
        </w:rPr>
        <w:t xml:space="preserve">8. </w:t>
      </w:r>
      <w:r>
        <w:rPr>
          <w:rFonts w:hint="cs"/>
          <w:sz w:val="22"/>
          <w:rtl/>
        </w:rPr>
        <w:t xml:space="preserve">במקרה דנן, נוכח מהות הבקשה, נדרש בית המשפט למלאכת איזון עדינה, בין השיקולים המנוגדים, כמפורט לעיל. </w:t>
      </w:r>
    </w:p>
    <w:p w14:paraId="2DC02CA0" w14:textId="77777777" w:rsidR="00493F04" w:rsidRDefault="00493F04">
      <w:pPr>
        <w:spacing w:after="80" w:line="320" w:lineRule="exact"/>
        <w:ind w:firstLine="283"/>
        <w:jc w:val="both"/>
        <w:rPr>
          <w:sz w:val="22"/>
          <w:rtl/>
        </w:rPr>
      </w:pPr>
      <w:r>
        <w:rPr>
          <w:sz w:val="22"/>
          <w:rtl/>
        </w:rPr>
        <w:t xml:space="preserve"> </w:t>
      </w:r>
      <w:r>
        <w:rPr>
          <w:rFonts w:hint="cs"/>
          <w:sz w:val="22"/>
          <w:rtl/>
        </w:rPr>
        <w:t>מבחינת האינטרס הציבורי, קיימים שיקולים, כבדי משקל המצדיקים הרשעת הנאשם בדין. המעשים</w:t>
      </w:r>
      <w:r>
        <w:rPr>
          <w:sz w:val="22"/>
          <w:rtl/>
        </w:rPr>
        <w:t xml:space="preserve"> </w:t>
      </w:r>
      <w:r>
        <w:rPr>
          <w:rFonts w:hint="cs"/>
          <w:sz w:val="22"/>
          <w:rtl/>
        </w:rPr>
        <w:t>בהם הודה הנאשם, חמורים, ומכוערים.</w:t>
      </w:r>
      <w:r>
        <w:rPr>
          <w:color w:val="FFFFFF"/>
          <w:sz w:val="4"/>
          <w:szCs w:val="4"/>
          <w:rtl/>
        </w:rPr>
        <w:t>ב</w:t>
      </w:r>
    </w:p>
    <w:p w14:paraId="407CC77F" w14:textId="77777777" w:rsidR="00493F04" w:rsidRDefault="00493F04">
      <w:pPr>
        <w:spacing w:after="80" w:line="320" w:lineRule="exact"/>
        <w:ind w:firstLine="283"/>
        <w:jc w:val="both"/>
        <w:rPr>
          <w:sz w:val="22"/>
          <w:rtl/>
        </w:rPr>
      </w:pPr>
    </w:p>
    <w:p w14:paraId="0DFE3705" w14:textId="77777777" w:rsidR="00493F04" w:rsidRDefault="00493F04">
      <w:pPr>
        <w:spacing w:after="80" w:line="320" w:lineRule="exact"/>
        <w:ind w:firstLine="283"/>
        <w:jc w:val="both"/>
        <w:rPr>
          <w:sz w:val="22"/>
          <w:rtl/>
        </w:rPr>
      </w:pPr>
      <w:r>
        <w:rPr>
          <w:sz w:val="22"/>
          <w:rtl/>
        </w:rPr>
        <w:t xml:space="preserve"> </w:t>
      </w:r>
      <w:r>
        <w:rPr>
          <w:rFonts w:hint="cs"/>
          <w:sz w:val="22"/>
          <w:rtl/>
        </w:rPr>
        <w:t xml:space="preserve">משנה חומרה, יש לראות בעובדה שהנאשם ניצל את מעמדו כאביה החורג של המתלוננת, ואת האמון שניתן בו, על ידה ועל ידי אימה, לצורך סיפוק יצר מיני. </w:t>
      </w:r>
    </w:p>
    <w:p w14:paraId="6C917329" w14:textId="77777777" w:rsidR="00493F04" w:rsidRDefault="00493F04">
      <w:pPr>
        <w:spacing w:after="80" w:line="320" w:lineRule="exact"/>
        <w:ind w:firstLine="283"/>
        <w:jc w:val="both"/>
        <w:rPr>
          <w:sz w:val="22"/>
          <w:rtl/>
        </w:rPr>
      </w:pPr>
    </w:p>
    <w:p w14:paraId="22FBDC84" w14:textId="77777777" w:rsidR="00493F04" w:rsidRDefault="00493F04">
      <w:pPr>
        <w:spacing w:after="80" w:line="320" w:lineRule="exact"/>
        <w:ind w:firstLine="283"/>
        <w:jc w:val="both"/>
        <w:rPr>
          <w:sz w:val="22"/>
          <w:rtl/>
        </w:rPr>
      </w:pPr>
      <w:r>
        <w:rPr>
          <w:sz w:val="22"/>
          <w:rtl/>
        </w:rPr>
        <w:t xml:space="preserve"> </w:t>
      </w:r>
      <w:r>
        <w:rPr>
          <w:rFonts w:hint="cs"/>
          <w:sz w:val="22"/>
          <w:rtl/>
        </w:rPr>
        <w:t xml:space="preserve">חומרת המעשים מתעצמת נוכח ההזדמנות שניתנה לנאשם, שחזר לסורו באירוע השני. </w:t>
      </w:r>
    </w:p>
    <w:p w14:paraId="334767BB" w14:textId="77777777" w:rsidR="00493F04" w:rsidRDefault="00493F04">
      <w:pPr>
        <w:spacing w:after="80" w:line="320" w:lineRule="exact"/>
        <w:ind w:firstLine="283"/>
        <w:jc w:val="both"/>
        <w:rPr>
          <w:sz w:val="22"/>
          <w:rtl/>
        </w:rPr>
      </w:pPr>
    </w:p>
    <w:p w14:paraId="5563381D" w14:textId="77777777" w:rsidR="00493F04" w:rsidRDefault="00493F04">
      <w:pPr>
        <w:spacing w:after="80" w:line="320" w:lineRule="exact"/>
        <w:ind w:firstLine="283"/>
        <w:jc w:val="both"/>
        <w:rPr>
          <w:sz w:val="22"/>
          <w:rtl/>
        </w:rPr>
      </w:pPr>
      <w:r>
        <w:rPr>
          <w:sz w:val="22"/>
          <w:rtl/>
        </w:rPr>
        <w:t xml:space="preserve"> </w:t>
      </w:r>
      <w:r>
        <w:rPr>
          <w:rFonts w:hint="cs"/>
          <w:sz w:val="22"/>
          <w:rtl/>
        </w:rPr>
        <w:t>במוע</w:t>
      </w:r>
      <w:r>
        <w:rPr>
          <w:sz w:val="22"/>
          <w:rtl/>
        </w:rPr>
        <w:t>ד</w:t>
      </w:r>
      <w:r>
        <w:rPr>
          <w:rFonts w:hint="cs"/>
          <w:sz w:val="22"/>
          <w:rtl/>
        </w:rPr>
        <w:t xml:space="preserve"> ביצוע העבירות, המתלוננת היתה קטינה, רכה בשנים. הנזק הנפשי שנגרם למתלוננת, אינו צריך הוכחה, ואין ספק כי אירועים אלה יתנו בה, אותותיהם בעתיד, כפי שכבר אירע בפועל.</w:t>
      </w:r>
      <w:r>
        <w:rPr>
          <w:color w:val="FFFFFF"/>
          <w:sz w:val="4"/>
          <w:szCs w:val="4"/>
          <w:rtl/>
        </w:rPr>
        <w:t>ו</w:t>
      </w:r>
    </w:p>
    <w:p w14:paraId="5A6C9FCD" w14:textId="77777777" w:rsidR="00493F04" w:rsidRDefault="00493F04">
      <w:pPr>
        <w:spacing w:after="80" w:line="320" w:lineRule="exact"/>
        <w:ind w:firstLine="283"/>
        <w:jc w:val="both"/>
        <w:rPr>
          <w:sz w:val="22"/>
          <w:rtl/>
        </w:rPr>
      </w:pPr>
    </w:p>
    <w:p w14:paraId="143B7190" w14:textId="77777777" w:rsidR="00493F04" w:rsidRDefault="00493F04">
      <w:pPr>
        <w:spacing w:after="80" w:line="320" w:lineRule="exact"/>
        <w:ind w:firstLine="283"/>
        <w:jc w:val="both"/>
        <w:rPr>
          <w:sz w:val="22"/>
          <w:rtl/>
        </w:rPr>
      </w:pPr>
      <w:r>
        <w:rPr>
          <w:sz w:val="22"/>
          <w:rtl/>
        </w:rPr>
        <w:t xml:space="preserve"> </w:t>
      </w:r>
      <w:r>
        <w:rPr>
          <w:rFonts w:hint="cs"/>
          <w:sz w:val="22"/>
          <w:rtl/>
        </w:rPr>
        <w:t xml:space="preserve">מחובת בית המשפט לשמש מגן לקורבנות עברייני מין, ובמיוחד כשמדובר בקטינים, ובין היתר, באמצעות </w:t>
      </w:r>
      <w:r>
        <w:rPr>
          <w:sz w:val="22"/>
          <w:rtl/>
        </w:rPr>
        <w:t>ה</w:t>
      </w:r>
      <w:r>
        <w:rPr>
          <w:rFonts w:hint="cs"/>
          <w:sz w:val="22"/>
          <w:rtl/>
        </w:rPr>
        <w:t xml:space="preserve">רשעתם בדין. </w:t>
      </w:r>
    </w:p>
    <w:p w14:paraId="47805EFA" w14:textId="77777777" w:rsidR="00493F04" w:rsidRDefault="00493F04">
      <w:pPr>
        <w:spacing w:after="80" w:line="320" w:lineRule="exact"/>
        <w:ind w:firstLine="283"/>
        <w:jc w:val="both"/>
        <w:rPr>
          <w:sz w:val="22"/>
          <w:rtl/>
        </w:rPr>
      </w:pPr>
    </w:p>
    <w:p w14:paraId="22C88978" w14:textId="77777777" w:rsidR="00493F04" w:rsidRDefault="00493F04">
      <w:pPr>
        <w:spacing w:after="80" w:line="320" w:lineRule="exact"/>
        <w:ind w:firstLine="283"/>
        <w:jc w:val="both"/>
        <w:rPr>
          <w:sz w:val="22"/>
          <w:rtl/>
        </w:rPr>
      </w:pPr>
      <w:r>
        <w:rPr>
          <w:rFonts w:hint="cs"/>
          <w:sz w:val="22"/>
          <w:rtl/>
        </w:rPr>
        <w:t>9.</w:t>
      </w:r>
      <w:r>
        <w:rPr>
          <w:sz w:val="22"/>
          <w:rtl/>
        </w:rPr>
        <w:t xml:space="preserve"> </w:t>
      </w:r>
      <w:r>
        <w:rPr>
          <w:rFonts w:hint="cs"/>
          <w:sz w:val="22"/>
          <w:rtl/>
        </w:rPr>
        <w:t xml:space="preserve">בנסיבות המתוארות, משקלו של האינטרס הציבורי, עם כל הכאב הכרוך בך, גובר, על נסיבותיו האישיות של הנאשם, ומצדיק הרשעתו בדין. </w:t>
      </w:r>
    </w:p>
    <w:p w14:paraId="024E829C" w14:textId="77777777" w:rsidR="00493F04" w:rsidRDefault="00493F04">
      <w:pPr>
        <w:spacing w:after="80" w:line="320" w:lineRule="exact"/>
        <w:ind w:firstLine="283"/>
        <w:jc w:val="both"/>
        <w:rPr>
          <w:sz w:val="22"/>
          <w:rtl/>
        </w:rPr>
      </w:pPr>
    </w:p>
    <w:p w14:paraId="18F54F20" w14:textId="77777777" w:rsidR="00493F04" w:rsidRDefault="00493F04">
      <w:pPr>
        <w:spacing w:after="80" w:line="320" w:lineRule="exact"/>
        <w:ind w:firstLine="283"/>
        <w:jc w:val="both"/>
        <w:rPr>
          <w:b/>
          <w:bCs/>
          <w:sz w:val="22"/>
          <w:u w:val="single"/>
          <w:rtl/>
        </w:rPr>
      </w:pPr>
      <w:r>
        <w:rPr>
          <w:b/>
          <w:bCs/>
          <w:sz w:val="22"/>
          <w:u w:val="single"/>
          <w:rtl/>
        </w:rPr>
        <w:t>ס</w:t>
      </w:r>
      <w:r>
        <w:rPr>
          <w:rFonts w:hint="cs"/>
          <w:b/>
          <w:bCs/>
          <w:sz w:val="22"/>
          <w:u w:val="single"/>
          <w:rtl/>
        </w:rPr>
        <w:t>וף דבר</w:t>
      </w:r>
    </w:p>
    <w:p w14:paraId="15E937CD" w14:textId="77777777" w:rsidR="00493F04" w:rsidRDefault="00493F04">
      <w:pPr>
        <w:spacing w:after="80" w:line="320" w:lineRule="exact"/>
        <w:ind w:firstLine="283"/>
        <w:jc w:val="both"/>
        <w:rPr>
          <w:sz w:val="22"/>
          <w:rtl/>
        </w:rPr>
      </w:pPr>
      <w:r>
        <w:rPr>
          <w:sz w:val="22"/>
          <w:rtl/>
        </w:rPr>
        <w:t xml:space="preserve">10. </w:t>
      </w:r>
      <w:r>
        <w:rPr>
          <w:rFonts w:hint="cs"/>
          <w:sz w:val="22"/>
          <w:rtl/>
        </w:rPr>
        <w:t xml:space="preserve">לאור כל האמור, ועל יסוד הודאתו, מורשע בזאת הנאשם בעבירות המיוחסות לו בכתב האישום. </w:t>
      </w:r>
    </w:p>
    <w:p w14:paraId="2F0E6E4B" w14:textId="77777777" w:rsidR="00493F04" w:rsidRDefault="00493F04">
      <w:pPr>
        <w:spacing w:after="80" w:line="320" w:lineRule="exact"/>
        <w:ind w:firstLine="283"/>
        <w:jc w:val="both"/>
        <w:rPr>
          <w:b/>
          <w:bCs/>
          <w:color w:val="000000"/>
          <w:sz w:val="22"/>
          <w:rtl/>
        </w:rPr>
      </w:pPr>
      <w:r>
        <w:rPr>
          <w:b/>
          <w:bCs/>
          <w:color w:val="000000"/>
          <w:sz w:val="22"/>
          <w:rtl/>
        </w:rPr>
        <w:t>נ</w:t>
      </w:r>
      <w:r>
        <w:rPr>
          <w:rFonts w:hint="cs"/>
          <w:b/>
          <w:bCs/>
          <w:color w:val="000000"/>
          <w:sz w:val="22"/>
          <w:rtl/>
        </w:rPr>
        <w:t xml:space="preserve">יתנה היום </w:t>
      </w:r>
      <w:r>
        <w:rPr>
          <w:b/>
          <w:bCs/>
          <w:color w:val="000000"/>
          <w:sz w:val="22"/>
          <w:rtl/>
        </w:rPr>
        <w:t>ט</w:t>
      </w:r>
      <w:r>
        <w:rPr>
          <w:rFonts w:hint="cs"/>
          <w:b/>
          <w:bCs/>
          <w:color w:val="000000"/>
          <w:sz w:val="22"/>
          <w:rtl/>
        </w:rPr>
        <w:t>"ו בכסלו</w:t>
      </w:r>
      <w:r>
        <w:rPr>
          <w:b/>
          <w:bCs/>
          <w:color w:val="000000"/>
          <w:sz w:val="22"/>
          <w:rtl/>
        </w:rPr>
        <w:t xml:space="preserve">, </w:t>
      </w:r>
      <w:r>
        <w:rPr>
          <w:rFonts w:hint="cs"/>
          <w:b/>
          <w:bCs/>
          <w:color w:val="000000"/>
          <w:sz w:val="22"/>
          <w:rtl/>
        </w:rPr>
        <w:t>תשס"ד (10 בדצמבר 2003)</w:t>
      </w:r>
      <w:r>
        <w:rPr>
          <w:b/>
          <w:bCs/>
          <w:color w:val="000000"/>
          <w:sz w:val="22"/>
          <w:rtl/>
        </w:rPr>
        <w:t xml:space="preserve"> </w:t>
      </w:r>
      <w:r>
        <w:rPr>
          <w:rFonts w:hint="cs"/>
          <w:b/>
          <w:bCs/>
          <w:color w:val="000000"/>
          <w:sz w:val="22"/>
          <w:rtl/>
        </w:rPr>
        <w:t>במעמד הצדדים.</w:t>
      </w:r>
      <w:r>
        <w:rPr>
          <w:b/>
          <w:bCs/>
          <w:color w:val="FFFFFF"/>
          <w:sz w:val="4"/>
          <w:szCs w:val="4"/>
          <w:rtl/>
        </w:rPr>
        <w:t>נ</w:t>
      </w:r>
    </w:p>
    <w:p w14:paraId="57A9FD46" w14:textId="77777777" w:rsidR="00493F04" w:rsidRDefault="00493F04">
      <w:pPr>
        <w:spacing w:after="80" w:line="320" w:lineRule="exact"/>
        <w:ind w:firstLine="283"/>
        <w:jc w:val="both"/>
        <w:rPr>
          <w:b/>
          <w:bCs/>
          <w:sz w:val="22"/>
          <w:rtl/>
        </w:rPr>
      </w:pPr>
      <w:r>
        <w:rPr>
          <w:b/>
          <w:bCs/>
          <w:sz w:val="22"/>
          <w:rtl/>
        </w:rPr>
        <w:t xml:space="preserve">   </w:t>
      </w:r>
      <w:r>
        <w:rPr>
          <w:rFonts w:hint="cs"/>
          <w:b/>
          <w:bCs/>
          <w:sz w:val="22"/>
          <w:rtl/>
        </w:rPr>
        <w:t>____________</w:t>
      </w:r>
    </w:p>
    <w:p w14:paraId="2F6651F4" w14:textId="77777777" w:rsidR="00493F04" w:rsidRDefault="00493F04">
      <w:pPr>
        <w:spacing w:after="80" w:line="320" w:lineRule="exact"/>
        <w:ind w:firstLine="283"/>
        <w:jc w:val="both"/>
        <w:rPr>
          <w:b/>
          <w:bCs/>
          <w:noProof/>
          <w:sz w:val="22"/>
          <w:rtl/>
        </w:rPr>
      </w:pPr>
      <w:r>
        <w:rPr>
          <w:b/>
          <w:bCs/>
          <w:sz w:val="22"/>
          <w:rtl/>
        </w:rPr>
        <w:t>י</w:t>
      </w:r>
      <w:r>
        <w:rPr>
          <w:rFonts w:hint="cs"/>
          <w:b/>
          <w:bCs/>
          <w:sz w:val="22"/>
          <w:rtl/>
        </w:rPr>
        <w:t>רון לוי, שופט</w:t>
      </w:r>
    </w:p>
    <w:p w14:paraId="0362CA39" w14:textId="77777777" w:rsidR="00493F04" w:rsidRDefault="00493F04">
      <w:pPr>
        <w:spacing w:after="80" w:line="320" w:lineRule="exact"/>
        <w:ind w:firstLine="283"/>
        <w:jc w:val="both"/>
        <w:rPr>
          <w:sz w:val="22"/>
          <w:rtl/>
        </w:rPr>
      </w:pPr>
    </w:p>
    <w:p w14:paraId="7FF4923E" w14:textId="77777777" w:rsidR="00493F04" w:rsidRDefault="00493F04">
      <w:pPr>
        <w:spacing w:after="80" w:line="320" w:lineRule="exact"/>
        <w:ind w:firstLine="283"/>
        <w:jc w:val="both"/>
        <w:rPr>
          <w:sz w:val="22"/>
          <w:rtl/>
        </w:rPr>
      </w:pPr>
    </w:p>
    <w:p w14:paraId="649B54CC" w14:textId="77777777" w:rsidR="00493F04" w:rsidRDefault="00493F04">
      <w:pPr>
        <w:spacing w:after="80" w:line="320" w:lineRule="exact"/>
        <w:ind w:firstLine="283"/>
        <w:jc w:val="both"/>
        <w:rPr>
          <w:b/>
          <w:bCs/>
          <w:sz w:val="22"/>
          <w:u w:val="single"/>
          <w:rtl/>
        </w:rPr>
      </w:pPr>
      <w:r>
        <w:rPr>
          <w:b/>
          <w:bCs/>
          <w:sz w:val="22"/>
          <w:u w:val="single"/>
          <w:rtl/>
        </w:rPr>
        <w:t>ה</w:t>
      </w:r>
      <w:r>
        <w:rPr>
          <w:rFonts w:hint="cs"/>
          <w:b/>
          <w:bCs/>
          <w:sz w:val="22"/>
          <w:u w:val="single"/>
          <w:rtl/>
        </w:rPr>
        <w:t>תובע טוען לעונש:</w:t>
      </w:r>
    </w:p>
    <w:p w14:paraId="3611151D" w14:textId="77777777" w:rsidR="00493F04" w:rsidRDefault="00493F04">
      <w:pPr>
        <w:spacing w:after="80" w:line="320" w:lineRule="exact"/>
        <w:ind w:firstLine="283"/>
        <w:jc w:val="both"/>
        <w:rPr>
          <w:sz w:val="22"/>
          <w:rtl/>
        </w:rPr>
      </w:pPr>
      <w:r>
        <w:rPr>
          <w:sz w:val="22"/>
          <w:rtl/>
        </w:rPr>
        <w:t>כ</w:t>
      </w:r>
      <w:r>
        <w:rPr>
          <w:rFonts w:hint="cs"/>
          <w:sz w:val="22"/>
          <w:rtl/>
        </w:rPr>
        <w:t xml:space="preserve">ל הטיעונים לעונש נאמרו בישיבה הקודמת, ואין צורך לדון בהם שוב, עמדתנו היא שהעבירה מצדיקה מאסר בפועל, ומאסר על תנאי, וצו פיקוח לאחר ריצוי העונש במסגרת טיפולית שהדברים </w:t>
      </w:r>
      <w:r>
        <w:rPr>
          <w:sz w:val="22"/>
          <w:rtl/>
        </w:rPr>
        <w:t>ל</w:t>
      </w:r>
      <w:r>
        <w:rPr>
          <w:rFonts w:hint="cs"/>
          <w:sz w:val="22"/>
          <w:rtl/>
        </w:rPr>
        <w:t xml:space="preserve">א ישנו. </w:t>
      </w:r>
    </w:p>
    <w:p w14:paraId="4863CECE" w14:textId="77777777" w:rsidR="00493F04" w:rsidRDefault="00493F04">
      <w:pPr>
        <w:spacing w:after="80" w:line="320" w:lineRule="exact"/>
        <w:ind w:firstLine="283"/>
        <w:jc w:val="both"/>
        <w:rPr>
          <w:sz w:val="22"/>
          <w:rtl/>
        </w:rPr>
      </w:pPr>
    </w:p>
    <w:p w14:paraId="38018370" w14:textId="77777777" w:rsidR="00493F04" w:rsidRDefault="00493F04">
      <w:pPr>
        <w:spacing w:after="80" w:line="320" w:lineRule="exact"/>
        <w:ind w:firstLine="283"/>
        <w:jc w:val="both"/>
        <w:rPr>
          <w:b/>
          <w:bCs/>
          <w:sz w:val="22"/>
          <w:u w:val="single"/>
          <w:rtl/>
        </w:rPr>
      </w:pPr>
      <w:r>
        <w:rPr>
          <w:b/>
          <w:bCs/>
          <w:sz w:val="22"/>
          <w:u w:val="single"/>
          <w:rtl/>
        </w:rPr>
        <w:t>ה</w:t>
      </w:r>
      <w:r>
        <w:rPr>
          <w:rFonts w:hint="cs"/>
          <w:b/>
          <w:bCs/>
          <w:sz w:val="22"/>
          <w:u w:val="single"/>
          <w:rtl/>
        </w:rPr>
        <w:t>סניגור טוען לעונש:</w:t>
      </w:r>
    </w:p>
    <w:p w14:paraId="2D1C27EB" w14:textId="77777777" w:rsidR="00493F04" w:rsidRDefault="00493F04">
      <w:pPr>
        <w:spacing w:after="80" w:line="320" w:lineRule="exact"/>
        <w:ind w:firstLine="283"/>
        <w:jc w:val="both"/>
        <w:rPr>
          <w:sz w:val="22"/>
          <w:rtl/>
        </w:rPr>
      </w:pPr>
      <w:r>
        <w:rPr>
          <w:sz w:val="22"/>
          <w:rtl/>
        </w:rPr>
        <w:t>ב</w:t>
      </w:r>
      <w:r>
        <w:rPr>
          <w:rFonts w:hint="cs"/>
          <w:sz w:val="22"/>
          <w:rtl/>
        </w:rPr>
        <w:t>ית המשפט במסגרת ההחלטה סקר כל נסיבות המקרה ונסיבותיו האישיות של הנאשם, אדגיש כי היום הנאשם קיבל עונש כבד מנשוא דהיינו הרשעה שלבטח תביא לפיטוריו עם כל המשמעויות הקשות בכך. אבקש להתחשב במיוחד בהעדר עבר פלילי, לתפקודו הנורמטיבי</w:t>
      </w:r>
      <w:r>
        <w:rPr>
          <w:sz w:val="22"/>
          <w:rtl/>
        </w:rPr>
        <w:t xml:space="preserve">, </w:t>
      </w:r>
      <w:r>
        <w:rPr>
          <w:rFonts w:hint="cs"/>
          <w:sz w:val="22"/>
          <w:rtl/>
        </w:rPr>
        <w:t xml:space="preserve">הודאתו המיידית והן החרטה בבית המשפט ובמשטרה, חלוף הזמן של שנתיים וחצי, הקטינה אז היתה בת 15 והיום הינה בת 17.5. אני סבור שדי בהרשעה וגם כך כתוצאה מהרשעה אם יפוטר יפתחו פצעים לכן אמרתי לנאשם שינסה שפיטוריו לא יבואו במסגרת המשפחה כתוצאה מהמשפט הזה על מנת לא לעורר המשפט מחדש. אבקש להתחשב בחלוף הזמן, מבחינת אימת הדין שהיתה על הנאשם שזה היה ניכר אצלו מדיון לדיון, בהתחשב בנסיבות האישיות שמדובר באב שיש לו שתי בנות בנות 15, ו- 4 מלבד המתלוננת, אבקש להתחשב ברקע ילדותו, והעובדה שניגש לטיפול לפני התערבות המשטרה. שירות המבחן ממליץ על פיקוח ארוך שאני חושב שזה נותן מענה גם לאינטרס הציבורי כי ברור גם לנאשם וברור כפי שעולה מהתסקיר שצריך טיפול, ובתסקיר הקודם צויין שאמורה להפתח בתקופה הקרובה קבוצה טיפולית והוא מתעתד להשתתף בה. כל הנסיבות הללו ובמיוחד נושא ההרשעה מבקש להסתפק במאסר על תנאי ופיקוח שירות המבחן, אני חושב שעונש יותר מזה תהיה מכה קשה גם לנאשם וגם למשפחתו, וזה אינו הולם נסיבות המקרה, מגיש לבית המשפט פסיקה של בתי משפט מחוזי, במקרים יותר חמורים מבחינת המעשים ומבחינת הנסיבות. במקרה זה אני מוצא נסיבות מיוחדות שבית המשפט יפעל כאן במלוא מידת הדין ויבוא לקראת הנאשם. </w:t>
      </w:r>
    </w:p>
    <w:p w14:paraId="2C34401C" w14:textId="77777777" w:rsidR="00493F04" w:rsidRDefault="00493F04">
      <w:pPr>
        <w:spacing w:after="80" w:line="320" w:lineRule="exact"/>
        <w:ind w:firstLine="283"/>
        <w:jc w:val="both"/>
        <w:rPr>
          <w:b/>
          <w:bCs/>
          <w:sz w:val="22"/>
          <w:u w:val="single"/>
          <w:rtl/>
        </w:rPr>
      </w:pPr>
      <w:r>
        <w:rPr>
          <w:b/>
          <w:bCs/>
          <w:sz w:val="22"/>
          <w:u w:val="single"/>
          <w:rtl/>
        </w:rPr>
        <w:t>ה</w:t>
      </w:r>
      <w:r>
        <w:rPr>
          <w:rFonts w:hint="cs"/>
          <w:b/>
          <w:bCs/>
          <w:sz w:val="22"/>
          <w:u w:val="single"/>
          <w:rtl/>
        </w:rPr>
        <w:t>נאשם:</w:t>
      </w:r>
    </w:p>
    <w:p w14:paraId="6B8C2E90" w14:textId="77777777" w:rsidR="00493F04" w:rsidRDefault="00493F04">
      <w:pPr>
        <w:spacing w:after="80" w:line="320" w:lineRule="exact"/>
        <w:ind w:firstLine="283"/>
        <w:jc w:val="both"/>
        <w:rPr>
          <w:sz w:val="22"/>
          <w:rtl/>
        </w:rPr>
      </w:pPr>
      <w:r>
        <w:rPr>
          <w:rtl/>
        </w:rPr>
        <w:t>א</w:t>
      </w:r>
      <w:r>
        <w:rPr>
          <w:rFonts w:hint="cs"/>
          <w:rtl/>
        </w:rPr>
        <w:t xml:space="preserve">ני מבקש סליחה ומחילה. </w:t>
      </w:r>
      <w:bookmarkStart w:id="17" w:name="Decision1"/>
    </w:p>
    <w:p w14:paraId="7BE33395" w14:textId="77777777" w:rsidR="00493F04" w:rsidRDefault="00493F04">
      <w:pPr>
        <w:pStyle w:val="Title"/>
        <w:spacing w:after="80" w:line="320" w:lineRule="exact"/>
        <w:ind w:firstLine="283"/>
        <w:jc w:val="both"/>
        <w:rPr>
          <w:noProof w:val="0"/>
          <w:sz w:val="22"/>
          <w:szCs w:val="24"/>
          <w:rtl/>
        </w:rPr>
      </w:pPr>
    </w:p>
    <w:p w14:paraId="563EE346" w14:textId="77777777" w:rsidR="00493F04" w:rsidRDefault="00493F04">
      <w:pPr>
        <w:pStyle w:val="Title"/>
        <w:spacing w:after="80" w:line="320" w:lineRule="exact"/>
        <w:ind w:firstLine="283"/>
        <w:jc w:val="both"/>
        <w:rPr>
          <w:noProof w:val="0"/>
          <w:sz w:val="22"/>
          <w:szCs w:val="24"/>
          <w:rtl/>
        </w:rPr>
      </w:pPr>
      <w:r>
        <w:rPr>
          <w:rFonts w:hint="cs"/>
          <w:noProof w:val="0"/>
          <w:sz w:val="22"/>
          <w:szCs w:val="24"/>
          <w:rtl/>
        </w:rPr>
        <w:t>החלטה</w:t>
      </w:r>
    </w:p>
    <w:p w14:paraId="45A1CFEB" w14:textId="77777777" w:rsidR="00493F04" w:rsidRDefault="00493F04">
      <w:pPr>
        <w:spacing w:after="80" w:line="320" w:lineRule="exact"/>
        <w:ind w:firstLine="283"/>
        <w:jc w:val="both"/>
        <w:rPr>
          <w:b/>
          <w:bCs/>
          <w:sz w:val="22"/>
          <w:rtl/>
        </w:rPr>
      </w:pPr>
    </w:p>
    <w:p w14:paraId="6BB23BE4" w14:textId="77777777" w:rsidR="00493F04" w:rsidRDefault="00493F04">
      <w:pPr>
        <w:spacing w:after="80" w:line="320" w:lineRule="exact"/>
        <w:ind w:firstLine="283"/>
        <w:jc w:val="both"/>
        <w:rPr>
          <w:b/>
          <w:bCs/>
          <w:sz w:val="22"/>
          <w:rtl/>
        </w:rPr>
      </w:pPr>
      <w:r>
        <w:rPr>
          <w:rFonts w:hint="cs"/>
          <w:b/>
          <w:bCs/>
          <w:sz w:val="22"/>
          <w:rtl/>
        </w:rPr>
        <w:t xml:space="preserve">נדחה למתן גזר דין ליום 18/12/2003 שעה 12:30. </w:t>
      </w:r>
    </w:p>
    <w:p w14:paraId="2FB08BA5" w14:textId="77777777" w:rsidR="00493F04" w:rsidRDefault="00493F04">
      <w:pPr>
        <w:spacing w:after="80" w:line="320" w:lineRule="exact"/>
        <w:ind w:firstLine="283"/>
        <w:jc w:val="both"/>
        <w:rPr>
          <w:b/>
          <w:bCs/>
          <w:noProof/>
          <w:sz w:val="22"/>
          <w:rtl/>
        </w:rPr>
      </w:pPr>
      <w:r>
        <w:rPr>
          <w:rFonts w:hint="cs"/>
          <w:b/>
          <w:bCs/>
          <w:sz w:val="22"/>
          <w:rtl/>
        </w:rPr>
        <w:t xml:space="preserve">הנאשם מוזהר כי באם לא יתייצב לדיון, רשאי בית המשפט לדונו שלא בפניו, ויוצא כנגדו צו הבאה. </w:t>
      </w:r>
    </w:p>
    <w:p w14:paraId="22EA0F7C" w14:textId="77777777" w:rsidR="00493F04" w:rsidRDefault="00493F04">
      <w:pPr>
        <w:spacing w:after="80" w:line="320" w:lineRule="exact"/>
        <w:ind w:firstLine="283"/>
        <w:jc w:val="both"/>
        <w:rPr>
          <w:b/>
          <w:bCs/>
          <w:sz w:val="22"/>
          <w:rtl/>
        </w:rPr>
      </w:pPr>
      <w:r>
        <w:rPr>
          <w:rFonts w:hint="cs"/>
          <w:b/>
          <w:bCs/>
          <w:sz w:val="22"/>
          <w:rtl/>
        </w:rPr>
        <w:t xml:space="preserve">ניתנה היום </w:t>
      </w:r>
      <w:r>
        <w:rPr>
          <w:b/>
          <w:bCs/>
          <w:sz w:val="22"/>
          <w:rtl/>
        </w:rPr>
        <w:t>ט</w:t>
      </w:r>
      <w:r>
        <w:rPr>
          <w:rFonts w:hint="cs"/>
          <w:b/>
          <w:bCs/>
          <w:sz w:val="22"/>
          <w:rtl/>
        </w:rPr>
        <w:t xml:space="preserve">"ו בכסלו, תשס"ד (10 </w:t>
      </w:r>
      <w:r>
        <w:rPr>
          <w:b/>
          <w:bCs/>
          <w:sz w:val="22"/>
          <w:rtl/>
        </w:rPr>
        <w:t>ב</w:t>
      </w:r>
      <w:r>
        <w:rPr>
          <w:rFonts w:hint="cs"/>
          <w:b/>
          <w:bCs/>
          <w:sz w:val="22"/>
          <w:rtl/>
        </w:rPr>
        <w:t>דצמבר 2003)</w:t>
      </w:r>
      <w:r>
        <w:rPr>
          <w:b/>
          <w:bCs/>
          <w:sz w:val="22"/>
          <w:rtl/>
        </w:rPr>
        <w:t xml:space="preserve"> </w:t>
      </w:r>
      <w:r>
        <w:rPr>
          <w:rFonts w:hint="cs"/>
          <w:b/>
          <w:bCs/>
          <w:sz w:val="22"/>
          <w:rtl/>
        </w:rPr>
        <w:t>במעמד הצדדים.</w:t>
      </w:r>
      <w:r>
        <w:rPr>
          <w:b/>
          <w:bCs/>
          <w:color w:val="FFFFFF"/>
          <w:sz w:val="4"/>
          <w:szCs w:val="4"/>
          <w:rtl/>
        </w:rPr>
        <w:t>ב</w:t>
      </w:r>
    </w:p>
    <w:p w14:paraId="0860DA06" w14:textId="77777777" w:rsidR="00493F04" w:rsidRDefault="00493F04">
      <w:pPr>
        <w:spacing w:after="80" w:line="320" w:lineRule="exact"/>
        <w:ind w:firstLine="283"/>
        <w:jc w:val="both"/>
        <w:rPr>
          <w:b/>
          <w:bCs/>
          <w:sz w:val="22"/>
          <w:rtl/>
        </w:rPr>
      </w:pPr>
      <w:r>
        <w:rPr>
          <w:rFonts w:hint="cs"/>
          <w:b/>
          <w:bCs/>
          <w:sz w:val="22"/>
          <w:rtl/>
        </w:rPr>
        <w:t xml:space="preserve">                                                              </w:t>
      </w:r>
      <w:r>
        <w:rPr>
          <w:b/>
          <w:bCs/>
          <w:sz w:val="22"/>
          <w:rtl/>
        </w:rPr>
        <w:t xml:space="preserve">    </w:t>
      </w:r>
      <w:r>
        <w:rPr>
          <w:b/>
          <w:bCs/>
          <w:sz w:val="22"/>
          <w:rtl/>
        </w:rPr>
        <w:softHyphen/>
      </w:r>
      <w:r>
        <w:rPr>
          <w:b/>
          <w:bCs/>
          <w:sz w:val="22"/>
          <w:rtl/>
        </w:rPr>
        <w:softHyphen/>
      </w:r>
      <w:r>
        <w:rPr>
          <w:b/>
          <w:bCs/>
          <w:sz w:val="22"/>
          <w:rtl/>
        </w:rPr>
        <w:softHyphen/>
      </w:r>
      <w:r>
        <w:rPr>
          <w:b/>
          <w:bCs/>
          <w:sz w:val="22"/>
          <w:rtl/>
        </w:rPr>
        <w:softHyphen/>
        <w:t xml:space="preserve"> </w:t>
      </w:r>
      <w:r>
        <w:rPr>
          <w:rFonts w:hint="cs"/>
          <w:b/>
          <w:bCs/>
          <w:sz w:val="22"/>
          <w:rtl/>
        </w:rPr>
        <w:t>___________</w:t>
      </w:r>
    </w:p>
    <w:p w14:paraId="0698C0B8" w14:textId="77777777" w:rsidR="00493F04" w:rsidRDefault="00493F04">
      <w:pPr>
        <w:spacing w:after="80" w:line="320" w:lineRule="exact"/>
        <w:ind w:firstLine="283"/>
        <w:jc w:val="both"/>
        <w:rPr>
          <w:b/>
          <w:bCs/>
          <w:noProof/>
          <w:sz w:val="22"/>
          <w:rtl/>
        </w:rPr>
      </w:pPr>
      <w:r>
        <w:rPr>
          <w:b/>
          <w:bCs/>
          <w:sz w:val="22"/>
          <w:rtl/>
        </w:rPr>
        <w:t xml:space="preserve">         </w:t>
      </w:r>
      <w:r>
        <w:rPr>
          <w:rFonts w:hint="cs"/>
          <w:b/>
          <w:bCs/>
          <w:sz w:val="22"/>
          <w:rtl/>
        </w:rPr>
        <w:t>ירון לוי, שופט</w:t>
      </w:r>
    </w:p>
    <w:bookmarkEnd w:id="17"/>
    <w:p w14:paraId="2D261096" w14:textId="77777777" w:rsidR="00493F04" w:rsidRDefault="00493F04">
      <w:pPr>
        <w:spacing w:after="80" w:line="320" w:lineRule="exact"/>
        <w:ind w:firstLine="283"/>
        <w:jc w:val="both"/>
        <w:rPr>
          <w:rFonts w:hint="cs"/>
          <w:sz w:val="22"/>
          <w:rtl/>
        </w:rPr>
      </w:pPr>
      <w:r>
        <w:rPr>
          <w:sz w:val="22"/>
          <w:rtl/>
        </w:rPr>
        <w:t>002741/02</w:t>
      </w:r>
      <w:r>
        <w:rPr>
          <w:rFonts w:hint="cs"/>
          <w:sz w:val="22"/>
          <w:rtl/>
        </w:rPr>
        <w:t xml:space="preserve">פ  133 </w:t>
      </w:r>
      <w:r>
        <w:rPr>
          <w:sz w:val="22"/>
          <w:rtl/>
        </w:rPr>
        <w:t>ש</w:t>
      </w:r>
      <w:r>
        <w:rPr>
          <w:rFonts w:hint="cs"/>
          <w:sz w:val="22"/>
          <w:rtl/>
        </w:rPr>
        <w:t>רה רובנס</w:t>
      </w:r>
    </w:p>
    <w:p w14:paraId="285717BF" w14:textId="77777777" w:rsidR="00493F04" w:rsidRDefault="00493F04">
      <w:pPr>
        <w:spacing w:after="80" w:line="320" w:lineRule="exact"/>
        <w:ind w:firstLine="283"/>
        <w:jc w:val="both"/>
        <w:rPr>
          <w:sz w:val="22"/>
          <w:rtl/>
        </w:rPr>
      </w:pPr>
      <w:r>
        <w:rPr>
          <w:sz w:val="22"/>
          <w:rtl/>
        </w:rPr>
        <w:t>נוסח זה כפוף לשינויי עריכה וניסוח</w:t>
      </w:r>
    </w:p>
    <w:sectPr w:rsidR="00493F04">
      <w:headerReference w:type="even" r:id="rId15"/>
      <w:headerReference w:type="default" r:id="rId16"/>
      <w:footerReference w:type="even" r:id="rId17"/>
      <w:footerReference w:type="default" r:id="rId18"/>
      <w:endnotePr>
        <w:numFmt w:val="lowerLetter"/>
      </w:endnotePr>
      <w:type w:val="continuous"/>
      <w:pgSz w:w="11907" w:h="16840" w:code="9"/>
      <w:pgMar w:top="1134" w:right="1701" w:bottom="1134" w:left="1134" w:header="850" w:footer="567"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11B7C" w14:textId="77777777" w:rsidR="00FA1D64" w:rsidRDefault="00FA1D64">
      <w:r>
        <w:separator/>
      </w:r>
    </w:p>
  </w:endnote>
  <w:endnote w:type="continuationSeparator" w:id="0">
    <w:p w14:paraId="00CC3223" w14:textId="77777777" w:rsidR="00FA1D64" w:rsidRDefault="00FA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8687" w14:textId="77777777" w:rsidR="00C96A30" w:rsidRDefault="00C96A3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w:t>
    </w:r>
    <w:r>
      <w:rPr>
        <w:rFonts w:hAnsi="FrankRuehl" w:cs="FrankRuehl"/>
        <w:sz w:val="24"/>
        <w:rtl/>
      </w:rPr>
      <w:fldChar w:fldCharType="end"/>
    </w:r>
  </w:p>
  <w:p w14:paraId="1FDDDFA8" w14:textId="77777777" w:rsidR="00C96A30" w:rsidRDefault="00C96A3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D9F81D" w14:textId="77777777" w:rsidR="00C96A30" w:rsidRDefault="00C96A3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645C">
      <w:rPr>
        <w:rFonts w:cs="TopType Jerushalmi"/>
        <w:noProof/>
        <w:color w:val="000000"/>
        <w:sz w:val="14"/>
        <w:szCs w:val="14"/>
      </w:rPr>
      <w:t>Z:\000000000000000000000000000000=2015--------------------\HAKIKA-KIDUD\01-03\shalom\word\outdoc-nohyper\OutDoc-Makor\s022741c.doc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0E7E0" w14:textId="77777777" w:rsidR="00C96A30" w:rsidRDefault="00C96A3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16577">
      <w:rPr>
        <w:rFonts w:hAnsi="FrankRuehl" w:cs="FrankRuehl"/>
        <w:noProof/>
        <w:sz w:val="24"/>
        <w:rtl/>
      </w:rPr>
      <w:t>1</w:t>
    </w:r>
    <w:r>
      <w:rPr>
        <w:rFonts w:hAnsi="FrankRuehl" w:cs="FrankRuehl"/>
        <w:sz w:val="24"/>
        <w:rtl/>
      </w:rPr>
      <w:fldChar w:fldCharType="end"/>
    </w:r>
  </w:p>
  <w:p w14:paraId="4C4C64E6" w14:textId="77777777" w:rsidR="00C96A30" w:rsidRDefault="00C96A3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C7B44E" w14:textId="77777777" w:rsidR="00C96A30" w:rsidRDefault="00C96A3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645C">
      <w:rPr>
        <w:rFonts w:cs="TopType Jerushalmi"/>
        <w:noProof/>
        <w:color w:val="000000"/>
        <w:sz w:val="14"/>
        <w:szCs w:val="14"/>
      </w:rPr>
      <w:t>Z:\000000000000000000000000000000=2015--------------------\HAKIKA-KIDUD\01-03\shalom\word\outdoc-nohyper\OutDoc-Makor\s022741c.doc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6B847" w14:textId="77777777" w:rsidR="00FA1D64" w:rsidRDefault="00FA1D64">
      <w:r>
        <w:separator/>
      </w:r>
    </w:p>
  </w:footnote>
  <w:footnote w:type="continuationSeparator" w:id="0">
    <w:p w14:paraId="783DB731" w14:textId="77777777" w:rsidR="00FA1D64" w:rsidRDefault="00FA1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9EBC6" w14:textId="77777777" w:rsidR="00C96A30" w:rsidRDefault="00C96A3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(רח') 2741/02</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7CBE0" w14:textId="77777777" w:rsidR="00C96A30" w:rsidRDefault="00C96A3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(רח') 2741/02</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36"/>
  <w:displayHorizontalDrawingGridEvery w:val="0"/>
  <w:displayVerticalDrawingGridEvery w:val="0"/>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 ?-Normal"/>
    <w:docVar w:name="saveAs" w:val="-1"/>
  </w:docVars>
  <w:rsids>
    <w:rsidRoot w:val="00493F04"/>
    <w:rsid w:val="00116577"/>
    <w:rsid w:val="00493F04"/>
    <w:rsid w:val="0084645C"/>
    <w:rsid w:val="00B02273"/>
    <w:rsid w:val="00C96A30"/>
    <w:rsid w:val="00F6112E"/>
    <w:rsid w:val="00FA1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E056397"/>
  <w15:chartTrackingRefBased/>
  <w15:docId w15:val="{94924FFA-D923-41C2-ADA6-071D3847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Cs w:val="24"/>
      <w:lang w:eastAsia="he-IL"/>
    </w:rPr>
  </w:style>
  <w:style w:type="paragraph" w:styleId="Heading1">
    <w:name w:val="heading 1"/>
    <w:basedOn w:val="Normal"/>
    <w:next w:val="Normal"/>
    <w:qFormat/>
    <w:pPr>
      <w:keepNext/>
      <w:spacing w:line="360" w:lineRule="auto"/>
      <w:jc w:val="center"/>
      <w:outlineLvl w:val="0"/>
    </w:pPr>
    <w:rPr>
      <w:b/>
      <w:bCs/>
      <w:noProof/>
      <w:sz w:val="32"/>
      <w:szCs w:val="32"/>
      <w:u w:val="single"/>
    </w:rPr>
  </w:style>
  <w:style w:type="paragraph" w:styleId="Heading2">
    <w:name w:val="heading 2"/>
    <w:basedOn w:val="Normal"/>
    <w:next w:val="Normal"/>
    <w:qFormat/>
    <w:pPr>
      <w:keepNext/>
      <w:spacing w:before="240" w:after="60" w:line="360" w:lineRule="auto"/>
      <w:jc w:val="center"/>
      <w:outlineLvl w:val="1"/>
    </w:pPr>
    <w:rPr>
      <w:rFonts w:ascii="Arial"/>
      <w:b/>
      <w:bCs/>
      <w:sz w:val="24"/>
      <w:szCs w:val="28"/>
      <w:u w:val="single"/>
    </w:rPr>
  </w:style>
  <w:style w:type="paragraph" w:styleId="Heading3">
    <w:name w:val="heading 3"/>
    <w:basedOn w:val="Normal"/>
    <w:next w:val="Normal"/>
    <w:qFormat/>
    <w:pPr>
      <w:keepNext/>
      <w:spacing w:after="80" w:line="320" w:lineRule="exact"/>
      <w:ind w:firstLine="283"/>
      <w:jc w:val="center"/>
      <w:outlineLvl w:val="2"/>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rPr>
      <w:sz w:val="24"/>
    </w:rPr>
  </w:style>
  <w:style w:type="paragraph" w:customStyle="1" w:styleId="a">
    <w:name w:val="שמות"/>
    <w:basedOn w:val="Normal"/>
    <w:pPr>
      <w:suppressLineNumbers/>
      <w:spacing w:line="360" w:lineRule="auto"/>
      <w:jc w:val="both"/>
    </w:pPr>
    <w:rPr>
      <w:b/>
      <w:bCs/>
      <w:sz w:val="22"/>
    </w:rPr>
  </w:style>
  <w:style w:type="paragraph" w:styleId="Footer">
    <w:name w:val="footer"/>
    <w:basedOn w:val="Normal"/>
    <w:pPr>
      <w:tabs>
        <w:tab w:val="center" w:pos="4153"/>
        <w:tab w:val="right" w:pos="8306"/>
      </w:tabs>
      <w:spacing w:line="360" w:lineRule="auto"/>
      <w:jc w:val="both"/>
    </w:pPr>
    <w:rPr>
      <w:sz w:val="22"/>
    </w:rPr>
  </w:style>
  <w:style w:type="character" w:styleId="LineNumber">
    <w:name w:val="line number"/>
    <w:rPr>
      <w:rFonts w:ascii="Times New Roman" w:hAnsi="Times New Roman" w:cs="Times New Roman"/>
    </w:rPr>
  </w:style>
  <w:style w:type="paragraph" w:styleId="Title">
    <w:name w:val="Title"/>
    <w:basedOn w:val="Normal"/>
    <w:qFormat/>
    <w:pPr>
      <w:spacing w:line="360" w:lineRule="auto"/>
      <w:jc w:val="center"/>
    </w:pPr>
    <w:rPr>
      <w:b/>
      <w:bCs/>
      <w:noProof/>
      <w:sz w:val="28"/>
      <w:szCs w:val="28"/>
      <w:u w:val="single"/>
    </w:rPr>
  </w:style>
  <w:style w:type="paragraph" w:styleId="Signature">
    <w:name w:val="Signature"/>
    <w:basedOn w:val="Heading2"/>
    <w:pPr>
      <w:suppressLineNumbers/>
    </w:pPr>
    <w:rPr>
      <w:rFonts w:hAnsi="Arial" w:cs="Arial"/>
      <w:bCs w:val="0"/>
      <w:szCs w:val="24"/>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character" w:styleId="Hyperlink">
    <w:name w:val="Hyperlink"/>
    <w:rsid w:val="00846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51.d" TargetMode="External"/><Relationship Id="rId13" Type="http://schemas.openxmlformats.org/officeDocument/2006/relationships/hyperlink" Target="http://www.nevo.co.il/case/17943750"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51.c.3" TargetMode="External"/><Relationship Id="rId12" Type="http://schemas.openxmlformats.org/officeDocument/2006/relationships/hyperlink" Target="http://www.nevo.co.il/law/703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51.d"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51.c.3" TargetMode="External"/><Relationship Id="rId14" Type="http://schemas.openxmlformats.org/officeDocument/2006/relationships/hyperlink" Target="http://www.nevo.co.il/case/5810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1280</Words>
  <Characters>7301</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8564</CharactersWithSpaces>
  <SharedDoc>false</SharedDoc>
  <HLinks>
    <vt:vector size="54" baseType="variant">
      <vt:variant>
        <vt:i4>3276916</vt:i4>
      </vt:variant>
      <vt:variant>
        <vt:i4>24</vt:i4>
      </vt:variant>
      <vt:variant>
        <vt:i4>0</vt:i4>
      </vt:variant>
      <vt:variant>
        <vt:i4>5</vt:i4>
      </vt:variant>
      <vt:variant>
        <vt:lpwstr>http://www.nevo.co.il/case/5810781</vt:lpwstr>
      </vt:variant>
      <vt:variant>
        <vt:lpwstr/>
      </vt:variant>
      <vt:variant>
        <vt:i4>4063344</vt:i4>
      </vt:variant>
      <vt:variant>
        <vt:i4>21</vt:i4>
      </vt:variant>
      <vt:variant>
        <vt:i4>0</vt:i4>
      </vt:variant>
      <vt:variant>
        <vt:i4>5</vt:i4>
      </vt:variant>
      <vt:variant>
        <vt:lpwstr>http://www.nevo.co.il/case/17943750</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5111895</vt:i4>
      </vt:variant>
      <vt:variant>
        <vt:i4>15</vt:i4>
      </vt:variant>
      <vt:variant>
        <vt:i4>0</vt:i4>
      </vt:variant>
      <vt:variant>
        <vt:i4>5</vt:i4>
      </vt:variant>
      <vt:variant>
        <vt:lpwstr>http://www.nevo.co.il/law/70301/351.d</vt:lpwstr>
      </vt:variant>
      <vt:variant>
        <vt:lpwstr/>
      </vt:variant>
      <vt:variant>
        <vt:i4>7995492</vt:i4>
      </vt:variant>
      <vt:variant>
        <vt:i4>12</vt:i4>
      </vt:variant>
      <vt:variant>
        <vt:i4>0</vt:i4>
      </vt:variant>
      <vt:variant>
        <vt:i4>5</vt:i4>
      </vt:variant>
      <vt:variant>
        <vt:lpwstr>http://www.nevo.co.il/law/70301</vt:lpwstr>
      </vt:variant>
      <vt:variant>
        <vt:lpwstr/>
      </vt:variant>
      <vt:variant>
        <vt:i4>6291508</vt:i4>
      </vt:variant>
      <vt:variant>
        <vt:i4>9</vt:i4>
      </vt:variant>
      <vt:variant>
        <vt:i4>0</vt:i4>
      </vt:variant>
      <vt:variant>
        <vt:i4>5</vt:i4>
      </vt:variant>
      <vt:variant>
        <vt:lpwstr>http://www.nevo.co.il/law/70301/351.c.3</vt:lpwstr>
      </vt:variant>
      <vt:variant>
        <vt:lpwstr/>
      </vt:variant>
      <vt:variant>
        <vt:i4>5111895</vt:i4>
      </vt:variant>
      <vt:variant>
        <vt:i4>6</vt:i4>
      </vt:variant>
      <vt:variant>
        <vt:i4>0</vt:i4>
      </vt:variant>
      <vt:variant>
        <vt:i4>5</vt:i4>
      </vt:variant>
      <vt:variant>
        <vt:lpwstr>http://www.nevo.co.il/law/70301/351.d</vt:lpwstr>
      </vt:variant>
      <vt:variant>
        <vt:lpwstr/>
      </vt:variant>
      <vt:variant>
        <vt:i4>6291508</vt:i4>
      </vt:variant>
      <vt:variant>
        <vt:i4>3</vt:i4>
      </vt:variant>
      <vt:variant>
        <vt:i4>0</vt:i4>
      </vt:variant>
      <vt:variant>
        <vt:i4>5</vt:i4>
      </vt:variant>
      <vt:variant>
        <vt:lpwstr>http://www.nevo.co.il/law/70301/351.c.3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2022-05-24T10:16:00Z</dcterms:created>
  <dcterms:modified xsi:type="dcterms:W3CDTF">2022-05-24T10:16:00Z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2741</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אורי רינצקי;אלפסי</vt:lpwstr>
  </property>
  <property fmtid="{D5CDD505-2E9C-101B-9397-08002B2CF9AE}" pid="10" name="JUDGE">
    <vt:lpwstr>ירון לוי</vt:lpwstr>
  </property>
  <property fmtid="{D5CDD505-2E9C-101B-9397-08002B2CF9AE}" pid="11" name="CITY">
    <vt:lpwstr>רח'</vt:lpwstr>
  </property>
  <property fmtid="{D5CDD505-2E9C-101B-9397-08002B2CF9AE}" pid="12" name="DATE">
    <vt:lpwstr>20031210</vt:lpwstr>
  </property>
  <property fmtid="{D5CDD505-2E9C-101B-9397-08002B2CF9AE}" pid="13" name="WORDNUMPAGES">
    <vt:lpwstr>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YES</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17943750;5810781</vt:lpwstr>
  </property>
  <property fmtid="{D5CDD505-2E9C-101B-9397-08002B2CF9AE}" pid="35" name="LAWLISTTMP1">
    <vt:lpwstr>70301/351.c.3;351.d</vt:lpwstr>
  </property>
</Properties>
</file>