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985E" w14:textId="77777777" w:rsidR="004E2605" w:rsidRDefault="004E2605">
      <w:pPr>
        <w:spacing w:line="240" w:lineRule="auto"/>
        <w:jc w:val="center"/>
        <w:rPr>
          <w:rFonts w:hint="cs"/>
          <w:b/>
          <w:bCs/>
          <w:sz w:val="28"/>
          <w:szCs w:val="28"/>
          <w:rtl/>
        </w:rPr>
      </w:pPr>
      <w:r>
        <w:rPr>
          <w:rFonts w:hint="cs"/>
          <w:b/>
          <w:bCs/>
          <w:sz w:val="28"/>
          <w:szCs w:val="28"/>
          <w:rtl/>
        </w:rPr>
        <w:t xml:space="preserve">בתי המשפט </w:t>
      </w:r>
    </w:p>
    <w:p w14:paraId="43E042A9" w14:textId="77777777" w:rsidR="004E2605" w:rsidRDefault="004E2605">
      <w:pPr>
        <w:spacing w:line="240" w:lineRule="auto"/>
        <w:jc w:val="center"/>
        <w:rPr>
          <w:b/>
          <w:bCs/>
          <w:sz w:val="28"/>
          <w:szCs w:val="28"/>
          <w:rtl/>
        </w:rPr>
      </w:pPr>
    </w:p>
    <w:p w14:paraId="0D6A389F" w14:textId="77777777" w:rsidR="004E2605" w:rsidRDefault="004E2605">
      <w:pPr>
        <w:spacing w:line="240" w:lineRule="auto"/>
        <w:jc w:val="center"/>
        <w:rPr>
          <w:rFonts w:hint="cs"/>
          <w:sz w:val="28"/>
          <w:szCs w:val="28"/>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819"/>
        <w:gridCol w:w="993"/>
        <w:gridCol w:w="1809"/>
      </w:tblGrid>
      <w:tr w:rsidR="004E2605" w14:paraId="2B838ED1" w14:textId="77777777">
        <w:trPr>
          <w:cantSplit/>
          <w:trHeight w:val="195"/>
        </w:trPr>
        <w:tc>
          <w:tcPr>
            <w:tcW w:w="5727" w:type="dxa"/>
            <w:gridSpan w:val="2"/>
            <w:vMerge w:val="restart"/>
            <w:tcBorders>
              <w:top w:val="single" w:sz="4" w:space="0" w:color="auto"/>
              <w:left w:val="single" w:sz="4" w:space="0" w:color="auto"/>
              <w:bottom w:val="single" w:sz="4" w:space="0" w:color="auto"/>
              <w:right w:val="single" w:sz="4" w:space="0" w:color="auto"/>
            </w:tcBorders>
          </w:tcPr>
          <w:p w14:paraId="3F0ADC77" w14:textId="77777777" w:rsidR="004E2605" w:rsidRDefault="004E2605">
            <w:pPr>
              <w:spacing w:after="80" w:line="320" w:lineRule="exact"/>
              <w:rPr>
                <w:b/>
                <w:bCs/>
                <w:sz w:val="28"/>
                <w:szCs w:val="28"/>
              </w:rPr>
            </w:pPr>
            <w:r>
              <w:rPr>
                <w:rFonts w:hint="cs"/>
                <w:b/>
                <w:bCs/>
                <w:sz w:val="28"/>
                <w:szCs w:val="28"/>
                <w:rtl/>
              </w:rPr>
              <w:t>בית משפט השלום קרית גת</w:t>
            </w:r>
          </w:p>
        </w:tc>
        <w:tc>
          <w:tcPr>
            <w:tcW w:w="2802" w:type="dxa"/>
            <w:gridSpan w:val="2"/>
            <w:tcBorders>
              <w:top w:val="single" w:sz="4" w:space="0" w:color="auto"/>
              <w:left w:val="single" w:sz="4" w:space="0" w:color="auto"/>
              <w:bottom w:val="single" w:sz="4" w:space="0" w:color="auto"/>
              <w:right w:val="single" w:sz="4" w:space="0" w:color="auto"/>
            </w:tcBorders>
          </w:tcPr>
          <w:p w14:paraId="1EB89D9F" w14:textId="77777777" w:rsidR="004E2605" w:rsidRDefault="004E2605">
            <w:pPr>
              <w:spacing w:after="80" w:line="320" w:lineRule="exact"/>
              <w:rPr>
                <w:b/>
                <w:bCs/>
                <w:sz w:val="28"/>
                <w:szCs w:val="28"/>
              </w:rPr>
            </w:pPr>
            <w:r>
              <w:rPr>
                <w:rFonts w:hint="cs"/>
                <w:b/>
                <w:bCs/>
                <w:sz w:val="28"/>
                <w:szCs w:val="28"/>
                <w:rtl/>
              </w:rPr>
              <w:t>ת.פ  000792/03</w:t>
            </w:r>
          </w:p>
        </w:tc>
      </w:tr>
      <w:tr w:rsidR="004E2605" w14:paraId="780BC11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10AA849" w14:textId="77777777" w:rsidR="004E2605" w:rsidRDefault="004E2605">
            <w:pPr>
              <w:spacing w:after="80" w:line="320" w:lineRule="exact"/>
              <w:rPr>
                <w:b/>
                <w:bCs/>
                <w:sz w:val="28"/>
                <w:szCs w:val="28"/>
              </w:rPr>
            </w:pPr>
          </w:p>
        </w:tc>
        <w:tc>
          <w:tcPr>
            <w:tcW w:w="2802" w:type="dxa"/>
            <w:gridSpan w:val="2"/>
            <w:tcBorders>
              <w:top w:val="single" w:sz="4" w:space="0" w:color="auto"/>
              <w:left w:val="single" w:sz="4" w:space="0" w:color="auto"/>
              <w:bottom w:val="single" w:sz="4" w:space="0" w:color="auto"/>
              <w:right w:val="single" w:sz="4" w:space="0" w:color="auto"/>
            </w:tcBorders>
          </w:tcPr>
          <w:p w14:paraId="40E6F9D9" w14:textId="77777777" w:rsidR="004E2605" w:rsidRDefault="004E2605">
            <w:pPr>
              <w:spacing w:after="80" w:line="320" w:lineRule="exact"/>
              <w:rPr>
                <w:b/>
                <w:bCs/>
                <w:sz w:val="28"/>
                <w:szCs w:val="28"/>
              </w:rPr>
            </w:pPr>
          </w:p>
        </w:tc>
      </w:tr>
      <w:tr w:rsidR="004E2605" w14:paraId="5DC64CAD"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5FB5F3A" w14:textId="77777777" w:rsidR="004E2605" w:rsidRDefault="004E2605">
            <w:pPr>
              <w:spacing w:after="80" w:line="320" w:lineRule="exact"/>
              <w:rPr>
                <w:b/>
                <w:bCs/>
                <w:sz w:val="28"/>
                <w:szCs w:val="28"/>
              </w:rPr>
            </w:pPr>
            <w:bookmarkStart w:id="0" w:name="LastJudge"/>
            <w:r>
              <w:rPr>
                <w:rFonts w:hint="cs"/>
                <w:b/>
                <w:bCs/>
                <w:sz w:val="28"/>
                <w:szCs w:val="28"/>
                <w:rtl/>
              </w:rPr>
              <w:t>בפני:</w:t>
            </w:r>
          </w:p>
        </w:tc>
        <w:tc>
          <w:tcPr>
            <w:tcW w:w="4819" w:type="dxa"/>
            <w:tcBorders>
              <w:top w:val="single" w:sz="4" w:space="0" w:color="auto"/>
              <w:left w:val="single" w:sz="4" w:space="0" w:color="auto"/>
              <w:bottom w:val="single" w:sz="4" w:space="0" w:color="auto"/>
              <w:right w:val="single" w:sz="4" w:space="0" w:color="auto"/>
            </w:tcBorders>
          </w:tcPr>
          <w:p w14:paraId="47812630" w14:textId="77777777" w:rsidR="004E2605" w:rsidRDefault="004E2605">
            <w:pPr>
              <w:spacing w:after="80" w:line="320" w:lineRule="exact"/>
              <w:rPr>
                <w:b/>
                <w:bCs/>
                <w:sz w:val="28"/>
                <w:szCs w:val="28"/>
              </w:rPr>
            </w:pPr>
            <w:r>
              <w:rPr>
                <w:rFonts w:hint="cs"/>
                <w:b/>
                <w:bCs/>
                <w:sz w:val="28"/>
                <w:szCs w:val="28"/>
                <w:rtl/>
              </w:rPr>
              <w:t xml:space="preserve">כבוד סגן הנשיא  השופט אבי זמיר </w:t>
            </w:r>
          </w:p>
          <w:p w14:paraId="40A2CB7D" w14:textId="77777777" w:rsidR="004E2605" w:rsidRDefault="004E2605">
            <w:pPr>
              <w:spacing w:after="80" w:line="320" w:lineRule="exact"/>
              <w:rPr>
                <w:b/>
                <w:bCs/>
                <w:sz w:val="28"/>
              </w:rPr>
            </w:pPr>
          </w:p>
        </w:tc>
        <w:tc>
          <w:tcPr>
            <w:tcW w:w="9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0656243" w14:textId="77777777" w:rsidR="004E2605" w:rsidRDefault="004E2605">
            <w:pPr>
              <w:spacing w:after="80" w:line="320" w:lineRule="exact"/>
              <w:rPr>
                <w:b/>
                <w:bCs/>
                <w:sz w:val="28"/>
                <w:szCs w:val="28"/>
              </w:rPr>
            </w:pPr>
            <w:r>
              <w:rPr>
                <w:rFonts w:hint="cs"/>
                <w:b/>
                <w:bCs/>
                <w:sz w:val="28"/>
                <w:szCs w:val="28"/>
                <w:rtl/>
              </w:rPr>
              <w:t>תאריך:</w:t>
            </w:r>
          </w:p>
        </w:tc>
        <w:tc>
          <w:tcPr>
            <w:tcW w:w="1809" w:type="dxa"/>
            <w:tcBorders>
              <w:top w:val="single" w:sz="4" w:space="0" w:color="auto"/>
              <w:left w:val="single" w:sz="4" w:space="0" w:color="auto"/>
              <w:bottom w:val="single" w:sz="4" w:space="0" w:color="auto"/>
              <w:right w:val="single" w:sz="4" w:space="0" w:color="auto"/>
            </w:tcBorders>
          </w:tcPr>
          <w:p w14:paraId="0C7774BE" w14:textId="77777777" w:rsidR="004E2605" w:rsidRDefault="004E2605">
            <w:pPr>
              <w:spacing w:after="80" w:line="320" w:lineRule="exact"/>
              <w:rPr>
                <w:b/>
                <w:bCs/>
                <w:sz w:val="28"/>
                <w:szCs w:val="28"/>
              </w:rPr>
            </w:pPr>
            <w:r>
              <w:rPr>
                <w:rFonts w:hint="cs"/>
                <w:b/>
                <w:bCs/>
                <w:sz w:val="28"/>
                <w:szCs w:val="28"/>
                <w:rtl/>
              </w:rPr>
              <w:t>11.10.04</w:t>
            </w:r>
          </w:p>
        </w:tc>
      </w:tr>
      <w:bookmarkEnd w:id="0"/>
    </w:tbl>
    <w:p w14:paraId="1B7876C5" w14:textId="77777777" w:rsidR="004E2605" w:rsidRDefault="004E2605">
      <w:pPr>
        <w:pStyle w:val="Heading1"/>
        <w:rPr>
          <w:rFonts w:hint="cs"/>
          <w:u w:val="none"/>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4E2605" w14:paraId="1BB60726" w14:textId="77777777">
        <w:tc>
          <w:tcPr>
            <w:tcW w:w="1418" w:type="dxa"/>
          </w:tcPr>
          <w:p w14:paraId="777128F2" w14:textId="77777777" w:rsidR="004E2605" w:rsidRDefault="004E2605">
            <w:pPr>
              <w:pStyle w:val="a1"/>
              <w:suppressLineNumbers w:val="0"/>
              <w:spacing w:after="80" w:line="320" w:lineRule="exact"/>
              <w:rPr>
                <w:szCs w:val="26"/>
              </w:rPr>
            </w:pPr>
            <w:bookmarkStart w:id="1" w:name="FirstAppellant"/>
            <w:r>
              <w:rPr>
                <w:rFonts w:hint="cs"/>
                <w:rtl/>
              </w:rPr>
              <w:t>בעניין:</w:t>
            </w:r>
          </w:p>
        </w:tc>
        <w:tc>
          <w:tcPr>
            <w:tcW w:w="4820" w:type="dxa"/>
            <w:gridSpan w:val="2"/>
          </w:tcPr>
          <w:p w14:paraId="4B3CD3C2" w14:textId="77777777" w:rsidR="004E2605" w:rsidRDefault="004E2605">
            <w:pPr>
              <w:pStyle w:val="a1"/>
              <w:suppressLineNumbers w:val="0"/>
              <w:spacing w:after="80" w:line="320" w:lineRule="exact"/>
            </w:pPr>
            <w:r>
              <w:rPr>
                <w:rFonts w:hint="cs"/>
                <w:rtl/>
              </w:rPr>
              <w:t>מדינת ישראל</w:t>
            </w:r>
          </w:p>
        </w:tc>
        <w:tc>
          <w:tcPr>
            <w:tcW w:w="2409" w:type="dxa"/>
          </w:tcPr>
          <w:p w14:paraId="77949F73" w14:textId="77777777" w:rsidR="004E2605" w:rsidRDefault="004E2605">
            <w:pPr>
              <w:pStyle w:val="a1"/>
              <w:suppressLineNumbers w:val="0"/>
              <w:spacing w:after="80" w:line="320" w:lineRule="exact"/>
            </w:pPr>
          </w:p>
        </w:tc>
      </w:tr>
      <w:tr w:rsidR="004E2605" w14:paraId="093DD42E" w14:textId="77777777">
        <w:tc>
          <w:tcPr>
            <w:tcW w:w="1418" w:type="dxa"/>
          </w:tcPr>
          <w:p w14:paraId="313D06C3" w14:textId="77777777" w:rsidR="004E2605" w:rsidRDefault="004E2605">
            <w:pPr>
              <w:pStyle w:val="a1"/>
              <w:suppressLineNumbers w:val="0"/>
              <w:spacing w:after="80" w:line="320" w:lineRule="exact"/>
              <w:rPr>
                <w:szCs w:val="26"/>
              </w:rPr>
            </w:pPr>
            <w:bookmarkStart w:id="2" w:name="FirstLawyer"/>
            <w:bookmarkEnd w:id="1"/>
          </w:p>
        </w:tc>
        <w:tc>
          <w:tcPr>
            <w:tcW w:w="1757" w:type="dxa"/>
          </w:tcPr>
          <w:p w14:paraId="0D392509" w14:textId="77777777" w:rsidR="004E2605" w:rsidRDefault="004E2605">
            <w:pPr>
              <w:pStyle w:val="a1"/>
              <w:suppressLineNumbers w:val="0"/>
              <w:spacing w:after="80" w:line="320" w:lineRule="exact"/>
            </w:pPr>
            <w:r>
              <w:rPr>
                <w:rFonts w:hint="cs"/>
                <w:rtl/>
              </w:rPr>
              <w:t>ע"י ב"כ עוה"ד</w:t>
            </w:r>
          </w:p>
        </w:tc>
        <w:tc>
          <w:tcPr>
            <w:tcW w:w="3063" w:type="dxa"/>
          </w:tcPr>
          <w:p w14:paraId="644E749A" w14:textId="77777777" w:rsidR="004E2605" w:rsidRDefault="004E2605">
            <w:pPr>
              <w:pStyle w:val="a1"/>
              <w:suppressLineNumbers w:val="0"/>
              <w:spacing w:after="80" w:line="320" w:lineRule="exact"/>
            </w:pPr>
            <w:r>
              <w:rPr>
                <w:rFonts w:hint="cs"/>
                <w:rtl/>
              </w:rPr>
              <w:t xml:space="preserve">עדנה טנא </w:t>
            </w:r>
          </w:p>
        </w:tc>
        <w:tc>
          <w:tcPr>
            <w:tcW w:w="2409" w:type="dxa"/>
          </w:tcPr>
          <w:p w14:paraId="30DC29D6" w14:textId="77777777" w:rsidR="004E2605" w:rsidRDefault="004E2605">
            <w:pPr>
              <w:pStyle w:val="a1"/>
              <w:suppressLineNumbers w:val="0"/>
              <w:spacing w:after="80" w:line="320" w:lineRule="exact"/>
            </w:pPr>
            <w:r>
              <w:rPr>
                <w:rFonts w:hint="cs"/>
                <w:rtl/>
              </w:rPr>
              <w:t>המאשימה</w:t>
            </w:r>
          </w:p>
        </w:tc>
      </w:tr>
      <w:bookmarkEnd w:id="2"/>
      <w:tr w:rsidR="004E2605" w14:paraId="7E360674" w14:textId="77777777">
        <w:tc>
          <w:tcPr>
            <w:tcW w:w="1418" w:type="dxa"/>
          </w:tcPr>
          <w:p w14:paraId="2401AF98" w14:textId="77777777" w:rsidR="004E2605" w:rsidRDefault="004E2605">
            <w:pPr>
              <w:pStyle w:val="a1"/>
              <w:suppressLineNumbers w:val="0"/>
              <w:spacing w:after="80" w:line="320" w:lineRule="exact"/>
            </w:pPr>
          </w:p>
        </w:tc>
        <w:tc>
          <w:tcPr>
            <w:tcW w:w="4820" w:type="dxa"/>
            <w:gridSpan w:val="2"/>
          </w:tcPr>
          <w:p w14:paraId="6FBA2D9D" w14:textId="77777777" w:rsidR="004E2605" w:rsidRDefault="004E2605">
            <w:pPr>
              <w:pStyle w:val="a1"/>
              <w:suppressLineNumbers w:val="0"/>
              <w:spacing w:after="80" w:line="320" w:lineRule="exact"/>
            </w:pPr>
            <w:r>
              <w:rPr>
                <w:rFonts w:hint="cs"/>
                <w:rtl/>
              </w:rPr>
              <w:t>נגד</w:t>
            </w:r>
          </w:p>
          <w:p w14:paraId="5474C03E" w14:textId="77777777" w:rsidR="004E2605" w:rsidRDefault="004E2605">
            <w:pPr>
              <w:pStyle w:val="a1"/>
              <w:suppressLineNumbers w:val="0"/>
              <w:spacing w:after="80" w:line="320" w:lineRule="exact"/>
            </w:pPr>
          </w:p>
        </w:tc>
        <w:tc>
          <w:tcPr>
            <w:tcW w:w="2409" w:type="dxa"/>
          </w:tcPr>
          <w:p w14:paraId="1DFFED0E" w14:textId="77777777" w:rsidR="004E2605" w:rsidRDefault="004E2605">
            <w:pPr>
              <w:pStyle w:val="a1"/>
              <w:suppressLineNumbers w:val="0"/>
              <w:spacing w:after="80" w:line="320" w:lineRule="exact"/>
            </w:pPr>
          </w:p>
        </w:tc>
      </w:tr>
      <w:tr w:rsidR="004E2605" w14:paraId="1FCC4603" w14:textId="77777777">
        <w:tc>
          <w:tcPr>
            <w:tcW w:w="1418" w:type="dxa"/>
          </w:tcPr>
          <w:p w14:paraId="79A27E35" w14:textId="77777777" w:rsidR="004E2605" w:rsidRDefault="004E2605">
            <w:pPr>
              <w:pStyle w:val="a1"/>
              <w:suppressLineNumbers w:val="0"/>
              <w:spacing w:after="80" w:line="320" w:lineRule="exact"/>
              <w:rPr>
                <w:szCs w:val="26"/>
              </w:rPr>
            </w:pPr>
            <w:bookmarkStart w:id="3" w:name="שם_ב" w:colFirst="1" w:colLast="1"/>
          </w:p>
        </w:tc>
        <w:tc>
          <w:tcPr>
            <w:tcW w:w="4820" w:type="dxa"/>
            <w:gridSpan w:val="2"/>
          </w:tcPr>
          <w:p w14:paraId="69D0B103" w14:textId="77777777" w:rsidR="004E2605" w:rsidRDefault="004E2605">
            <w:pPr>
              <w:pStyle w:val="a1"/>
              <w:suppressLineNumbers w:val="0"/>
              <w:spacing w:after="80" w:line="320" w:lineRule="exact"/>
            </w:pPr>
            <w:r>
              <w:rPr>
                <w:rFonts w:hint="cs"/>
                <w:rtl/>
              </w:rPr>
              <w:t xml:space="preserve">קדזילשוילי יוסף ת.ז. </w:t>
            </w:r>
            <w:r w:rsidR="00F97070">
              <w:t>xxxxxxxxxxxxxxxxxxxxxxxxxxxxx</w:t>
            </w:r>
          </w:p>
        </w:tc>
        <w:tc>
          <w:tcPr>
            <w:tcW w:w="2409" w:type="dxa"/>
          </w:tcPr>
          <w:p w14:paraId="0623A060" w14:textId="77777777" w:rsidR="004E2605" w:rsidRDefault="004E2605">
            <w:pPr>
              <w:pStyle w:val="a1"/>
              <w:suppressLineNumbers w:val="0"/>
              <w:spacing w:after="80" w:line="320" w:lineRule="exact"/>
            </w:pPr>
          </w:p>
        </w:tc>
      </w:tr>
      <w:tr w:rsidR="004E2605" w14:paraId="0889D18E" w14:textId="77777777">
        <w:tc>
          <w:tcPr>
            <w:tcW w:w="1418" w:type="dxa"/>
          </w:tcPr>
          <w:p w14:paraId="7AA6B156" w14:textId="77777777" w:rsidR="004E2605" w:rsidRDefault="004E2605">
            <w:pPr>
              <w:pStyle w:val="a1"/>
              <w:suppressLineNumbers w:val="0"/>
              <w:spacing w:after="80" w:line="320" w:lineRule="exact"/>
              <w:rPr>
                <w:szCs w:val="26"/>
              </w:rPr>
            </w:pPr>
            <w:bookmarkStart w:id="4" w:name="בא_כוח_ב" w:colFirst="2" w:colLast="2"/>
            <w:bookmarkEnd w:id="3"/>
          </w:p>
        </w:tc>
        <w:tc>
          <w:tcPr>
            <w:tcW w:w="1757" w:type="dxa"/>
          </w:tcPr>
          <w:p w14:paraId="67EE1EAF" w14:textId="77777777" w:rsidR="004E2605" w:rsidRDefault="004E2605">
            <w:pPr>
              <w:pStyle w:val="a1"/>
              <w:suppressLineNumbers w:val="0"/>
              <w:spacing w:after="80" w:line="320" w:lineRule="exact"/>
            </w:pPr>
            <w:r>
              <w:rPr>
                <w:rFonts w:hint="cs"/>
                <w:rtl/>
              </w:rPr>
              <w:t>ע"י ב"כ עוה"ד</w:t>
            </w:r>
          </w:p>
        </w:tc>
        <w:tc>
          <w:tcPr>
            <w:tcW w:w="3063" w:type="dxa"/>
          </w:tcPr>
          <w:p w14:paraId="351C15E3" w14:textId="77777777" w:rsidR="004E2605" w:rsidRDefault="004E2605">
            <w:pPr>
              <w:pStyle w:val="a1"/>
              <w:suppressLineNumbers w:val="0"/>
              <w:spacing w:after="80" w:line="320" w:lineRule="exact"/>
            </w:pPr>
            <w:r>
              <w:rPr>
                <w:rFonts w:hint="cs"/>
                <w:rtl/>
              </w:rPr>
              <w:t xml:space="preserve">רמי דיין </w:t>
            </w:r>
          </w:p>
        </w:tc>
        <w:tc>
          <w:tcPr>
            <w:tcW w:w="2409" w:type="dxa"/>
          </w:tcPr>
          <w:p w14:paraId="1180780A" w14:textId="77777777" w:rsidR="004E2605" w:rsidRDefault="004E2605">
            <w:pPr>
              <w:pStyle w:val="a1"/>
              <w:suppressLineNumbers w:val="0"/>
              <w:spacing w:after="80" w:line="320" w:lineRule="exact"/>
            </w:pPr>
            <w:r>
              <w:rPr>
                <w:rFonts w:hint="cs"/>
                <w:rtl/>
              </w:rPr>
              <w:t>הנאשם</w:t>
            </w:r>
          </w:p>
        </w:tc>
      </w:tr>
    </w:tbl>
    <w:p w14:paraId="2A38F7B9" w14:textId="77777777" w:rsidR="00BD4EC8" w:rsidRDefault="00BD4EC8">
      <w:pPr>
        <w:pStyle w:val="Heading1"/>
        <w:rPr>
          <w:bCs w:val="0"/>
          <w:u w:val="none"/>
          <w:rtl/>
        </w:rPr>
      </w:pPr>
      <w:bookmarkStart w:id="5" w:name="LawTable"/>
      <w:bookmarkEnd w:id="4"/>
      <w:bookmarkEnd w:id="5"/>
    </w:p>
    <w:p w14:paraId="66844474" w14:textId="77777777" w:rsidR="00BD4EC8" w:rsidRPr="00BD4EC8" w:rsidRDefault="00BD4EC8" w:rsidP="00BD4EC8">
      <w:pPr>
        <w:pStyle w:val="Heading1"/>
        <w:spacing w:after="120" w:line="240" w:lineRule="exact"/>
        <w:ind w:left="283" w:hanging="283"/>
        <w:jc w:val="both"/>
        <w:rPr>
          <w:rFonts w:ascii="FrankRuehl" w:hAnsi="FrankRuehl" w:cs="FrankRuehl"/>
          <w:bCs w:val="0"/>
          <w:szCs w:val="24"/>
          <w:u w:val="none"/>
          <w:rtl/>
        </w:rPr>
      </w:pPr>
    </w:p>
    <w:p w14:paraId="7B430495" w14:textId="77777777" w:rsidR="00BD4EC8" w:rsidRPr="00BD4EC8" w:rsidRDefault="00BD4EC8" w:rsidP="00BD4EC8">
      <w:pPr>
        <w:pStyle w:val="Heading1"/>
        <w:spacing w:after="120" w:line="240" w:lineRule="exact"/>
        <w:ind w:left="283" w:hanging="283"/>
        <w:jc w:val="both"/>
        <w:rPr>
          <w:rFonts w:ascii="FrankRuehl" w:hAnsi="FrankRuehl" w:cs="FrankRuehl"/>
          <w:bCs w:val="0"/>
          <w:szCs w:val="24"/>
          <w:u w:val="none"/>
          <w:rtl/>
        </w:rPr>
      </w:pPr>
      <w:r w:rsidRPr="00BD4EC8">
        <w:rPr>
          <w:rFonts w:ascii="FrankRuehl" w:hAnsi="FrankRuehl" w:cs="FrankRuehl"/>
          <w:bCs w:val="0"/>
          <w:szCs w:val="24"/>
          <w:u w:val="none"/>
          <w:rtl/>
        </w:rPr>
        <w:t xml:space="preserve">חקיקה שאוזכרה: </w:t>
      </w:r>
    </w:p>
    <w:p w14:paraId="5513BE4A" w14:textId="77777777" w:rsidR="00BD4EC8" w:rsidRPr="00BD4EC8" w:rsidRDefault="00BD4EC8" w:rsidP="00BD4EC8">
      <w:pPr>
        <w:pStyle w:val="Heading1"/>
        <w:spacing w:after="120" w:line="240" w:lineRule="exact"/>
        <w:ind w:left="283" w:hanging="283"/>
        <w:jc w:val="both"/>
        <w:rPr>
          <w:rFonts w:ascii="FrankRuehl" w:hAnsi="FrankRuehl" w:cs="FrankRuehl"/>
          <w:bCs w:val="0"/>
          <w:szCs w:val="24"/>
          <w:u w:val="none"/>
          <w:rtl/>
        </w:rPr>
      </w:pPr>
      <w:hyperlink r:id="rId7" w:history="1">
        <w:r w:rsidRPr="00BD4EC8">
          <w:rPr>
            <w:rFonts w:ascii="FrankRuehl" w:hAnsi="FrankRuehl" w:cs="FrankRuehl"/>
            <w:bCs w:val="0"/>
            <w:color w:val="0000FF"/>
            <w:szCs w:val="24"/>
            <w:rtl/>
          </w:rPr>
          <w:t>חוק העונשין, תשל"ז-1977</w:t>
        </w:r>
      </w:hyperlink>
      <w:r w:rsidRPr="00BD4EC8">
        <w:rPr>
          <w:rFonts w:ascii="FrankRuehl" w:hAnsi="FrankRuehl" w:cs="FrankRuehl"/>
          <w:bCs w:val="0"/>
          <w:szCs w:val="24"/>
          <w:u w:val="none"/>
          <w:rtl/>
        </w:rPr>
        <w:t xml:space="preserve">: סע'  </w:t>
      </w:r>
      <w:hyperlink r:id="rId8" w:history="1">
        <w:r w:rsidRPr="00BD4EC8">
          <w:rPr>
            <w:rFonts w:ascii="FrankRuehl" w:hAnsi="FrankRuehl" w:cs="FrankRuehl"/>
            <w:bCs w:val="0"/>
            <w:color w:val="0000FF"/>
            <w:szCs w:val="24"/>
            <w:rtl/>
          </w:rPr>
          <w:t>349(א)</w:t>
        </w:r>
      </w:hyperlink>
    </w:p>
    <w:p w14:paraId="717807F4" w14:textId="77777777" w:rsidR="00BD4EC8" w:rsidRPr="00BD4EC8" w:rsidRDefault="00BD4EC8" w:rsidP="00BD4EC8">
      <w:pPr>
        <w:pStyle w:val="Heading1"/>
        <w:spacing w:after="120" w:line="240" w:lineRule="exact"/>
        <w:ind w:left="283" w:hanging="283"/>
        <w:jc w:val="both"/>
        <w:rPr>
          <w:rFonts w:ascii="FrankRuehl" w:hAnsi="FrankRuehl" w:cs="FrankRuehl"/>
          <w:bCs w:val="0"/>
          <w:szCs w:val="24"/>
          <w:u w:val="none"/>
          <w:rtl/>
        </w:rPr>
      </w:pPr>
    </w:p>
    <w:p w14:paraId="24D60B23" w14:textId="77777777" w:rsidR="00BD4EC8" w:rsidRPr="00BD4EC8" w:rsidRDefault="00BD4EC8">
      <w:pPr>
        <w:pStyle w:val="Heading1"/>
        <w:rPr>
          <w:bCs w:val="0"/>
          <w:u w:val="none"/>
          <w:rtl/>
        </w:rPr>
      </w:pPr>
      <w:bookmarkStart w:id="6" w:name="LawTable_End"/>
      <w:bookmarkEnd w:id="6"/>
    </w:p>
    <w:p w14:paraId="4275FBFB" w14:textId="77777777" w:rsidR="00BD4EC8" w:rsidRPr="00BD4EC8" w:rsidRDefault="00BD4EC8">
      <w:pPr>
        <w:pStyle w:val="Heading1"/>
        <w:rPr>
          <w:u w:val="none"/>
          <w:rtl/>
        </w:rPr>
      </w:pPr>
    </w:p>
    <w:p w14:paraId="4350A3DA" w14:textId="77777777" w:rsidR="004E2605" w:rsidRPr="00BD4EC8" w:rsidRDefault="004E2605">
      <w:pPr>
        <w:pStyle w:val="Heading1"/>
        <w:rPr>
          <w:rFonts w:hint="cs"/>
          <w:u w:val="none"/>
          <w:rtl/>
        </w:rPr>
      </w:pPr>
    </w:p>
    <w:p w14:paraId="07AAA99B" w14:textId="77777777" w:rsidR="00F97070" w:rsidRPr="00F97070" w:rsidRDefault="00F97070">
      <w:pPr>
        <w:pStyle w:val="Heading1"/>
        <w:rPr>
          <w:bCs w:val="0"/>
          <w:sz w:val="34"/>
          <w:szCs w:val="32"/>
          <w:u w:val="none"/>
          <w:rtl/>
        </w:rPr>
      </w:pPr>
    </w:p>
    <w:p w14:paraId="393956C2" w14:textId="77777777" w:rsidR="00F97070" w:rsidRPr="00F97070" w:rsidRDefault="00F97070">
      <w:pPr>
        <w:pStyle w:val="Heading1"/>
        <w:rPr>
          <w:sz w:val="34"/>
          <w:szCs w:val="32"/>
          <w:u w:val="none"/>
          <w:rtl/>
        </w:rPr>
      </w:pPr>
    </w:p>
    <w:p w14:paraId="67C213D6" w14:textId="77777777" w:rsidR="004E2605" w:rsidRPr="00F97070" w:rsidRDefault="004E2605">
      <w:pPr>
        <w:pStyle w:val="Heading1"/>
        <w:rPr>
          <w:sz w:val="34"/>
          <w:szCs w:val="32"/>
          <w:u w:val="none"/>
          <w:rtl/>
        </w:rPr>
      </w:pPr>
    </w:p>
    <w:p w14:paraId="1B7FDDE6" w14:textId="77777777" w:rsidR="004E2605" w:rsidRDefault="004E2605">
      <w:pPr>
        <w:jc w:val="center"/>
        <w:rPr>
          <w:bCs/>
          <w:sz w:val="34"/>
          <w:szCs w:val="32"/>
          <w:u w:val="single"/>
          <w:rtl/>
        </w:rPr>
      </w:pPr>
      <w:bookmarkStart w:id="7" w:name="PsakDin"/>
      <w:r>
        <w:rPr>
          <w:bCs/>
          <w:sz w:val="34"/>
          <w:szCs w:val="32"/>
          <w:u w:val="single"/>
          <w:rtl/>
        </w:rPr>
        <w:t>הכרעת דין</w:t>
      </w:r>
    </w:p>
    <w:bookmarkEnd w:id="7"/>
    <w:p w14:paraId="13707C47" w14:textId="77777777" w:rsidR="004E2605" w:rsidRDefault="004E2605">
      <w:pPr>
        <w:rPr>
          <w:rFonts w:hint="cs"/>
          <w:sz w:val="26"/>
          <w:rtl/>
        </w:rPr>
      </w:pPr>
    </w:p>
    <w:p w14:paraId="5D5C5A5A" w14:textId="77777777" w:rsidR="004E2605" w:rsidRDefault="004E2605">
      <w:pPr>
        <w:rPr>
          <w:rFonts w:hint="cs"/>
          <w:sz w:val="26"/>
          <w:rtl/>
        </w:rPr>
      </w:pPr>
      <w:r>
        <w:rPr>
          <w:rFonts w:hint="cs"/>
          <w:sz w:val="26"/>
          <w:rtl/>
        </w:rPr>
        <w:t>1.</w:t>
      </w:r>
      <w:r>
        <w:rPr>
          <w:rFonts w:hint="cs"/>
          <w:sz w:val="26"/>
          <w:rtl/>
        </w:rPr>
        <w:tab/>
        <w:t>אני מזכה את הנאשם, מחמת ספק.</w:t>
      </w:r>
    </w:p>
    <w:p w14:paraId="3B030F21" w14:textId="77777777" w:rsidR="004E2605" w:rsidRDefault="004E2605">
      <w:pPr>
        <w:rPr>
          <w:rFonts w:hint="cs"/>
          <w:sz w:val="26"/>
          <w:rtl/>
        </w:rPr>
      </w:pPr>
    </w:p>
    <w:p w14:paraId="7F68360F" w14:textId="77777777" w:rsidR="004E2605" w:rsidRDefault="004E2605">
      <w:pPr>
        <w:ind w:left="720" w:hanging="720"/>
        <w:rPr>
          <w:rFonts w:hint="cs"/>
          <w:sz w:val="26"/>
          <w:rtl/>
        </w:rPr>
      </w:pPr>
      <w:r>
        <w:rPr>
          <w:rFonts w:hint="cs"/>
          <w:sz w:val="26"/>
          <w:rtl/>
        </w:rPr>
        <w:lastRenderedPageBreak/>
        <w:t>2.</w:t>
      </w:r>
      <w:r>
        <w:rPr>
          <w:rFonts w:hint="cs"/>
          <w:sz w:val="26"/>
          <w:rtl/>
        </w:rPr>
        <w:tab/>
      </w:r>
      <w:bookmarkStart w:id="8" w:name="ABSTRACT_START"/>
      <w:bookmarkEnd w:id="8"/>
      <w:r>
        <w:rPr>
          <w:rFonts w:hint="cs"/>
          <w:sz w:val="26"/>
          <w:rtl/>
        </w:rPr>
        <w:t xml:space="preserve">כתב האישום מייחס לנאשם עבירה של מעשה מגונה בפומבי, לפי </w:t>
      </w:r>
      <w:hyperlink r:id="rId9" w:history="1">
        <w:r w:rsidR="00BD4EC8" w:rsidRPr="00BD4EC8">
          <w:rPr>
            <w:color w:val="0000FF"/>
            <w:sz w:val="26"/>
            <w:u w:val="single"/>
            <w:rtl/>
          </w:rPr>
          <w:t>סעיף 349(א)</w:t>
        </w:r>
      </w:hyperlink>
      <w:r>
        <w:rPr>
          <w:rFonts w:hint="cs"/>
          <w:sz w:val="26"/>
          <w:rtl/>
        </w:rPr>
        <w:t xml:space="preserve"> ל</w:t>
      </w:r>
      <w:hyperlink r:id="rId10" w:history="1">
        <w:r w:rsidR="00F97070" w:rsidRPr="00F97070">
          <w:rPr>
            <w:rStyle w:val="Hyperlink"/>
            <w:rFonts w:hint="eastAsia"/>
            <w:sz w:val="26"/>
            <w:rtl/>
          </w:rPr>
          <w:t>חוק</w:t>
        </w:r>
        <w:r w:rsidR="00F97070" w:rsidRPr="00F97070">
          <w:rPr>
            <w:rStyle w:val="Hyperlink"/>
            <w:sz w:val="26"/>
            <w:rtl/>
          </w:rPr>
          <w:t xml:space="preserve"> העונשין</w:t>
        </w:r>
      </w:hyperlink>
      <w:r>
        <w:rPr>
          <w:rFonts w:hint="cs"/>
          <w:sz w:val="26"/>
          <w:rtl/>
        </w:rPr>
        <w:t xml:space="preserve">, התשל"ז-1977 </w:t>
      </w:r>
      <w:bookmarkStart w:id="9" w:name="ABSTRACT_END"/>
      <w:bookmarkEnd w:id="9"/>
      <w:r>
        <w:rPr>
          <w:rFonts w:hint="cs"/>
          <w:sz w:val="26"/>
          <w:rtl/>
        </w:rPr>
        <w:t>(להלן: "החוק"). נטען בו, כי ביום 06.05.03 בשעה 01:25 או בסמוך לכך, בקריית גת, בצומת הרחובות עצמאות- לכיש, ביצע הנאשם מעשה מגונה בפני אנה זסלבסקי (להלן: "המתלוננת"), כשהוא חושף את איבר מינו ומנפנף אותו מול פניה של המתלוננת.</w:t>
      </w:r>
    </w:p>
    <w:p w14:paraId="5BEECBD1" w14:textId="77777777" w:rsidR="004E2605" w:rsidRDefault="004E2605">
      <w:pPr>
        <w:ind w:left="720" w:hanging="720"/>
        <w:rPr>
          <w:rFonts w:hint="cs"/>
          <w:color w:val="FFFFFF"/>
          <w:sz w:val="4"/>
          <w:szCs w:val="4"/>
          <w:rtl/>
        </w:rPr>
      </w:pPr>
    </w:p>
    <w:p w14:paraId="730E0031" w14:textId="77777777" w:rsidR="004E2605" w:rsidRDefault="004E2605">
      <w:pPr>
        <w:ind w:left="720" w:hanging="720"/>
        <w:rPr>
          <w:rFonts w:hint="cs"/>
          <w:color w:val="FFFFFF"/>
          <w:sz w:val="4"/>
          <w:szCs w:val="4"/>
          <w:rtl/>
        </w:rPr>
      </w:pPr>
      <w:r>
        <w:rPr>
          <w:color w:val="FFFFFF"/>
          <w:sz w:val="4"/>
          <w:szCs w:val="4"/>
          <w:rtl/>
        </w:rPr>
        <w:t>5129371</w:t>
      </w:r>
    </w:p>
    <w:p w14:paraId="7B2A4DE2" w14:textId="77777777" w:rsidR="004E2605" w:rsidRDefault="004E2605">
      <w:pPr>
        <w:ind w:left="720" w:hanging="720"/>
        <w:rPr>
          <w:rFonts w:hint="cs"/>
          <w:sz w:val="26"/>
          <w:rtl/>
        </w:rPr>
      </w:pPr>
      <w:r>
        <w:rPr>
          <w:color w:val="FFFFFF"/>
          <w:sz w:val="4"/>
          <w:szCs w:val="4"/>
          <w:rtl/>
        </w:rPr>
        <w:t>5129371</w:t>
      </w:r>
    </w:p>
    <w:p w14:paraId="20FAE17F" w14:textId="77777777" w:rsidR="004E2605" w:rsidRDefault="004E2605">
      <w:pPr>
        <w:ind w:left="720" w:hanging="720"/>
        <w:rPr>
          <w:rFonts w:hint="cs"/>
          <w:sz w:val="26"/>
          <w:rtl/>
        </w:rPr>
      </w:pPr>
      <w:r>
        <w:rPr>
          <w:rFonts w:hint="cs"/>
          <w:sz w:val="26"/>
          <w:rtl/>
        </w:rPr>
        <w:t>3.</w:t>
      </w:r>
      <w:r>
        <w:rPr>
          <w:rFonts w:hint="cs"/>
          <w:sz w:val="26"/>
          <w:rtl/>
        </w:rPr>
        <w:tab/>
        <w:t xml:space="preserve">לא למותר לציין, כי האישום מבוסס כולו על גרסת המתלוננת כפי שנמסרה במשטרה ובבית המשפט. לגרסתה, ביום 06.05.03, יום העצמאות, היא קבעה להיפגש עם החבר שלה, עד ההגנה מס' 2, פליקס רוזנברג (להלן: "פליקס") במקום מרכזי בקריית גת בין השעה 08:30 לשעה 09:00 בערב על מנת להשלים לאחר הריב שפרץ ביניהם. פליקס הגיע למקום יחד עם הנאשם, יוסף קדזילשוילי (להלן: "יוסף" או "הנאשם"). </w:t>
      </w:r>
    </w:p>
    <w:p w14:paraId="53A98B7E" w14:textId="77777777" w:rsidR="004E2605" w:rsidRDefault="004E2605">
      <w:pPr>
        <w:ind w:left="720" w:hanging="720"/>
        <w:rPr>
          <w:rFonts w:hint="cs"/>
          <w:sz w:val="26"/>
          <w:rtl/>
        </w:rPr>
      </w:pPr>
    </w:p>
    <w:p w14:paraId="2A59501E" w14:textId="77777777" w:rsidR="004E2605" w:rsidRDefault="004E2605">
      <w:pPr>
        <w:ind w:left="720" w:hanging="720"/>
        <w:rPr>
          <w:rFonts w:hint="cs"/>
          <w:sz w:val="26"/>
          <w:rtl/>
        </w:rPr>
      </w:pPr>
      <w:r>
        <w:rPr>
          <w:rFonts w:hint="cs"/>
          <w:sz w:val="26"/>
          <w:rtl/>
        </w:rPr>
        <w:tab/>
        <w:t>יודגש, כי בין המתלוננת והנאשם הייתה הכרות קודמת שטחית בלבד כאשר הם נפגשו מספר פעמים באירועים משפחתיים. כמו כן, דודתה של המתלוננת הועסקה על ידי הנאשם כמטפלת באמו הסיעודית.</w:t>
      </w:r>
      <w:r>
        <w:rPr>
          <w:color w:val="FFFFFF"/>
          <w:sz w:val="4"/>
          <w:szCs w:val="4"/>
          <w:rtl/>
        </w:rPr>
        <w:t>נ</w:t>
      </w:r>
    </w:p>
    <w:p w14:paraId="3F636597" w14:textId="77777777" w:rsidR="004E2605" w:rsidRDefault="004E2605">
      <w:pPr>
        <w:ind w:left="720" w:hanging="720"/>
        <w:rPr>
          <w:rFonts w:hint="cs"/>
          <w:sz w:val="26"/>
          <w:rtl/>
        </w:rPr>
      </w:pPr>
    </w:p>
    <w:p w14:paraId="633D31C3" w14:textId="77777777" w:rsidR="004E2605" w:rsidRDefault="004E2605">
      <w:pPr>
        <w:ind w:left="720" w:hanging="720"/>
        <w:rPr>
          <w:rFonts w:hint="cs"/>
          <w:sz w:val="26"/>
          <w:rtl/>
        </w:rPr>
      </w:pPr>
      <w:r>
        <w:rPr>
          <w:rFonts w:hint="cs"/>
          <w:sz w:val="26"/>
          <w:rtl/>
        </w:rPr>
        <w:tab/>
        <w:t>לדברי המתלוננת, השניים באו לקראתה ויוסף שאל אותה האם זה נכון שהמתלוננת ודודתה נהגו לקראו לאמו הזקנה "אישה מטורללת". המתלוננת השיבה, כי "אין לה מה לדבר אתו" ( פרוטוקול, עמ' 10), ויוסף החל לצעוק, לקלל ולאיים לפטר את דודתה מעבודתה. בחקירתה בבית המשפט העידה המתלוננת כדלקמן:</w:t>
      </w:r>
    </w:p>
    <w:p w14:paraId="3DAAF2DC" w14:textId="77777777" w:rsidR="004E2605" w:rsidRDefault="004E2605">
      <w:pPr>
        <w:ind w:left="720" w:hanging="720"/>
        <w:rPr>
          <w:rFonts w:hint="cs"/>
          <w:sz w:val="26"/>
          <w:rtl/>
        </w:rPr>
      </w:pPr>
    </w:p>
    <w:p w14:paraId="6233C6C6" w14:textId="77777777" w:rsidR="004E2605" w:rsidRDefault="004E2605">
      <w:pPr>
        <w:ind w:left="1440" w:right="540"/>
        <w:rPr>
          <w:rFonts w:hint="cs"/>
          <w:sz w:val="22"/>
          <w:szCs w:val="22"/>
          <w:rtl/>
        </w:rPr>
      </w:pPr>
      <w:r>
        <w:rPr>
          <w:rFonts w:hint="cs"/>
          <w:b/>
          <w:bCs/>
          <w:sz w:val="22"/>
          <w:szCs w:val="22"/>
          <w:rtl/>
        </w:rPr>
        <w:t>"...הוא החל לצעוק, יזיין אותי, החל לקלל אותי, את אמא שלי, ההורים שלי, דודה שלי, ואני מרוב  שהייתי בהלם לא עניתי לו כלום, כי באותו רגע לא היה לי מה לענות. אז הוא בא לקראתי הוריד את מכנסיו והחל לנפנף לעברי עם איבר המין שלו..."</w:t>
      </w:r>
      <w:r>
        <w:rPr>
          <w:rFonts w:hint="cs"/>
          <w:sz w:val="22"/>
          <w:szCs w:val="22"/>
          <w:rtl/>
        </w:rPr>
        <w:t xml:space="preserve"> (פרוטוקול, עמ' 10)</w:t>
      </w:r>
    </w:p>
    <w:p w14:paraId="775D867F" w14:textId="77777777" w:rsidR="004E2605" w:rsidRDefault="004E2605">
      <w:pPr>
        <w:ind w:right="540"/>
        <w:rPr>
          <w:rFonts w:hint="cs"/>
          <w:sz w:val="22"/>
          <w:szCs w:val="22"/>
          <w:rtl/>
        </w:rPr>
      </w:pPr>
    </w:p>
    <w:p w14:paraId="59FDBDE8" w14:textId="77777777" w:rsidR="004E2605" w:rsidRDefault="004E2605">
      <w:pPr>
        <w:ind w:left="720" w:hanging="720"/>
        <w:rPr>
          <w:rFonts w:hint="cs"/>
          <w:sz w:val="26"/>
          <w:rtl/>
        </w:rPr>
      </w:pPr>
      <w:r>
        <w:rPr>
          <w:rFonts w:hint="cs"/>
          <w:rtl/>
        </w:rPr>
        <w:t>4.</w:t>
      </w:r>
      <w:r>
        <w:rPr>
          <w:rFonts w:hint="cs"/>
          <w:rtl/>
        </w:rPr>
        <w:tab/>
      </w:r>
      <w:r>
        <w:rPr>
          <w:rFonts w:hint="cs"/>
          <w:sz w:val="26"/>
          <w:rtl/>
        </w:rPr>
        <w:t>במרבית הנקודות גרסת ההגנה אינה שונה מגרסת המתלוננת. המחלוקת העיקרית מתמקדת בשאלה העובדתית, האם הנאשם אכן חשף את איבר המין בפומבי, הפעולה, שמהווה את היסוד העובדתי של העבירה המיוחסת לו בכתב האישום.</w:t>
      </w:r>
      <w:r>
        <w:rPr>
          <w:color w:val="FFFFFF"/>
          <w:sz w:val="4"/>
          <w:szCs w:val="4"/>
          <w:rtl/>
        </w:rPr>
        <w:t>ב</w:t>
      </w:r>
    </w:p>
    <w:p w14:paraId="766B4C36" w14:textId="77777777" w:rsidR="004E2605" w:rsidRDefault="004E2605">
      <w:pPr>
        <w:ind w:left="720" w:hanging="720"/>
        <w:rPr>
          <w:rFonts w:hint="cs"/>
          <w:sz w:val="26"/>
          <w:rtl/>
        </w:rPr>
      </w:pPr>
    </w:p>
    <w:p w14:paraId="0D57B925" w14:textId="77777777" w:rsidR="004E2605" w:rsidRDefault="004E2605">
      <w:pPr>
        <w:ind w:left="720" w:hanging="720"/>
        <w:rPr>
          <w:rFonts w:hint="cs"/>
          <w:sz w:val="26"/>
          <w:rtl/>
        </w:rPr>
      </w:pPr>
      <w:r>
        <w:rPr>
          <w:rFonts w:hint="cs"/>
          <w:sz w:val="26"/>
          <w:rtl/>
        </w:rPr>
        <w:tab/>
        <w:t>אין ויכוח, כי הנאשם צעק וקילל, וכמו כן, כך הוא מודה בחקירתו, כי איים לפטר את דודתה של המתלוננת מעבודתה.</w:t>
      </w:r>
      <w:r>
        <w:rPr>
          <w:color w:val="FFFFFF"/>
          <w:sz w:val="4"/>
          <w:szCs w:val="4"/>
          <w:rtl/>
        </w:rPr>
        <w:t>ו</w:t>
      </w:r>
    </w:p>
    <w:p w14:paraId="796667ED" w14:textId="77777777" w:rsidR="004E2605" w:rsidRDefault="004E2605">
      <w:pPr>
        <w:ind w:left="720" w:hanging="720"/>
        <w:rPr>
          <w:rFonts w:hint="cs"/>
          <w:sz w:val="26"/>
          <w:rtl/>
        </w:rPr>
      </w:pPr>
    </w:p>
    <w:p w14:paraId="68ADE4BC" w14:textId="77777777" w:rsidR="004E2605" w:rsidRDefault="004E2605">
      <w:pPr>
        <w:ind w:left="720" w:hanging="720"/>
        <w:rPr>
          <w:rFonts w:hint="cs"/>
          <w:sz w:val="26"/>
          <w:rtl/>
        </w:rPr>
      </w:pPr>
      <w:r>
        <w:rPr>
          <w:rFonts w:hint="cs"/>
          <w:sz w:val="26"/>
          <w:rtl/>
        </w:rPr>
        <w:lastRenderedPageBreak/>
        <w:t>5.</w:t>
      </w:r>
      <w:r>
        <w:rPr>
          <w:rFonts w:hint="cs"/>
          <w:sz w:val="26"/>
          <w:rtl/>
        </w:rPr>
        <w:tab/>
        <w:t xml:space="preserve">כידוע, מידת ההוכחה המוטלת על התביעה לעניין העמידה בנטל השכנוע במשפט הפלילי הינה של "למעלה מספק סביר". </w:t>
      </w:r>
    </w:p>
    <w:p w14:paraId="722CE107" w14:textId="77777777" w:rsidR="004E2605" w:rsidRDefault="004E2605">
      <w:pPr>
        <w:ind w:left="720" w:hanging="720"/>
        <w:rPr>
          <w:rFonts w:hint="cs"/>
          <w:sz w:val="26"/>
          <w:rtl/>
        </w:rPr>
      </w:pPr>
    </w:p>
    <w:p w14:paraId="3EC1B67D" w14:textId="77777777" w:rsidR="004E2605" w:rsidRDefault="004E2605">
      <w:pPr>
        <w:ind w:left="720" w:hanging="720"/>
        <w:rPr>
          <w:rFonts w:hint="cs"/>
          <w:sz w:val="26"/>
          <w:rtl/>
        </w:rPr>
      </w:pPr>
      <w:r>
        <w:rPr>
          <w:rFonts w:hint="cs"/>
          <w:sz w:val="26"/>
          <w:rtl/>
        </w:rPr>
        <w:tab/>
        <w:t>מידה זו, של "למעלה מספק סביר", משמעה, כי על התביעה להוכיח את האשמה במידה המגיעה לכלל אפשרות הקרובה "עד מאוד" לאמת או לוודאות.</w:t>
      </w:r>
      <w:r>
        <w:rPr>
          <w:color w:val="FFFFFF"/>
          <w:sz w:val="4"/>
          <w:szCs w:val="4"/>
          <w:rtl/>
        </w:rPr>
        <w:t>נ</w:t>
      </w:r>
    </w:p>
    <w:p w14:paraId="2882B772" w14:textId="77777777" w:rsidR="004E2605" w:rsidRDefault="004E2605">
      <w:pPr>
        <w:ind w:left="720" w:hanging="720"/>
        <w:rPr>
          <w:rFonts w:hint="cs"/>
          <w:sz w:val="26"/>
          <w:rtl/>
        </w:rPr>
      </w:pPr>
    </w:p>
    <w:p w14:paraId="39C468AE" w14:textId="77777777" w:rsidR="004E2605" w:rsidRDefault="004E2605">
      <w:pPr>
        <w:ind w:left="720" w:hanging="720"/>
        <w:rPr>
          <w:rFonts w:hint="cs"/>
          <w:sz w:val="26"/>
          <w:rtl/>
        </w:rPr>
      </w:pPr>
      <w:r>
        <w:rPr>
          <w:rFonts w:hint="cs"/>
          <w:sz w:val="26"/>
          <w:rtl/>
        </w:rPr>
        <w:tab/>
        <w:t>בהקשר זה נפסק כי:</w:t>
      </w:r>
    </w:p>
    <w:p w14:paraId="3EF0B400" w14:textId="77777777" w:rsidR="004E2605" w:rsidRDefault="004E2605">
      <w:pPr>
        <w:ind w:left="720" w:hanging="720"/>
        <w:rPr>
          <w:rFonts w:hint="cs"/>
          <w:sz w:val="26"/>
          <w:rtl/>
        </w:rPr>
      </w:pPr>
      <w:r>
        <w:rPr>
          <w:rFonts w:hint="cs"/>
          <w:sz w:val="26"/>
          <w:rtl/>
        </w:rPr>
        <w:tab/>
      </w:r>
      <w:r>
        <w:rPr>
          <w:rFonts w:hint="cs"/>
          <w:sz w:val="26"/>
          <w:rtl/>
        </w:rPr>
        <w:tab/>
      </w:r>
    </w:p>
    <w:p w14:paraId="33364735" w14:textId="77777777" w:rsidR="004E2605" w:rsidRDefault="004E2605">
      <w:pPr>
        <w:ind w:left="1286" w:right="720"/>
        <w:rPr>
          <w:rFonts w:hint="cs"/>
          <w:b/>
          <w:bCs/>
          <w:sz w:val="22"/>
          <w:szCs w:val="22"/>
          <w:rtl/>
        </w:rPr>
      </w:pPr>
      <w:r>
        <w:rPr>
          <w:rFonts w:hint="cs"/>
          <w:b/>
          <w:bCs/>
          <w:sz w:val="22"/>
          <w:szCs w:val="22"/>
          <w:rtl/>
        </w:rPr>
        <w:t>"אין הרשעה בדין אלא אם כן הוסרו כל הספיקות הסבירים" (</w:t>
      </w:r>
      <w:hyperlink r:id="rId11" w:history="1">
        <w:r w:rsidR="00F97070" w:rsidRPr="00F97070">
          <w:rPr>
            <w:rStyle w:val="Hyperlink"/>
            <w:rFonts w:hint="eastAsia"/>
            <w:b/>
            <w:bCs/>
            <w:sz w:val="22"/>
            <w:szCs w:val="22"/>
            <w:rtl/>
          </w:rPr>
          <w:t>ע</w:t>
        </w:r>
        <w:r w:rsidR="00F97070" w:rsidRPr="00F97070">
          <w:rPr>
            <w:rStyle w:val="Hyperlink"/>
            <w:b/>
            <w:bCs/>
            <w:sz w:val="22"/>
            <w:szCs w:val="22"/>
            <w:rtl/>
          </w:rPr>
          <w:t>"פ 347/88 דמיאניוק נ' מדינת ישראל, פ"ד מז</w:t>
        </w:r>
      </w:hyperlink>
      <w:r>
        <w:rPr>
          <w:rFonts w:hint="cs"/>
          <w:b/>
          <w:bCs/>
          <w:sz w:val="22"/>
          <w:szCs w:val="22"/>
          <w:rtl/>
        </w:rPr>
        <w:t xml:space="preserve">(644 ,221 (4). מידה זו מהווה את "אבן היסוד של המשפט הפלילי ודרכי הפעלתו" (שם, עמ' 645). היא משקפת את תפיסות היסוד החוקתיות והחברתיות של המשפט הישראלי (ראה </w:t>
      </w:r>
      <w:hyperlink r:id="rId12" w:history="1">
        <w:r w:rsidR="00F97070" w:rsidRPr="00F97070">
          <w:rPr>
            <w:rStyle w:val="Hyperlink"/>
            <w:rFonts w:hint="eastAsia"/>
            <w:b/>
            <w:bCs/>
            <w:sz w:val="22"/>
            <w:szCs w:val="22"/>
            <w:rtl/>
          </w:rPr>
          <w:t>ע</w:t>
        </w:r>
        <w:r w:rsidR="00F97070" w:rsidRPr="00F97070">
          <w:rPr>
            <w:rStyle w:val="Hyperlink"/>
            <w:b/>
            <w:bCs/>
            <w:sz w:val="22"/>
            <w:szCs w:val="22"/>
            <w:rtl/>
          </w:rPr>
          <w:t>"פ 20/51 פודמסקי נ' היועץ המשפטי לממשלה, פ"ד ה</w:t>
        </w:r>
      </w:hyperlink>
      <w:r>
        <w:rPr>
          <w:rFonts w:hint="cs"/>
          <w:b/>
          <w:bCs/>
          <w:sz w:val="22"/>
          <w:szCs w:val="22"/>
          <w:rtl/>
        </w:rPr>
        <w:t>' 1187). רק באמצעות רמת הוכחה גבוהה זו מרימה התביעה את הנטל הרובץ עליה להוכיח את אשמת הנאשם. רק מכוחה של רמת הוכחה זו ניתן להתגבר על חזקת החפות. הנה כי כן, רמת הוכחה זו קשורה בקשר הדוק לשאלת האשמה או החפות עצמה. היא פרי הכרעה שיפוטית המשקפת את מלוא התשתית הראייתית, כפי שגובשה במהלך המשפט. היא מופעלת על חומר ראייתי שעבר עיבוד במהלך המשפט, ואשר נבחן במסננת של החקירה הנגדית. היא מעוצבת לאחר שנקבעה מהימנותם של העדים, ומשקלן של הראיות. היא מיושמת בסוף ההליך הפלילי, והיא מהווה את שיאו. היא משקיפה על מלוא התשתית הראייתית, כפי שגובשה ועובדה בהליך השיפוטי."</w:t>
      </w:r>
    </w:p>
    <w:p w14:paraId="4456829D" w14:textId="77777777" w:rsidR="004E2605" w:rsidRDefault="004E2605">
      <w:pPr>
        <w:ind w:left="1286" w:right="720"/>
        <w:rPr>
          <w:rFonts w:hint="cs"/>
          <w:sz w:val="26"/>
          <w:rtl/>
        </w:rPr>
      </w:pPr>
      <w:r>
        <w:rPr>
          <w:rFonts w:hint="cs"/>
          <w:sz w:val="26"/>
          <w:rtl/>
        </w:rPr>
        <w:t>(</w:t>
      </w:r>
      <w:hyperlink r:id="rId13" w:history="1">
        <w:r w:rsidR="00F97070" w:rsidRPr="00F97070">
          <w:rPr>
            <w:rStyle w:val="Hyperlink"/>
            <w:rFonts w:hint="eastAsia"/>
            <w:sz w:val="26"/>
            <w:rtl/>
          </w:rPr>
          <w:t>בש</w:t>
        </w:r>
        <w:r w:rsidR="00F97070" w:rsidRPr="00F97070">
          <w:rPr>
            <w:rStyle w:val="Hyperlink"/>
            <w:sz w:val="26"/>
            <w:rtl/>
          </w:rPr>
          <w:t>"פ 8087/95, זאדה נ' מדינת ישראל , פ"ד נ</w:t>
        </w:r>
      </w:hyperlink>
      <w:r>
        <w:rPr>
          <w:rFonts w:hint="cs"/>
          <w:sz w:val="26"/>
          <w:rtl/>
        </w:rPr>
        <w:t>(2), 133 ,עמ' 145-146)</w:t>
      </w:r>
    </w:p>
    <w:p w14:paraId="45DD8A04" w14:textId="77777777" w:rsidR="004E2605" w:rsidRDefault="004E2605">
      <w:pPr>
        <w:ind w:right="720"/>
        <w:rPr>
          <w:rFonts w:hint="cs"/>
          <w:sz w:val="26"/>
          <w:rtl/>
        </w:rPr>
      </w:pPr>
    </w:p>
    <w:p w14:paraId="5F049225" w14:textId="77777777" w:rsidR="004E2605" w:rsidRDefault="004E2605">
      <w:pPr>
        <w:rPr>
          <w:rFonts w:hint="cs"/>
          <w:sz w:val="26"/>
          <w:rtl/>
        </w:rPr>
      </w:pPr>
      <w:r>
        <w:rPr>
          <w:rFonts w:hint="cs"/>
          <w:sz w:val="26"/>
          <w:rtl/>
        </w:rPr>
        <w:tab/>
        <w:t>ובפסיקה נוספת באותו נושא:</w:t>
      </w:r>
    </w:p>
    <w:p w14:paraId="4D677559" w14:textId="77777777" w:rsidR="004E2605" w:rsidRDefault="004E2605">
      <w:pPr>
        <w:rPr>
          <w:rFonts w:hint="cs"/>
          <w:sz w:val="26"/>
          <w:rtl/>
        </w:rPr>
      </w:pPr>
    </w:p>
    <w:p w14:paraId="150DC45B" w14:textId="77777777" w:rsidR="004E2605" w:rsidRDefault="004E2605">
      <w:pPr>
        <w:ind w:left="1440" w:right="720"/>
        <w:rPr>
          <w:rFonts w:hint="cs"/>
          <w:b/>
          <w:bCs/>
          <w:sz w:val="22"/>
          <w:szCs w:val="22"/>
          <w:rtl/>
        </w:rPr>
      </w:pPr>
      <w:r>
        <w:rPr>
          <w:rFonts w:hint="cs"/>
          <w:b/>
          <w:bCs/>
          <w:sz w:val="22"/>
          <w:szCs w:val="22"/>
          <w:rtl/>
        </w:rPr>
        <w:t>"ספק שנותר בלבו של שופט בדבר אשמתו של הנאשם פועל תמיד לטובתו. הספק הינו פונקציה של הערכת מכלול הראיות ושל בחינה, אם הוכיחה התביעה את האשמה מעבר לספק סביר...לעניין זה אין כללים מדריכים מוגדרים ...מאשר השימוש בשכל הישר."</w:t>
      </w:r>
    </w:p>
    <w:p w14:paraId="4C32958C" w14:textId="77777777" w:rsidR="004E2605" w:rsidRDefault="004E2605">
      <w:pPr>
        <w:ind w:left="1440"/>
        <w:rPr>
          <w:rFonts w:hint="cs"/>
          <w:sz w:val="26"/>
          <w:rtl/>
        </w:rPr>
      </w:pPr>
      <w:r>
        <w:rPr>
          <w:rFonts w:hint="cs"/>
          <w:b/>
          <w:bCs/>
          <w:sz w:val="22"/>
          <w:szCs w:val="22"/>
          <w:rtl/>
        </w:rPr>
        <w:t xml:space="preserve"> </w:t>
      </w:r>
      <w:r>
        <w:rPr>
          <w:rFonts w:hint="cs"/>
          <w:sz w:val="26"/>
          <w:rtl/>
        </w:rPr>
        <w:t xml:space="preserve"> ( </w:t>
      </w:r>
      <w:hyperlink r:id="rId14" w:history="1">
        <w:r w:rsidR="00F97070" w:rsidRPr="00F97070">
          <w:rPr>
            <w:rStyle w:val="Hyperlink"/>
            <w:rFonts w:hint="eastAsia"/>
            <w:sz w:val="26"/>
            <w:rtl/>
          </w:rPr>
          <w:t>ע</w:t>
        </w:r>
        <w:r w:rsidR="00F97070" w:rsidRPr="00F97070">
          <w:rPr>
            <w:rStyle w:val="Hyperlink"/>
            <w:sz w:val="26"/>
            <w:rtl/>
          </w:rPr>
          <w:t>"פ 409/89 מדינת ישראל נ' רוימי, פ"ד מד</w:t>
        </w:r>
      </w:hyperlink>
      <w:r>
        <w:rPr>
          <w:rFonts w:hint="cs"/>
          <w:sz w:val="26"/>
          <w:rtl/>
        </w:rPr>
        <w:t>(3) 465, 469)</w:t>
      </w:r>
    </w:p>
    <w:p w14:paraId="4BA0086E" w14:textId="77777777" w:rsidR="004E2605" w:rsidRDefault="004E2605">
      <w:pPr>
        <w:ind w:left="1440"/>
        <w:rPr>
          <w:rFonts w:hint="cs"/>
          <w:sz w:val="26"/>
          <w:rtl/>
        </w:rPr>
      </w:pPr>
    </w:p>
    <w:p w14:paraId="5570455E" w14:textId="77777777" w:rsidR="004E2605" w:rsidRDefault="004E2605">
      <w:pPr>
        <w:ind w:left="720" w:hanging="720"/>
        <w:rPr>
          <w:rFonts w:hint="cs"/>
          <w:sz w:val="26"/>
          <w:rtl/>
        </w:rPr>
      </w:pPr>
      <w:r>
        <w:rPr>
          <w:rFonts w:hint="cs"/>
          <w:sz w:val="26"/>
          <w:rtl/>
        </w:rPr>
        <w:t>6.</w:t>
      </w:r>
      <w:r>
        <w:rPr>
          <w:rFonts w:hint="cs"/>
          <w:sz w:val="26"/>
          <w:rtl/>
        </w:rPr>
        <w:tab/>
        <w:t>נעבור לראיות עצמן. פליקס, חברו של הנאשם, העיד עדות בהירה , שהותירה רושם אמין. העד נוכח במקום האירוע, עמד מטרים ספורים מאחורי הנאשם, ולא הבחין בכל תנועת גוף או ידיים של הנאשם המצביעה על כוונתו "להוריד את מכנסיו". אפשרות המעשה אף נראתה לו אבסורדית בנסיבות העניין:</w:t>
      </w:r>
    </w:p>
    <w:p w14:paraId="4F220615" w14:textId="77777777" w:rsidR="004E2605" w:rsidRDefault="004E2605">
      <w:pPr>
        <w:ind w:left="720" w:hanging="720"/>
        <w:rPr>
          <w:rFonts w:hint="cs"/>
          <w:sz w:val="26"/>
          <w:rtl/>
        </w:rPr>
      </w:pPr>
    </w:p>
    <w:p w14:paraId="675032C9" w14:textId="77777777" w:rsidR="004E2605" w:rsidRDefault="004E2605">
      <w:pPr>
        <w:pStyle w:val="BodyTextIndent"/>
        <w:ind w:right="540"/>
        <w:rPr>
          <w:rFonts w:hint="cs"/>
          <w:rtl/>
        </w:rPr>
      </w:pPr>
      <w:r>
        <w:rPr>
          <w:rFonts w:hint="cs"/>
          <w:rtl/>
        </w:rPr>
        <w:t>ש</w:t>
      </w:r>
      <w:r>
        <w:rPr>
          <w:rFonts w:hint="cs"/>
          <w:rtl/>
        </w:rPr>
        <w:tab/>
        <w:t>אם אומר לך שיש אפשרות שיוסף שהיה עם הגב אליך הוריד את המכנסיים שלו ונגע באיבר המין ונפנף בו מול אנה, יש אפשרות כזאת.</w:t>
      </w:r>
      <w:r>
        <w:rPr>
          <w:color w:val="FFFFFF"/>
          <w:sz w:val="4"/>
          <w:szCs w:val="4"/>
          <w:rtl/>
        </w:rPr>
        <w:t>ב</w:t>
      </w:r>
    </w:p>
    <w:p w14:paraId="0AB93D16" w14:textId="77777777" w:rsidR="004E2605" w:rsidRDefault="004E2605">
      <w:pPr>
        <w:ind w:left="2160" w:right="540" w:hanging="720"/>
        <w:rPr>
          <w:rFonts w:hint="cs"/>
          <w:sz w:val="22"/>
          <w:szCs w:val="22"/>
          <w:rtl/>
        </w:rPr>
      </w:pPr>
      <w:r>
        <w:rPr>
          <w:rFonts w:hint="cs"/>
          <w:sz w:val="22"/>
          <w:szCs w:val="22"/>
          <w:rtl/>
        </w:rPr>
        <w:t>ת</w:t>
      </w:r>
      <w:r>
        <w:rPr>
          <w:rFonts w:hint="cs"/>
          <w:sz w:val="22"/>
          <w:szCs w:val="22"/>
          <w:rtl/>
        </w:rPr>
        <w:tab/>
        <w:t xml:space="preserve">(מחייך, צוחק) לא. </w:t>
      </w:r>
    </w:p>
    <w:p w14:paraId="7F693653" w14:textId="77777777" w:rsidR="004E2605" w:rsidRDefault="004E2605">
      <w:pPr>
        <w:ind w:left="2160" w:right="540" w:hanging="720"/>
        <w:rPr>
          <w:rFonts w:hint="cs"/>
          <w:sz w:val="26"/>
          <w:rtl/>
        </w:rPr>
      </w:pPr>
      <w:r>
        <w:rPr>
          <w:rFonts w:hint="cs"/>
          <w:sz w:val="22"/>
          <w:szCs w:val="22"/>
          <w:rtl/>
        </w:rPr>
        <w:tab/>
        <w:t>(</w:t>
      </w:r>
      <w:r>
        <w:rPr>
          <w:rFonts w:hint="cs"/>
          <w:sz w:val="26"/>
          <w:rtl/>
        </w:rPr>
        <w:t xml:space="preserve"> פרוטוקול, עמ' 32)</w:t>
      </w:r>
    </w:p>
    <w:p w14:paraId="02561D58" w14:textId="77777777" w:rsidR="004E2605" w:rsidRDefault="004E2605">
      <w:pPr>
        <w:ind w:right="540"/>
        <w:rPr>
          <w:rFonts w:hint="cs"/>
          <w:sz w:val="22"/>
          <w:szCs w:val="22"/>
          <w:rtl/>
        </w:rPr>
      </w:pPr>
    </w:p>
    <w:p w14:paraId="3CB070F1" w14:textId="77777777" w:rsidR="004E2605" w:rsidRDefault="004E2605">
      <w:pPr>
        <w:ind w:left="720"/>
        <w:rPr>
          <w:rFonts w:hint="cs"/>
          <w:sz w:val="26"/>
          <w:rtl/>
        </w:rPr>
      </w:pPr>
      <w:r>
        <w:rPr>
          <w:rFonts w:hint="cs"/>
          <w:sz w:val="26"/>
          <w:rtl/>
        </w:rPr>
        <w:t>לנכון לציין, כי מדובר במרכז העיר בערב יום העצמאות. הן עדי ההגנה והן המתלוננת עצמה הדגישו לא פעם, כי במקום עברו הרבה אנשים:</w:t>
      </w:r>
    </w:p>
    <w:p w14:paraId="57E99B54" w14:textId="77777777" w:rsidR="004E2605" w:rsidRDefault="004E2605">
      <w:pPr>
        <w:ind w:left="720"/>
        <w:rPr>
          <w:rFonts w:hint="cs"/>
          <w:sz w:val="26"/>
          <w:rtl/>
        </w:rPr>
      </w:pPr>
    </w:p>
    <w:p w14:paraId="37F8C4D3" w14:textId="77777777" w:rsidR="004E2605" w:rsidRDefault="004E2605">
      <w:pPr>
        <w:pStyle w:val="a4"/>
        <w:rPr>
          <w:rFonts w:hint="cs"/>
          <w:rtl/>
        </w:rPr>
      </w:pPr>
      <w:r>
        <w:rPr>
          <w:rFonts w:hint="cs"/>
          <w:rtl/>
        </w:rPr>
        <w:t xml:space="preserve">פליקס: " ...זה היה יום עצמאות, אחרי יום הזכרון, היו הרבה אנשים ואני מכיר חצי עיר". (פרוטוקול, עמ' 32). </w:t>
      </w:r>
    </w:p>
    <w:p w14:paraId="5DA3AE4A" w14:textId="77777777" w:rsidR="004E2605" w:rsidRDefault="004E2605">
      <w:pPr>
        <w:ind w:left="1440" w:right="360"/>
        <w:rPr>
          <w:rFonts w:hint="cs"/>
          <w:sz w:val="26"/>
          <w:rtl/>
        </w:rPr>
      </w:pPr>
    </w:p>
    <w:p w14:paraId="6B622C57" w14:textId="77777777" w:rsidR="004E2605" w:rsidRDefault="004E2605">
      <w:pPr>
        <w:pStyle w:val="a4"/>
        <w:rPr>
          <w:rFonts w:hint="cs"/>
          <w:rtl/>
        </w:rPr>
      </w:pPr>
      <w:r>
        <w:rPr>
          <w:rFonts w:hint="cs"/>
          <w:rtl/>
        </w:rPr>
        <w:t>אנה (לשאלה מי נוכח באירוע עצמו) : " אני, פליקס ויוסף, והיו מסביב המון אנשים, כי היה ערב חג..". (פרוטוקול, עמ' 10)</w:t>
      </w:r>
    </w:p>
    <w:p w14:paraId="304BEF2E" w14:textId="77777777" w:rsidR="004E2605" w:rsidRDefault="004E2605">
      <w:pPr>
        <w:ind w:left="1440" w:right="360"/>
        <w:rPr>
          <w:rFonts w:hint="cs"/>
          <w:sz w:val="26"/>
          <w:rtl/>
        </w:rPr>
      </w:pPr>
    </w:p>
    <w:p w14:paraId="6C238F00" w14:textId="77777777" w:rsidR="004E2605" w:rsidRDefault="004E2605">
      <w:pPr>
        <w:pStyle w:val="a4"/>
        <w:rPr>
          <w:rFonts w:hint="cs"/>
          <w:rtl/>
        </w:rPr>
      </w:pPr>
      <w:r>
        <w:rPr>
          <w:rFonts w:hint="cs"/>
          <w:rtl/>
        </w:rPr>
        <w:t>יוסף: " איך אפשר לעשות את זה במרכז ולהוריד מכנסיים, לא היה דבר כזה, זה גם לוקח זמן. יש שם הרבה אנשים, במקום יש תנועה של רכבים". ( פרוטוקול, עמ' 20)</w:t>
      </w:r>
    </w:p>
    <w:p w14:paraId="2B31E44B" w14:textId="77777777" w:rsidR="004E2605" w:rsidRDefault="004E2605">
      <w:pPr>
        <w:ind w:right="360"/>
        <w:rPr>
          <w:rFonts w:hint="cs"/>
          <w:sz w:val="26"/>
          <w:rtl/>
        </w:rPr>
      </w:pPr>
    </w:p>
    <w:p w14:paraId="340FDD4D" w14:textId="77777777" w:rsidR="004E2605" w:rsidRDefault="004E2605">
      <w:pPr>
        <w:pStyle w:val="BodyTextIndent2"/>
        <w:rPr>
          <w:rFonts w:hint="cs"/>
          <w:rtl/>
        </w:rPr>
      </w:pPr>
      <w:r>
        <w:rPr>
          <w:rFonts w:hint="cs"/>
          <w:rtl/>
        </w:rPr>
        <w:t>למתלוננת, כמו גם לתביעה, אין הסבר כלשהו מדוע לא נמצא אף עד ראייה מלבד המתלוננת, כאשר מדובר במקום הומה אדם ובאירוע יוצא דופן לכל הדעות.</w:t>
      </w:r>
      <w:r>
        <w:rPr>
          <w:color w:val="FFFFFF"/>
          <w:sz w:val="4"/>
          <w:szCs w:val="4"/>
          <w:rtl/>
        </w:rPr>
        <w:t>ו</w:t>
      </w:r>
    </w:p>
    <w:p w14:paraId="5FA99475" w14:textId="77777777" w:rsidR="004E2605" w:rsidRDefault="004E2605">
      <w:pPr>
        <w:ind w:right="360"/>
        <w:rPr>
          <w:rFonts w:hint="cs"/>
          <w:b/>
          <w:bCs/>
          <w:sz w:val="26"/>
          <w:rtl/>
        </w:rPr>
      </w:pPr>
    </w:p>
    <w:p w14:paraId="07B14345" w14:textId="77777777" w:rsidR="004E2605" w:rsidRDefault="004E2605">
      <w:pPr>
        <w:pStyle w:val="BodyTextIndent2"/>
        <w:rPr>
          <w:rFonts w:hint="cs"/>
          <w:rtl/>
        </w:rPr>
      </w:pPr>
      <w:r>
        <w:rPr>
          <w:rFonts w:hint="cs"/>
          <w:rtl/>
        </w:rPr>
        <w:t>תמיהה נוספת שעלתה במהלך עדותה של המתלוננת נגעה לעובדה, שהמתלוננת, שלטענתה הייתה ב"הלם מוחלט", ניגשה בסיום האירוע לחבר לשעבר, פליקס, ובקור רוח נתנה לו "נשיקת פרידה".  דומני, כי בסיטואציה כל כך טראומטית, כאשר אישה נחשפת למעשה משפיל ומבזה, ספק אם היא אמורה לחשוב על סיומת מרשימה ודרמטית כזו של מערכת היחסים שלה עם החבר.</w:t>
      </w:r>
      <w:r>
        <w:rPr>
          <w:color w:val="FFFFFF"/>
          <w:sz w:val="4"/>
          <w:szCs w:val="4"/>
          <w:rtl/>
        </w:rPr>
        <w:t>נ</w:t>
      </w:r>
    </w:p>
    <w:p w14:paraId="366E5DB9" w14:textId="77777777" w:rsidR="004E2605" w:rsidRDefault="004E2605">
      <w:pPr>
        <w:pStyle w:val="BodyTextIndent2"/>
        <w:rPr>
          <w:rFonts w:hint="cs"/>
          <w:rtl/>
        </w:rPr>
      </w:pPr>
    </w:p>
    <w:p w14:paraId="430E49C4" w14:textId="77777777" w:rsidR="004E2605" w:rsidRDefault="004E2605">
      <w:pPr>
        <w:ind w:left="720" w:hanging="720"/>
        <w:rPr>
          <w:rFonts w:hint="cs"/>
          <w:rtl/>
        </w:rPr>
      </w:pPr>
      <w:r>
        <w:rPr>
          <w:rFonts w:hint="cs"/>
          <w:rtl/>
        </w:rPr>
        <w:t>7.</w:t>
      </w:r>
      <w:r>
        <w:rPr>
          <w:rFonts w:hint="cs"/>
          <w:rtl/>
        </w:rPr>
        <w:tab/>
        <w:t xml:space="preserve">אינני נותן משקל מכריע לעובדה, ששעה שנחקר במשטרה, הרחיק עצמו הנאשם לגמרי מעצם המפגש עם המתלוננת. ההסבר שנתן, ולפיו נכנס ללחץ בשל רצונו למהר ולטפל באמו הסיעודית, הוא הסבר שנשמע סביר ואמין. </w:t>
      </w:r>
    </w:p>
    <w:p w14:paraId="1630A997" w14:textId="77777777" w:rsidR="004E2605" w:rsidRDefault="004E2605">
      <w:pPr>
        <w:ind w:left="720" w:hanging="720"/>
        <w:rPr>
          <w:rFonts w:hint="cs"/>
          <w:rtl/>
        </w:rPr>
      </w:pPr>
    </w:p>
    <w:p w14:paraId="63E6C0F9" w14:textId="77777777" w:rsidR="004E2605" w:rsidRDefault="004E2605">
      <w:pPr>
        <w:ind w:left="720" w:hanging="720"/>
        <w:rPr>
          <w:rFonts w:hint="cs"/>
          <w:rtl/>
        </w:rPr>
      </w:pPr>
      <w:r>
        <w:rPr>
          <w:rFonts w:hint="cs"/>
          <w:rtl/>
        </w:rPr>
        <w:t>8.</w:t>
      </w:r>
      <w:r>
        <w:rPr>
          <w:rFonts w:hint="cs"/>
          <w:rtl/>
        </w:rPr>
        <w:tab/>
        <w:t>ב</w:t>
      </w:r>
      <w:hyperlink r:id="rId15" w:history="1">
        <w:r w:rsidR="00F97070" w:rsidRPr="00F97070">
          <w:rPr>
            <w:rStyle w:val="Hyperlink"/>
            <w:rFonts w:hint="eastAsia"/>
            <w:rtl/>
          </w:rPr>
          <w:t>ע</w:t>
        </w:r>
        <w:r w:rsidR="00F97070" w:rsidRPr="00F97070">
          <w:rPr>
            <w:rStyle w:val="Hyperlink"/>
            <w:rtl/>
          </w:rPr>
          <w:t>"פ 10049/03</w:t>
        </w:r>
      </w:hyperlink>
      <w:r>
        <w:rPr>
          <w:rFonts w:hint="cs"/>
          <w:rtl/>
        </w:rPr>
        <w:t xml:space="preserve"> </w:t>
      </w:r>
      <w:r>
        <w:rPr>
          <w:rFonts w:hint="cs"/>
          <w:b/>
          <w:bCs/>
          <w:rtl/>
        </w:rPr>
        <w:t>פלוני נ' מדינת ישראל</w:t>
      </w:r>
      <w:r>
        <w:rPr>
          <w:rFonts w:hint="cs"/>
          <w:rtl/>
        </w:rPr>
        <w:t xml:space="preserve"> (מיום 17.5.04) נאמר, מפי כב' השופט א' לוי, כי: </w:t>
      </w:r>
    </w:p>
    <w:p w14:paraId="2685F65D" w14:textId="77777777" w:rsidR="004E2605" w:rsidRDefault="004E2605">
      <w:pPr>
        <w:ind w:left="720" w:hanging="720"/>
        <w:rPr>
          <w:rFonts w:hint="cs"/>
          <w:rtl/>
        </w:rPr>
      </w:pPr>
    </w:p>
    <w:p w14:paraId="7C490275" w14:textId="77777777" w:rsidR="004E2605" w:rsidRDefault="004E2605">
      <w:pPr>
        <w:pStyle w:val="a4"/>
        <w:ind w:left="1440"/>
        <w:rPr>
          <w:rFonts w:hint="cs"/>
          <w:bCs w:val="0"/>
          <w:rtl/>
        </w:rPr>
      </w:pPr>
      <w:r>
        <w:rPr>
          <w:rFonts w:hint="cs"/>
          <w:rtl/>
        </w:rPr>
        <w:t xml:space="preserve">”במצב זה, המעט שניתן לומר על הרשעת המערער הוא, שהואיל והיא מושתתת על עדות המתלוננת וללא חיזוק חיצוני של ממש, אסור לקיימה... עם זאת, וכדי להסיר ספק... אין כוונת דברים לומר, שהמתלוננת בדתה את המעשים המפלילים מלבה, אלא רק זאת, שעל פי הכללים הנקוטים בידינו בדיני העונשין, לא הוכחה אשמתו של המערער במידה הנדרשת" </w:t>
      </w:r>
      <w:r>
        <w:rPr>
          <w:rFonts w:hint="cs"/>
          <w:bCs w:val="0"/>
          <w:rtl/>
        </w:rPr>
        <w:t xml:space="preserve">(פיסקה 9). </w:t>
      </w:r>
    </w:p>
    <w:p w14:paraId="17F036F2" w14:textId="77777777" w:rsidR="004E2605" w:rsidRDefault="004E2605">
      <w:pPr>
        <w:pStyle w:val="a4"/>
        <w:ind w:left="1440"/>
        <w:rPr>
          <w:rFonts w:hint="cs"/>
          <w:rtl/>
        </w:rPr>
      </w:pPr>
    </w:p>
    <w:p w14:paraId="75789FE0" w14:textId="77777777" w:rsidR="004E2605" w:rsidRDefault="004E2605">
      <w:pPr>
        <w:rPr>
          <w:rtl/>
        </w:rPr>
      </w:pPr>
      <w:r>
        <w:rPr>
          <w:rFonts w:hint="cs"/>
          <w:rtl/>
        </w:rPr>
        <w:tab/>
        <w:t xml:space="preserve">כב' השופט ס' ג'ובראן הוסיף: </w:t>
      </w:r>
    </w:p>
    <w:p w14:paraId="2F9A5CE5" w14:textId="77777777" w:rsidR="004E2605" w:rsidRDefault="004E2605">
      <w:pPr>
        <w:rPr>
          <w:rFonts w:hint="cs"/>
          <w:rtl/>
        </w:rPr>
      </w:pPr>
    </w:p>
    <w:p w14:paraId="4FEA953B" w14:textId="77777777" w:rsidR="004E2605" w:rsidRDefault="004E2605">
      <w:pPr>
        <w:pStyle w:val="a4"/>
        <w:ind w:left="1440"/>
        <w:rPr>
          <w:rFonts w:hint="cs"/>
          <w:rtl/>
        </w:rPr>
      </w:pPr>
      <w:r>
        <w:rPr>
          <w:rFonts w:hint="cs"/>
          <w:rtl/>
        </w:rPr>
        <w:t xml:space="preserve">”כל התהיות אותן העליתי לא באו לומר, כי המתלוננת אינה דוברת אמת או כי חפותו של המערער 'זועקת' מן הראיות. אני ער לראיות התומכות בעדותה של המתלוננת. החללים והתהיות אותם העליתי, כל אחד מהם כשלעצמו לא היה מביא אותי למסקנת הזיכוי. עם זאת, כאשר מצטברים הם יחד, התוצאה היא, כי לא יהיה זה מעל לכל ספק סביר, באופן הנדרש במשפט פלילי, על מנת להרשיע את המערער. אילו בהליך אזרחי היינו עוסקים, היה מקום לדחות את הערעור ללא היסוס, אך המערער הצליח לכרסם במידת מה במשקל הראיות שהביאה המדינה לחובתו, ומשמעות הדבר, שקיים ספק סביר באשמתו, שיש בו כדי להצדיק את זיכויו". </w:t>
      </w:r>
    </w:p>
    <w:p w14:paraId="756BE2AE" w14:textId="77777777" w:rsidR="004E2605" w:rsidRDefault="004E2605">
      <w:pPr>
        <w:pStyle w:val="a4"/>
        <w:ind w:firstLine="306"/>
        <w:rPr>
          <w:rFonts w:hint="cs"/>
          <w:rtl/>
        </w:rPr>
      </w:pPr>
    </w:p>
    <w:p w14:paraId="46E41CC7" w14:textId="77777777" w:rsidR="004E2605" w:rsidRDefault="004E2605">
      <w:pPr>
        <w:rPr>
          <w:rtl/>
        </w:rPr>
      </w:pPr>
      <w:r>
        <w:rPr>
          <w:rFonts w:hint="cs"/>
          <w:rtl/>
        </w:rPr>
        <w:tab/>
        <w:t xml:space="preserve">וייראו הדברים כאילו נאמרו מפי כעת, בענייננו. </w:t>
      </w:r>
    </w:p>
    <w:p w14:paraId="3830E9F7" w14:textId="77777777" w:rsidR="004E2605" w:rsidRDefault="004E2605">
      <w:pPr>
        <w:rPr>
          <w:rFonts w:hint="cs"/>
          <w:rtl/>
        </w:rPr>
      </w:pPr>
    </w:p>
    <w:p w14:paraId="478C833E" w14:textId="77777777" w:rsidR="004E2605" w:rsidRDefault="004E2605">
      <w:pPr>
        <w:rPr>
          <w:rFonts w:hint="cs"/>
          <w:rtl/>
        </w:rPr>
      </w:pPr>
      <w:r>
        <w:rPr>
          <w:rFonts w:hint="cs"/>
          <w:rtl/>
        </w:rPr>
        <w:t>9.</w:t>
      </w:r>
      <w:r>
        <w:rPr>
          <w:rFonts w:hint="cs"/>
          <w:rtl/>
        </w:rPr>
        <w:tab/>
        <w:t xml:space="preserve">הנאשם זכאי, על כן, מחמת הספק. </w:t>
      </w:r>
    </w:p>
    <w:p w14:paraId="7493CB8B" w14:textId="77777777" w:rsidR="004E2605" w:rsidRDefault="004E2605">
      <w:pPr>
        <w:rPr>
          <w:rFonts w:hint="cs"/>
          <w:rtl/>
        </w:rPr>
      </w:pPr>
    </w:p>
    <w:p w14:paraId="64F49485" w14:textId="77777777" w:rsidR="004E2605" w:rsidRDefault="004E2605">
      <w:pPr>
        <w:rPr>
          <w:rFonts w:hint="cs"/>
          <w:rtl/>
        </w:rPr>
      </w:pPr>
      <w:r>
        <w:rPr>
          <w:rFonts w:hint="cs"/>
          <w:rtl/>
        </w:rPr>
        <w:tab/>
        <w:t xml:space="preserve">לאור תוצאה זו אינני מזמן את הצדדים לשימוע. </w:t>
      </w:r>
    </w:p>
    <w:p w14:paraId="15F2AA6E" w14:textId="77777777" w:rsidR="004E2605" w:rsidRDefault="004E2605">
      <w:pPr>
        <w:rPr>
          <w:rFonts w:hint="cs"/>
          <w:rtl/>
        </w:rPr>
      </w:pPr>
    </w:p>
    <w:p w14:paraId="1980F7F5" w14:textId="77777777" w:rsidR="004E2605" w:rsidRDefault="004E2605">
      <w:pPr>
        <w:rPr>
          <w:rFonts w:hint="cs"/>
          <w:b/>
          <w:bCs/>
          <w:rtl/>
        </w:rPr>
      </w:pPr>
      <w:r>
        <w:rPr>
          <w:rFonts w:hint="cs"/>
          <w:b/>
          <w:bCs/>
          <w:rtl/>
        </w:rPr>
        <w:t xml:space="preserve">ניתנה היום כ"ו בתשרי, תשס"ה (11 באוקטובר 2004) בהעדר הצדדים. </w:t>
      </w:r>
    </w:p>
    <w:p w14:paraId="03B53C1D" w14:textId="77777777" w:rsidR="004E2605" w:rsidRDefault="004E2605">
      <w:pPr>
        <w:rPr>
          <w:rFonts w:hint="cs"/>
          <w:b/>
          <w:bCs/>
          <w:rtl/>
        </w:rPr>
      </w:pPr>
      <w:r>
        <w:rPr>
          <w:rFonts w:hint="cs"/>
          <w:b/>
          <w:bCs/>
          <w:rtl/>
        </w:rPr>
        <w:t>המזכירות תשלח עותק לתביעה, לסניגור ולנאשם, בדואר רשום.</w:t>
      </w:r>
      <w:r>
        <w:rPr>
          <w:b/>
          <w:bCs/>
          <w:color w:val="FFFFFF"/>
          <w:sz w:val="4"/>
          <w:szCs w:val="4"/>
          <w:rtl/>
        </w:rPr>
        <w:t>ב</w:t>
      </w:r>
    </w:p>
    <w:p w14:paraId="5ACFCA4C" w14:textId="77777777" w:rsidR="004E2605" w:rsidRDefault="004E2605">
      <w:pPr>
        <w:rPr>
          <w:rFonts w:hint="cs"/>
          <w:b/>
          <w:bCs/>
          <w:rtl/>
        </w:rPr>
      </w:pPr>
      <w:r>
        <w:rPr>
          <w:rFonts w:hint="cs"/>
          <w:b/>
          <w:bCs/>
          <w:rtl/>
        </w:rPr>
        <w:t>מותר לפרסום מהיום 11.10.04.</w:t>
      </w:r>
      <w:r>
        <w:rPr>
          <w:b/>
          <w:bCs/>
          <w:color w:val="FFFFFF"/>
          <w:sz w:val="4"/>
          <w:szCs w:val="4"/>
          <w:rtl/>
        </w:rPr>
        <w:t>ו</w:t>
      </w:r>
    </w:p>
    <w:p w14:paraId="7090B46D" w14:textId="77777777" w:rsidR="004E2605" w:rsidRDefault="004E2605">
      <w:pPr>
        <w:rPr>
          <w:rFonts w:hint="cs"/>
          <w:b/>
          <w:bCs/>
          <w:color w:val="000080"/>
          <w:rtl/>
        </w:rPr>
      </w:pPr>
    </w:p>
    <w:tbl>
      <w:tblPr>
        <w:tblW w:w="0" w:type="auto"/>
        <w:tblInd w:w="6294" w:type="dxa"/>
        <w:tblBorders>
          <w:top w:val="single" w:sz="4" w:space="0" w:color="auto"/>
        </w:tblBorders>
        <w:tblLook w:val="0000" w:firstRow="0" w:lastRow="0" w:firstColumn="0" w:lastColumn="0" w:noHBand="0" w:noVBand="0"/>
      </w:tblPr>
      <w:tblGrid>
        <w:gridCol w:w="2235"/>
      </w:tblGrid>
      <w:tr w:rsidR="004E2605" w14:paraId="70D8A96F" w14:textId="77777777">
        <w:tc>
          <w:tcPr>
            <w:tcW w:w="2235" w:type="dxa"/>
            <w:tcBorders>
              <w:top w:val="single" w:sz="4" w:space="0" w:color="auto"/>
              <w:left w:val="nil"/>
              <w:bottom w:val="nil"/>
              <w:right w:val="nil"/>
            </w:tcBorders>
          </w:tcPr>
          <w:p w14:paraId="7A66AC3C" w14:textId="77777777" w:rsidR="004E2605" w:rsidRDefault="004E2605">
            <w:pPr>
              <w:rPr>
                <w:b/>
                <w:bCs/>
              </w:rPr>
            </w:pPr>
            <w:r>
              <w:rPr>
                <w:rFonts w:hint="cs"/>
                <w:b/>
                <w:bCs/>
                <w:rtl/>
              </w:rPr>
              <w:t xml:space="preserve">   אבי זמיר, שופט</w:t>
            </w:r>
          </w:p>
          <w:p w14:paraId="4FEA76B4" w14:textId="77777777" w:rsidR="004E2605" w:rsidRDefault="004E2605">
            <w:pPr>
              <w:rPr>
                <w:b/>
                <w:bCs/>
              </w:rPr>
            </w:pPr>
            <w:r>
              <w:rPr>
                <w:rFonts w:hint="cs"/>
                <w:b/>
                <w:bCs/>
                <w:rtl/>
              </w:rPr>
              <w:t xml:space="preserve">        סגן נשיא</w:t>
            </w:r>
          </w:p>
        </w:tc>
      </w:tr>
    </w:tbl>
    <w:p w14:paraId="42E9038E" w14:textId="77777777" w:rsidR="004E2605" w:rsidRDefault="004E2605">
      <w:pPr>
        <w:rPr>
          <w:rFonts w:hint="cs"/>
          <w:rtl/>
        </w:rPr>
      </w:pPr>
    </w:p>
    <w:p w14:paraId="003A3EB9" w14:textId="77777777" w:rsidR="004E2605" w:rsidRDefault="004E2605">
      <w:pPr>
        <w:rPr>
          <w:rtl/>
        </w:rPr>
      </w:pPr>
    </w:p>
    <w:p w14:paraId="5584F468" w14:textId="77777777" w:rsidR="004E2605" w:rsidRDefault="004E2605">
      <w:pPr>
        <w:rPr>
          <w:rFonts w:hint="cs"/>
          <w:rtl/>
        </w:rPr>
      </w:pPr>
      <w:r>
        <w:rPr>
          <w:rFonts w:hint="cs"/>
          <w:rtl/>
        </w:rPr>
        <w:t>000792/03פ  140</w:t>
      </w:r>
    </w:p>
    <w:p w14:paraId="68A11245" w14:textId="77777777" w:rsidR="004E2605" w:rsidRDefault="004E2605">
      <w:pPr>
        <w:rPr>
          <w:rtl/>
        </w:rPr>
      </w:pPr>
      <w:r>
        <w:rPr>
          <w:rtl/>
        </w:rPr>
        <w:t>נוסח מסמך זה כפוף לשינויי ניסוח ועריכה</w:t>
      </w:r>
    </w:p>
    <w:sectPr w:rsidR="004E2605">
      <w:headerReference w:type="even" r:id="rId16"/>
      <w:headerReference w:type="default" r:id="rId17"/>
      <w:footerReference w:type="even" r:id="rId18"/>
      <w:footerReference w:type="defaul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B5BD" w14:textId="77777777" w:rsidR="00EF76F7" w:rsidRDefault="00EF76F7">
      <w:r>
        <w:separator/>
      </w:r>
    </w:p>
  </w:endnote>
  <w:endnote w:type="continuationSeparator" w:id="0">
    <w:p w14:paraId="732ACF7C" w14:textId="77777777" w:rsidR="00EF76F7" w:rsidRDefault="00EF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4C92" w14:textId="77777777" w:rsidR="00997215" w:rsidRDefault="0099721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C9761D1" w14:textId="77777777" w:rsidR="00997215" w:rsidRDefault="0099721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907488" w14:textId="77777777" w:rsidR="00997215" w:rsidRDefault="0099721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7070">
      <w:rPr>
        <w:rFonts w:cs="TopType Jerushalmi"/>
        <w:noProof/>
        <w:color w:val="000000"/>
        <w:sz w:val="14"/>
        <w:szCs w:val="14"/>
      </w:rPr>
      <w:t>Z:\00000000000000000000000000000000000-2016---------------\HAKIKA-KIDUD-2016\2004\shalom\word\outdoc-nohyper\03\OutDoc-Makor\s03000792-607.doc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7399" w14:textId="77777777" w:rsidR="00997215" w:rsidRDefault="0099721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D6744">
      <w:rPr>
        <w:rFonts w:hAnsi="FrankRuehl" w:cs="FrankRuehl"/>
        <w:noProof/>
        <w:sz w:val="24"/>
        <w:rtl/>
      </w:rPr>
      <w:t>1</w:t>
    </w:r>
    <w:r>
      <w:rPr>
        <w:rFonts w:hAnsi="FrankRuehl" w:cs="FrankRuehl"/>
        <w:sz w:val="24"/>
        <w:rtl/>
      </w:rPr>
      <w:fldChar w:fldCharType="end"/>
    </w:r>
  </w:p>
  <w:p w14:paraId="58319769" w14:textId="77777777" w:rsidR="00997215" w:rsidRDefault="0099721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8A8764" w14:textId="77777777" w:rsidR="00997215" w:rsidRDefault="0099721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7070">
      <w:rPr>
        <w:rFonts w:cs="TopType Jerushalmi"/>
        <w:noProof/>
        <w:color w:val="000000"/>
        <w:sz w:val="14"/>
        <w:szCs w:val="14"/>
      </w:rPr>
      <w:t>Z:\00000000000000000000000000000000000-2016---------------\HAKIKA-KIDUD-2016\2004\shalom\word\outdoc-nohyper\03\OutDoc-Makor\s03000792-607.doc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DD27" w14:textId="77777777" w:rsidR="00EF76F7" w:rsidRDefault="00EF76F7">
      <w:r>
        <w:separator/>
      </w:r>
    </w:p>
  </w:footnote>
  <w:footnote w:type="continuationSeparator" w:id="0">
    <w:p w14:paraId="52259D10" w14:textId="77777777" w:rsidR="00EF76F7" w:rsidRDefault="00EF7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4A04" w14:textId="77777777" w:rsidR="00997215" w:rsidRDefault="0099721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(ק"ג) 792/03</w:t>
    </w:r>
    <w:r>
      <w:rPr>
        <w:rFonts w:hAnsi="David"/>
        <w:color w:val="000000"/>
        <w:sz w:val="22"/>
        <w:szCs w:val="22"/>
        <w:rtl/>
      </w:rPr>
      <w:tab/>
      <w:t xml:space="preserve"> מדינת ישראל נ' קדזילשוילי יוסף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79B1" w14:textId="77777777" w:rsidR="00997215" w:rsidRDefault="0099721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(ק"ג) 792/03</w:t>
    </w:r>
    <w:r>
      <w:rPr>
        <w:rFonts w:hAnsi="David"/>
        <w:color w:val="000000"/>
        <w:sz w:val="22"/>
        <w:szCs w:val="22"/>
        <w:rtl/>
      </w:rPr>
      <w:tab/>
      <w:t xml:space="preserve"> מדינת ישראל נ' קדזילשוילי יוסף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956DC"/>
    <w:multiLevelType w:val="hybridMultilevel"/>
    <w:tmpl w:val="F384D158"/>
    <w:lvl w:ilvl="0" w:tplc="B7BA07E0">
      <w:start w:val="1"/>
      <w:numFmt w:val="bullet"/>
      <w:pStyle w:val="a"/>
      <w:lvlText w:val="ת"/>
      <w:lvlJc w:val="left"/>
      <w:pPr>
        <w:tabs>
          <w:tab w:val="num" w:pos="737"/>
        </w:tabs>
        <w:ind w:left="737" w:right="737" w:hanging="737"/>
      </w:pPr>
      <w:rPr>
        <w:rFonts w:hAnsi="Arial"/>
        <w:bCs w:val="0"/>
        <w:iCs w:val="0"/>
        <w:szCs w:val="24"/>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1" w15:restartNumberingAfterBreak="0">
    <w:nsid w:val="546617E6"/>
    <w:multiLevelType w:val="hybridMultilevel"/>
    <w:tmpl w:val="00B219C4"/>
    <w:lvl w:ilvl="0" w:tplc="7DDE45AE">
      <w:start w:val="1"/>
      <w:numFmt w:val="bullet"/>
      <w:pStyle w:val="a0"/>
      <w:lvlText w:val="ש"/>
      <w:lvlJc w:val="left"/>
      <w:pPr>
        <w:tabs>
          <w:tab w:val="num" w:pos="737"/>
        </w:tabs>
        <w:ind w:left="737" w:right="737" w:hanging="737"/>
      </w:pPr>
      <w:rPr>
        <w:bCs/>
        <w:iCs w:val="0"/>
        <w:szCs w:val="22"/>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16cid:durableId="334383214">
    <w:abstractNumId w:val="1"/>
  </w:num>
  <w:num w:numId="2" w16cid:durableId="159320500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0928652">
    <w:abstractNumId w:val="0"/>
  </w:num>
  <w:num w:numId="4" w16cid:durableId="171515880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4E2605"/>
    <w:rsid w:val="001D6744"/>
    <w:rsid w:val="00343769"/>
    <w:rsid w:val="004E2605"/>
    <w:rsid w:val="00997215"/>
    <w:rsid w:val="00AE3552"/>
    <w:rsid w:val="00BD4EC8"/>
    <w:rsid w:val="00EF76F7"/>
    <w:rsid w:val="00F970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E347FA"/>
  <w15:chartTrackingRefBased/>
  <w15:docId w15:val="{03BFF070-B8C0-464D-8E9A-E3959611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Cs/>
      <w:sz w:val="24"/>
      <w:szCs w:val="28"/>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sz w:val="24"/>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2160" w:hanging="720"/>
    </w:pPr>
    <w:rPr>
      <w:b/>
      <w:bCs/>
      <w:sz w:val="22"/>
      <w:szCs w:val="22"/>
    </w:rPr>
  </w:style>
  <w:style w:type="paragraph" w:styleId="BodyTextIndent2">
    <w:name w:val="Body Text Indent 2"/>
    <w:basedOn w:val="Normal"/>
    <w:pPr>
      <w:ind w:left="720"/>
    </w:pPr>
    <w:rPr>
      <w:sz w:val="26"/>
    </w:rPr>
  </w:style>
  <w:style w:type="paragraph" w:customStyle="1" w:styleId="1">
    <w:name w:val="רגיל1"/>
    <w:pPr>
      <w:bidi/>
      <w:snapToGrid w:val="0"/>
    </w:pPr>
    <w:rPr>
      <w:rFonts w:cs="David"/>
      <w:szCs w:val="24"/>
      <w:lang w:eastAsia="he-IL"/>
    </w:rPr>
  </w:style>
  <w:style w:type="paragraph" w:customStyle="1" w:styleId="a1">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2">
    <w:name w:val="החלטה"/>
    <w:basedOn w:val="1"/>
    <w:pPr>
      <w:suppressLineNumbers/>
    </w:pPr>
    <w:rPr>
      <w:bCs/>
    </w:rPr>
  </w:style>
  <w:style w:type="paragraph" w:customStyle="1" w:styleId="a3">
    <w:name w:val="חקירה"/>
    <w:basedOn w:val="1"/>
    <w:pPr>
      <w:suppressLineNumbers/>
    </w:pPr>
  </w:style>
  <w:style w:type="paragraph" w:customStyle="1" w:styleId="11">
    <w:name w:val="סגנון1"/>
    <w:basedOn w:val="Normal"/>
    <w:rPr>
      <w:bCs/>
    </w:rPr>
  </w:style>
  <w:style w:type="paragraph" w:customStyle="1" w:styleId="a">
    <w:name w:val="תשובה"/>
    <w:basedOn w:val="Normal"/>
    <w:next w:val="a0"/>
    <w:pPr>
      <w:numPr>
        <w:numId w:val="4"/>
      </w:numPr>
      <w:ind w:right="0"/>
    </w:pPr>
  </w:style>
  <w:style w:type="paragraph" w:customStyle="1" w:styleId="a0">
    <w:name w:val="שאלה"/>
    <w:basedOn w:val="11"/>
    <w:next w:val="a"/>
    <w:pPr>
      <w:numPr>
        <w:numId w:val="2"/>
      </w:numPr>
      <w:ind w:right="0"/>
    </w:pPr>
    <w:rPr>
      <w:szCs w:val="22"/>
    </w:rPr>
  </w:style>
  <w:style w:type="paragraph" w:customStyle="1" w:styleId="a4">
    <w:name w:val="צטוט"/>
    <w:basedOn w:val="Normal"/>
    <w:pPr>
      <w:spacing w:line="240" w:lineRule="auto"/>
      <w:ind w:left="1134" w:right="1134"/>
    </w:pPr>
    <w:rPr>
      <w:bCs/>
      <w:szCs w:val="22"/>
    </w:rPr>
  </w:style>
  <w:style w:type="character" w:styleId="PageNumber">
    <w:name w:val="page number"/>
    <w:rPr>
      <w:rFonts w:cs="David"/>
    </w:rPr>
  </w:style>
  <w:style w:type="character" w:styleId="Hyperlink">
    <w:name w:val="Hyperlink"/>
    <w:rsid w:val="00F97070"/>
    <w:rPr>
      <w:color w:val="0000FF"/>
      <w:u w:val="single"/>
    </w:rPr>
  </w:style>
  <w:style w:type="character" w:customStyle="1" w:styleId="a5">
    <w:name w:val="הזכר"/>
    <w:uiPriority w:val="99"/>
    <w:semiHidden/>
    <w:unhideWhenUsed/>
    <w:rsid w:val="00BD4EC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yperlink" Target="http://www.nevo.co.il/case/17931797"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case/17914394"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7938169" TargetMode="External"/><Relationship Id="rId5" Type="http://schemas.openxmlformats.org/officeDocument/2006/relationships/footnotes" Target="footnotes.xml"/><Relationship Id="rId15" Type="http://schemas.openxmlformats.org/officeDocument/2006/relationships/hyperlink" Target="http://www.nevo.co.il/case/6241043"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9.a" TargetMode="External"/><Relationship Id="rId14" Type="http://schemas.openxmlformats.org/officeDocument/2006/relationships/hyperlink" Target="http://www.nevo.co.il/case/17942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1037</Words>
  <Characters>5913</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6937</CharactersWithSpaces>
  <SharedDoc>false</SharedDoc>
  <HLinks>
    <vt:vector size="54" baseType="variant">
      <vt:variant>
        <vt:i4>3211379</vt:i4>
      </vt:variant>
      <vt:variant>
        <vt:i4>24</vt:i4>
      </vt:variant>
      <vt:variant>
        <vt:i4>0</vt:i4>
      </vt:variant>
      <vt:variant>
        <vt:i4>5</vt:i4>
      </vt:variant>
      <vt:variant>
        <vt:lpwstr>http://www.nevo.co.il/case/6241043</vt:lpwstr>
      </vt:variant>
      <vt:variant>
        <vt:lpwstr/>
      </vt:variant>
      <vt:variant>
        <vt:i4>4063350</vt:i4>
      </vt:variant>
      <vt:variant>
        <vt:i4>21</vt:i4>
      </vt:variant>
      <vt:variant>
        <vt:i4>0</vt:i4>
      </vt:variant>
      <vt:variant>
        <vt:i4>5</vt:i4>
      </vt:variant>
      <vt:variant>
        <vt:lpwstr>http://www.nevo.co.il/case/17942148</vt:lpwstr>
      </vt:variant>
      <vt:variant>
        <vt:lpwstr/>
      </vt:variant>
      <vt:variant>
        <vt:i4>3145847</vt:i4>
      </vt:variant>
      <vt:variant>
        <vt:i4>18</vt:i4>
      </vt:variant>
      <vt:variant>
        <vt:i4>0</vt:i4>
      </vt:variant>
      <vt:variant>
        <vt:i4>5</vt:i4>
      </vt:variant>
      <vt:variant>
        <vt:lpwstr>http://www.nevo.co.il/case/17931797</vt:lpwstr>
      </vt:variant>
      <vt:variant>
        <vt:lpwstr/>
      </vt:variant>
      <vt:variant>
        <vt:i4>3473521</vt:i4>
      </vt:variant>
      <vt:variant>
        <vt:i4>15</vt:i4>
      </vt:variant>
      <vt:variant>
        <vt:i4>0</vt:i4>
      </vt:variant>
      <vt:variant>
        <vt:i4>5</vt:i4>
      </vt:variant>
      <vt:variant>
        <vt:lpwstr>http://www.nevo.co.il/case/17914394</vt:lpwstr>
      </vt:variant>
      <vt:variant>
        <vt:lpwstr/>
      </vt:variant>
      <vt:variant>
        <vt:i4>3539057</vt:i4>
      </vt:variant>
      <vt:variant>
        <vt:i4>12</vt:i4>
      </vt:variant>
      <vt:variant>
        <vt:i4>0</vt:i4>
      </vt:variant>
      <vt:variant>
        <vt:i4>5</vt:i4>
      </vt:variant>
      <vt:variant>
        <vt:lpwstr>http://www.nevo.co.il/case/17938169</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792</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קדזילשוילי יוסף </vt:lpwstr>
  </property>
  <property fmtid="{D5CDD505-2E9C-101B-9397-08002B2CF9AE}" pid="9" name="LAWYER">
    <vt:lpwstr>עדנה טנא;רמי דיין</vt:lpwstr>
  </property>
  <property fmtid="{D5CDD505-2E9C-101B-9397-08002B2CF9AE}" pid="10" name="JUDGE">
    <vt:lpwstr>אבי זמיר</vt:lpwstr>
  </property>
  <property fmtid="{D5CDD505-2E9C-101B-9397-08002B2CF9AE}" pid="11" name="CITY">
    <vt:lpwstr>ק"ג</vt:lpwstr>
  </property>
  <property fmtid="{D5CDD505-2E9C-101B-9397-08002B2CF9AE}" pid="12" name="DATE">
    <vt:lpwstr>20041011</vt:lpwstr>
  </property>
  <property fmtid="{D5CDD505-2E9C-101B-9397-08002B2CF9AE}" pid="13" name="WORDNUMPAGES">
    <vt:lpwstr>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17938169;17914394;17931797;17942148;6241043</vt:lpwstr>
  </property>
  <property fmtid="{D5CDD505-2E9C-101B-9397-08002B2CF9AE}" pid="32" name="LAWLISTTMP1">
    <vt:lpwstr>70301/349.a</vt:lpwstr>
  </property>
</Properties>
</file>