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23B9" w14:textId="77777777" w:rsidR="00352BA2" w:rsidRDefault="00352BA2">
      <w:pPr>
        <w:jc w:val="center"/>
        <w:rPr>
          <w:rFonts w:ascii="Guttman Calligraphic" w:hAnsi="Guttman Calligraphic"/>
          <w:rtl/>
        </w:rPr>
      </w:pPr>
      <w:bookmarkStart w:id="0" w:name="LastJudge"/>
      <w:r>
        <w:rPr>
          <w:rFonts w:hint="cs"/>
          <w:b/>
          <w:bCs/>
          <w:sz w:val="24"/>
          <w:rtl/>
        </w:rPr>
        <w:t>בתי המשפט</w:t>
      </w:r>
      <w:r>
        <w:rPr>
          <w:rFonts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352BA2" w14:paraId="6B963679"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FEB7C8D" w14:textId="77777777" w:rsidR="00352BA2" w:rsidRDefault="00352BA2">
            <w:pPr>
              <w:rPr>
                <w:b/>
                <w:bCs/>
                <w:sz w:val="32"/>
                <w:szCs w:val="32"/>
              </w:rPr>
            </w:pPr>
            <w:r>
              <w:rPr>
                <w:rFonts w:hint="cs"/>
                <w:b/>
                <w:bCs/>
                <w:sz w:val="32"/>
                <w:szCs w:val="32"/>
                <w:rtl/>
              </w:rPr>
              <w:t>בית משפט השלום חדרה</w:t>
            </w:r>
          </w:p>
        </w:tc>
        <w:tc>
          <w:tcPr>
            <w:tcW w:w="2915" w:type="dxa"/>
            <w:gridSpan w:val="2"/>
            <w:tcBorders>
              <w:top w:val="single" w:sz="4" w:space="0" w:color="auto"/>
              <w:left w:val="single" w:sz="4" w:space="0" w:color="auto"/>
              <w:bottom w:val="single" w:sz="4" w:space="0" w:color="auto"/>
              <w:right w:val="single" w:sz="4" w:space="0" w:color="auto"/>
            </w:tcBorders>
          </w:tcPr>
          <w:p w14:paraId="2815E8F1" w14:textId="77777777" w:rsidR="00352BA2" w:rsidRDefault="00352BA2">
            <w:pPr>
              <w:rPr>
                <w:b/>
                <w:bCs/>
                <w:sz w:val="26"/>
                <w:szCs w:val="26"/>
              </w:rPr>
            </w:pPr>
            <w:r>
              <w:rPr>
                <w:rFonts w:hint="cs"/>
                <w:b/>
                <w:bCs/>
                <w:sz w:val="26"/>
                <w:szCs w:val="26"/>
                <w:rtl/>
              </w:rPr>
              <w:t>פ  001195/03</w:t>
            </w:r>
          </w:p>
        </w:tc>
      </w:tr>
      <w:tr w:rsidR="00352BA2" w14:paraId="3898305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CB4A063" w14:textId="77777777" w:rsidR="00352BA2" w:rsidRDefault="00352BA2">
            <w:pPr>
              <w:bidi w:val="0"/>
              <w:spacing w:line="240" w:lineRule="auto"/>
              <w:jc w:val="left"/>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3879ED7A" w14:textId="77777777" w:rsidR="00352BA2" w:rsidRDefault="00352BA2">
            <w:pPr>
              <w:rPr>
                <w:b/>
                <w:bCs/>
                <w:szCs w:val="22"/>
              </w:rPr>
            </w:pPr>
          </w:p>
        </w:tc>
      </w:tr>
      <w:tr w:rsidR="00352BA2" w14:paraId="7315336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1847831" w14:textId="77777777" w:rsidR="00352BA2" w:rsidRDefault="00352BA2">
            <w:pPr>
              <w:rPr>
                <w:b/>
                <w:bCs/>
                <w:sz w:val="24"/>
              </w:rPr>
            </w:pPr>
            <w:r>
              <w:rPr>
                <w:rFonts w:hint="cs"/>
                <w:b/>
                <w:bCs/>
                <w:sz w:val="24"/>
                <w:rtl/>
              </w:rPr>
              <w:t>בפני:</w:t>
            </w:r>
          </w:p>
        </w:tc>
        <w:tc>
          <w:tcPr>
            <w:tcW w:w="4706" w:type="dxa"/>
            <w:tcBorders>
              <w:top w:val="single" w:sz="4" w:space="0" w:color="auto"/>
              <w:left w:val="single" w:sz="4" w:space="0" w:color="auto"/>
              <w:bottom w:val="single" w:sz="4" w:space="0" w:color="auto"/>
              <w:right w:val="single" w:sz="4" w:space="0" w:color="auto"/>
            </w:tcBorders>
          </w:tcPr>
          <w:p w14:paraId="1203B4D0" w14:textId="77777777" w:rsidR="00352BA2" w:rsidRDefault="00352BA2">
            <w:pPr>
              <w:rPr>
                <w:b/>
                <w:bCs/>
                <w:sz w:val="28"/>
                <w:szCs w:val="28"/>
              </w:rPr>
            </w:pPr>
            <w:r>
              <w:rPr>
                <w:rFonts w:hint="cs"/>
                <w:b/>
                <w:bCs/>
                <w:sz w:val="28"/>
                <w:szCs w:val="28"/>
                <w:rtl/>
              </w:rPr>
              <w:t>השופט אהוד קפלן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33C4E34" w14:textId="77777777" w:rsidR="00352BA2" w:rsidRDefault="00352BA2">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2B90F509" w14:textId="77777777" w:rsidR="00352BA2" w:rsidRDefault="00352BA2">
            <w:pPr>
              <w:rPr>
                <w:b/>
                <w:bCs/>
                <w:sz w:val="24"/>
              </w:rPr>
            </w:pPr>
            <w:r>
              <w:rPr>
                <w:rFonts w:hint="cs"/>
                <w:b/>
                <w:bCs/>
                <w:sz w:val="24"/>
                <w:rtl/>
              </w:rPr>
              <w:t>09/10/2005</w:t>
            </w:r>
          </w:p>
        </w:tc>
      </w:tr>
    </w:tbl>
    <w:p w14:paraId="0F630903" w14:textId="77777777" w:rsidR="00352BA2" w:rsidRDefault="00352BA2">
      <w:pPr>
        <w:rPr>
          <w:rFonts w:hint="cs"/>
          <w:rtl/>
        </w:rPr>
      </w:pPr>
    </w:p>
    <w:tbl>
      <w:tblPr>
        <w:bidiVisual/>
        <w:tblW w:w="8647" w:type="dxa"/>
        <w:tblCellMar>
          <w:left w:w="107" w:type="dxa"/>
          <w:right w:w="107" w:type="dxa"/>
        </w:tblCellMar>
        <w:tblLook w:val="0000" w:firstRow="0" w:lastRow="0" w:firstColumn="0" w:lastColumn="0" w:noHBand="0" w:noVBand="0"/>
      </w:tblPr>
      <w:tblGrid>
        <w:gridCol w:w="56"/>
        <w:gridCol w:w="1276"/>
        <w:gridCol w:w="86"/>
        <w:gridCol w:w="1757"/>
        <w:gridCol w:w="3063"/>
        <w:gridCol w:w="2324"/>
        <w:gridCol w:w="85"/>
      </w:tblGrid>
      <w:tr w:rsidR="00352BA2" w14:paraId="78FDB8F8" w14:textId="77777777">
        <w:trPr>
          <w:gridBefore w:val="1"/>
          <w:wBefore w:w="56" w:type="dxa"/>
        </w:trPr>
        <w:tc>
          <w:tcPr>
            <w:tcW w:w="1362" w:type="dxa"/>
            <w:gridSpan w:val="2"/>
          </w:tcPr>
          <w:p w14:paraId="655D69EA" w14:textId="77777777" w:rsidR="00352BA2" w:rsidRDefault="00352BA2">
            <w:pPr>
              <w:rPr>
                <w:szCs w:val="26"/>
              </w:rPr>
            </w:pPr>
            <w:bookmarkStart w:id="1" w:name="FirstAppellant"/>
            <w:r>
              <w:rPr>
                <w:rFonts w:hint="cs"/>
                <w:rtl/>
              </w:rPr>
              <w:t>בעניין:</w:t>
            </w:r>
          </w:p>
        </w:tc>
        <w:tc>
          <w:tcPr>
            <w:tcW w:w="4820" w:type="dxa"/>
            <w:gridSpan w:val="2"/>
          </w:tcPr>
          <w:p w14:paraId="4BB52E31" w14:textId="77777777" w:rsidR="00352BA2" w:rsidRDefault="00352BA2">
            <w:pPr>
              <w:rPr>
                <w:b/>
                <w:bCs/>
              </w:rPr>
            </w:pPr>
            <w:r>
              <w:rPr>
                <w:rFonts w:hint="cs"/>
                <w:b/>
                <w:bCs/>
                <w:rtl/>
              </w:rPr>
              <w:t xml:space="preserve">מדינת ישראל - תביעות חדרה </w:t>
            </w:r>
            <w:bookmarkStart w:id="2" w:name="שם_א"/>
            <w:bookmarkEnd w:id="2"/>
          </w:p>
        </w:tc>
        <w:tc>
          <w:tcPr>
            <w:tcW w:w="2409" w:type="dxa"/>
            <w:gridSpan w:val="2"/>
          </w:tcPr>
          <w:p w14:paraId="00B9F522" w14:textId="77777777" w:rsidR="00352BA2" w:rsidRDefault="00352BA2">
            <w:pPr>
              <w:rPr>
                <w:b/>
                <w:bCs/>
              </w:rPr>
            </w:pPr>
          </w:p>
        </w:tc>
      </w:tr>
      <w:bookmarkEnd w:id="1"/>
      <w:tr w:rsidR="00352BA2" w14:paraId="5C2F927E" w14:textId="77777777">
        <w:trPr>
          <w:gridBefore w:val="1"/>
          <w:wBefore w:w="56" w:type="dxa"/>
        </w:trPr>
        <w:tc>
          <w:tcPr>
            <w:tcW w:w="1362" w:type="dxa"/>
            <w:gridSpan w:val="2"/>
          </w:tcPr>
          <w:p w14:paraId="38ADF4F6" w14:textId="77777777" w:rsidR="00352BA2" w:rsidRDefault="00352BA2">
            <w:pPr>
              <w:rPr>
                <w:b/>
                <w:bCs/>
                <w:szCs w:val="26"/>
              </w:rPr>
            </w:pPr>
          </w:p>
        </w:tc>
        <w:tc>
          <w:tcPr>
            <w:tcW w:w="1757" w:type="dxa"/>
          </w:tcPr>
          <w:p w14:paraId="049B51EB" w14:textId="77777777" w:rsidR="00352BA2" w:rsidRDefault="00352BA2">
            <w:pPr>
              <w:pStyle w:val="Heading3"/>
            </w:pPr>
          </w:p>
        </w:tc>
        <w:tc>
          <w:tcPr>
            <w:tcW w:w="3063" w:type="dxa"/>
          </w:tcPr>
          <w:p w14:paraId="55A261F6" w14:textId="77777777" w:rsidR="00352BA2" w:rsidRDefault="00352BA2">
            <w:pPr>
              <w:rPr>
                <w:b/>
                <w:bCs/>
              </w:rPr>
            </w:pPr>
          </w:p>
        </w:tc>
        <w:tc>
          <w:tcPr>
            <w:tcW w:w="2409" w:type="dxa"/>
            <w:gridSpan w:val="2"/>
          </w:tcPr>
          <w:p w14:paraId="5195000B" w14:textId="77777777" w:rsidR="00352BA2" w:rsidRDefault="00352BA2">
            <w:pPr>
              <w:pStyle w:val="Heading5"/>
              <w:rPr>
                <w:u w:val="none"/>
              </w:rPr>
            </w:pPr>
            <w:r>
              <w:rPr>
                <w:rFonts w:hint="cs"/>
                <w:u w:val="none"/>
                <w:rtl/>
              </w:rPr>
              <w:t>המאשימה</w:t>
            </w:r>
          </w:p>
        </w:tc>
      </w:tr>
      <w:tr w:rsidR="00352BA2" w14:paraId="67BC4149" w14:textId="77777777">
        <w:trPr>
          <w:gridBefore w:val="1"/>
          <w:wBefore w:w="56" w:type="dxa"/>
        </w:trPr>
        <w:tc>
          <w:tcPr>
            <w:tcW w:w="1362" w:type="dxa"/>
            <w:gridSpan w:val="2"/>
          </w:tcPr>
          <w:p w14:paraId="2813C637" w14:textId="77777777" w:rsidR="00352BA2" w:rsidRDefault="00352BA2">
            <w:pPr>
              <w:rPr>
                <w:b/>
                <w:bCs/>
              </w:rPr>
            </w:pPr>
          </w:p>
        </w:tc>
        <w:tc>
          <w:tcPr>
            <w:tcW w:w="4820" w:type="dxa"/>
            <w:gridSpan w:val="2"/>
          </w:tcPr>
          <w:p w14:paraId="19A7E8AD" w14:textId="77777777" w:rsidR="00352BA2" w:rsidRDefault="00352BA2">
            <w:pPr>
              <w:jc w:val="center"/>
              <w:rPr>
                <w:b/>
                <w:bCs/>
                <w:sz w:val="28"/>
                <w:szCs w:val="28"/>
              </w:rPr>
            </w:pPr>
            <w:r>
              <w:rPr>
                <w:rFonts w:hint="cs"/>
                <w:b/>
                <w:bCs/>
                <w:sz w:val="28"/>
                <w:szCs w:val="28"/>
                <w:rtl/>
              </w:rPr>
              <w:t>- נ  ג  ד -</w:t>
            </w:r>
          </w:p>
        </w:tc>
        <w:tc>
          <w:tcPr>
            <w:tcW w:w="2409" w:type="dxa"/>
            <w:gridSpan w:val="2"/>
          </w:tcPr>
          <w:p w14:paraId="5995ED44" w14:textId="77777777" w:rsidR="00352BA2" w:rsidRDefault="00352BA2">
            <w:pPr>
              <w:rPr>
                <w:b/>
                <w:bCs/>
              </w:rPr>
            </w:pPr>
          </w:p>
        </w:tc>
      </w:tr>
      <w:tr w:rsidR="00352BA2" w14:paraId="09883DC0" w14:textId="77777777">
        <w:trPr>
          <w:gridBefore w:val="1"/>
          <w:wBefore w:w="56" w:type="dxa"/>
        </w:trPr>
        <w:tc>
          <w:tcPr>
            <w:tcW w:w="1362" w:type="dxa"/>
            <w:gridSpan w:val="2"/>
          </w:tcPr>
          <w:p w14:paraId="3C2189D3" w14:textId="77777777" w:rsidR="00352BA2" w:rsidRDefault="00352BA2">
            <w:pPr>
              <w:rPr>
                <w:b/>
                <w:bCs/>
                <w:szCs w:val="26"/>
              </w:rPr>
            </w:pPr>
            <w:bookmarkStart w:id="3" w:name="שם_ב" w:colFirst="0" w:colLast="0"/>
          </w:p>
        </w:tc>
        <w:tc>
          <w:tcPr>
            <w:tcW w:w="4820" w:type="dxa"/>
            <w:gridSpan w:val="2"/>
          </w:tcPr>
          <w:p w14:paraId="6DB14A9A" w14:textId="77777777" w:rsidR="00352BA2" w:rsidRDefault="00352BA2">
            <w:pPr>
              <w:rPr>
                <w:b/>
                <w:bCs/>
              </w:rPr>
            </w:pPr>
            <w:r>
              <w:rPr>
                <w:rFonts w:hint="cs"/>
                <w:b/>
                <w:bCs/>
                <w:rtl/>
              </w:rPr>
              <w:t>סטריקובסקי אבי</w:t>
            </w:r>
          </w:p>
        </w:tc>
        <w:tc>
          <w:tcPr>
            <w:tcW w:w="2409" w:type="dxa"/>
            <w:gridSpan w:val="2"/>
          </w:tcPr>
          <w:p w14:paraId="4587E5D0" w14:textId="77777777" w:rsidR="00352BA2" w:rsidRDefault="00352BA2">
            <w:pPr>
              <w:rPr>
                <w:b/>
                <w:bCs/>
              </w:rPr>
            </w:pPr>
          </w:p>
        </w:tc>
      </w:tr>
      <w:bookmarkEnd w:id="3"/>
      <w:tr w:rsidR="00352BA2" w14:paraId="10919332" w14:textId="77777777">
        <w:trPr>
          <w:gridBefore w:val="1"/>
          <w:wBefore w:w="56" w:type="dxa"/>
        </w:trPr>
        <w:tc>
          <w:tcPr>
            <w:tcW w:w="1362" w:type="dxa"/>
            <w:gridSpan w:val="2"/>
          </w:tcPr>
          <w:p w14:paraId="4AB5926A" w14:textId="77777777" w:rsidR="00352BA2" w:rsidRDefault="00352BA2">
            <w:pPr>
              <w:spacing w:line="240" w:lineRule="auto"/>
              <w:rPr>
                <w:b/>
                <w:bCs/>
                <w:szCs w:val="26"/>
              </w:rPr>
            </w:pPr>
          </w:p>
        </w:tc>
        <w:tc>
          <w:tcPr>
            <w:tcW w:w="1757" w:type="dxa"/>
          </w:tcPr>
          <w:p w14:paraId="32BED808" w14:textId="77777777" w:rsidR="00352BA2" w:rsidRDefault="00352BA2">
            <w:pPr>
              <w:spacing w:line="240" w:lineRule="auto"/>
              <w:rPr>
                <w:b/>
                <w:bCs/>
              </w:rPr>
            </w:pPr>
          </w:p>
        </w:tc>
        <w:tc>
          <w:tcPr>
            <w:tcW w:w="3063" w:type="dxa"/>
          </w:tcPr>
          <w:p w14:paraId="5E72777B" w14:textId="77777777" w:rsidR="00352BA2" w:rsidRDefault="00352BA2">
            <w:pPr>
              <w:rPr>
                <w:b/>
                <w:bCs/>
              </w:rPr>
            </w:pPr>
          </w:p>
        </w:tc>
        <w:tc>
          <w:tcPr>
            <w:tcW w:w="2409" w:type="dxa"/>
            <w:gridSpan w:val="2"/>
          </w:tcPr>
          <w:p w14:paraId="685E9BF2" w14:textId="77777777" w:rsidR="00352BA2" w:rsidRDefault="00352BA2">
            <w:pPr>
              <w:pStyle w:val="Heading6"/>
            </w:pPr>
            <w:r>
              <w:rPr>
                <w:rFonts w:hint="cs"/>
                <w:rtl/>
              </w:rPr>
              <w:t>הנאשם</w:t>
            </w:r>
          </w:p>
        </w:tc>
      </w:tr>
      <w:tr w:rsidR="00352BA2" w14:paraId="00F572B0" w14:textId="77777777">
        <w:trPr>
          <w:gridAfter w:val="1"/>
          <w:wAfter w:w="85" w:type="dxa"/>
        </w:trPr>
        <w:tc>
          <w:tcPr>
            <w:tcW w:w="1332" w:type="dxa"/>
            <w:gridSpan w:val="2"/>
          </w:tcPr>
          <w:p w14:paraId="3BC89771" w14:textId="77777777" w:rsidR="00352BA2" w:rsidRDefault="00352BA2">
            <w:pPr>
              <w:spacing w:line="240" w:lineRule="auto"/>
              <w:rPr>
                <w:b/>
                <w:bCs/>
                <w:szCs w:val="26"/>
              </w:rPr>
            </w:pPr>
            <w:bookmarkStart w:id="4" w:name="FirstLawyer"/>
            <w:r>
              <w:rPr>
                <w:rFonts w:hint="cs"/>
                <w:b/>
                <w:bCs/>
                <w:szCs w:val="26"/>
                <w:rtl/>
              </w:rPr>
              <w:t>נוכחים</w:t>
            </w:r>
          </w:p>
        </w:tc>
        <w:tc>
          <w:tcPr>
            <w:tcW w:w="7230" w:type="dxa"/>
            <w:gridSpan w:val="4"/>
          </w:tcPr>
          <w:p w14:paraId="19669F52" w14:textId="77777777" w:rsidR="00352BA2" w:rsidRDefault="00352BA2">
            <w:pPr>
              <w:spacing w:line="240" w:lineRule="auto"/>
              <w:rPr>
                <w:b/>
                <w:bCs/>
              </w:rPr>
            </w:pPr>
            <w:r>
              <w:rPr>
                <w:rFonts w:hint="cs"/>
                <w:b/>
                <w:bCs/>
                <w:rtl/>
              </w:rPr>
              <w:t>ב"כ המאשימה: עו"ד דודו קדוש</w:t>
            </w:r>
          </w:p>
          <w:p w14:paraId="10FADB64" w14:textId="77777777" w:rsidR="00352BA2" w:rsidRDefault="00352BA2">
            <w:pPr>
              <w:spacing w:line="240" w:lineRule="auto"/>
              <w:rPr>
                <w:rFonts w:hint="cs"/>
                <w:b/>
                <w:bCs/>
                <w:rtl/>
              </w:rPr>
            </w:pPr>
            <w:r>
              <w:rPr>
                <w:rFonts w:hint="cs"/>
                <w:b/>
                <w:bCs/>
                <w:rtl/>
              </w:rPr>
              <w:t>הנאשם:  בעצמו</w:t>
            </w:r>
          </w:p>
          <w:p w14:paraId="02BF5390" w14:textId="77777777" w:rsidR="00352BA2" w:rsidRDefault="00352BA2">
            <w:pPr>
              <w:spacing w:line="240" w:lineRule="auto"/>
              <w:rPr>
                <w:b/>
                <w:bCs/>
              </w:rPr>
            </w:pPr>
            <w:r>
              <w:rPr>
                <w:rFonts w:hint="cs"/>
                <w:b/>
                <w:bCs/>
                <w:rtl/>
              </w:rPr>
              <w:t>ב"כ הנאשם: עו"ד ארז מושקוביץ (מטעם הסניגוריה הציבורית)</w:t>
            </w:r>
          </w:p>
        </w:tc>
      </w:tr>
    </w:tbl>
    <w:p w14:paraId="633D8655" w14:textId="77777777" w:rsidR="00626EFB" w:rsidRDefault="00626EFB">
      <w:pPr>
        <w:pStyle w:val="Heading1"/>
        <w:rPr>
          <w:b w:val="0"/>
          <w:bCs w:val="0"/>
          <w:u w:val="none"/>
          <w:rtl/>
        </w:rPr>
      </w:pPr>
      <w:bookmarkStart w:id="5" w:name="LawTable"/>
      <w:bookmarkEnd w:id="4"/>
      <w:bookmarkEnd w:id="5"/>
    </w:p>
    <w:p w14:paraId="4A5744C9" w14:textId="77777777" w:rsidR="00626EFB" w:rsidRPr="00626EFB" w:rsidRDefault="00626EFB" w:rsidP="00626EFB">
      <w:pPr>
        <w:pStyle w:val="Heading1"/>
        <w:spacing w:after="120" w:line="240" w:lineRule="exact"/>
        <w:ind w:left="283" w:hanging="283"/>
        <w:jc w:val="both"/>
        <w:rPr>
          <w:rFonts w:ascii="FrankRuehl" w:hAnsi="FrankRuehl" w:cs="FrankRuehl"/>
          <w:b w:val="0"/>
          <w:bCs w:val="0"/>
          <w:sz w:val="24"/>
          <w:szCs w:val="24"/>
          <w:u w:val="none"/>
          <w:rtl/>
        </w:rPr>
      </w:pPr>
    </w:p>
    <w:p w14:paraId="10F6BEEB" w14:textId="77777777" w:rsidR="00626EFB" w:rsidRPr="00626EFB" w:rsidRDefault="00626EFB" w:rsidP="00626EFB">
      <w:pPr>
        <w:pStyle w:val="Heading1"/>
        <w:spacing w:after="120" w:line="240" w:lineRule="exact"/>
        <w:ind w:left="283" w:hanging="283"/>
        <w:jc w:val="both"/>
        <w:rPr>
          <w:rFonts w:ascii="FrankRuehl" w:hAnsi="FrankRuehl" w:cs="FrankRuehl"/>
          <w:b w:val="0"/>
          <w:bCs w:val="0"/>
          <w:sz w:val="24"/>
          <w:szCs w:val="24"/>
          <w:u w:val="none"/>
          <w:rtl/>
        </w:rPr>
      </w:pPr>
      <w:r w:rsidRPr="00626EFB">
        <w:rPr>
          <w:rFonts w:ascii="FrankRuehl" w:hAnsi="FrankRuehl" w:cs="FrankRuehl"/>
          <w:b w:val="0"/>
          <w:bCs w:val="0"/>
          <w:sz w:val="24"/>
          <w:szCs w:val="24"/>
          <w:u w:val="none"/>
          <w:rtl/>
        </w:rPr>
        <w:t xml:space="preserve">חקיקה שאוזכרה: </w:t>
      </w:r>
    </w:p>
    <w:p w14:paraId="6507066D" w14:textId="77777777" w:rsidR="00626EFB" w:rsidRPr="00626EFB" w:rsidRDefault="00626EFB" w:rsidP="00626EFB">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626EFB">
          <w:rPr>
            <w:rStyle w:val="Hyperlink"/>
            <w:rFonts w:ascii="FrankRuehl" w:hAnsi="FrankRuehl" w:cs="FrankRuehl"/>
            <w:b w:val="0"/>
            <w:bCs w:val="0"/>
            <w:sz w:val="24"/>
            <w:szCs w:val="24"/>
            <w:rtl/>
          </w:rPr>
          <w:t>חוק העונשין, תשל"ז-1977</w:t>
        </w:r>
      </w:hyperlink>
      <w:r w:rsidRPr="00626EFB">
        <w:rPr>
          <w:rFonts w:ascii="FrankRuehl" w:hAnsi="FrankRuehl" w:cs="FrankRuehl"/>
          <w:b w:val="0"/>
          <w:bCs w:val="0"/>
          <w:color w:val="0000FF"/>
          <w:sz w:val="24"/>
          <w:szCs w:val="24"/>
          <w:rtl/>
        </w:rPr>
        <w:t xml:space="preserve">: סע'  </w:t>
      </w:r>
      <w:hyperlink r:id="rId7" w:history="1">
        <w:r w:rsidRPr="00626EFB">
          <w:rPr>
            <w:rStyle w:val="Hyperlink"/>
            <w:rFonts w:ascii="FrankRuehl" w:hAnsi="FrankRuehl" w:cs="FrankRuehl"/>
            <w:b w:val="0"/>
            <w:bCs w:val="0"/>
            <w:sz w:val="24"/>
            <w:szCs w:val="24"/>
          </w:rPr>
          <w:t>349 (</w:t>
        </w:r>
        <w:r w:rsidRPr="00626EFB">
          <w:rPr>
            <w:rStyle w:val="Hyperlink"/>
            <w:rFonts w:ascii="FrankRuehl" w:hAnsi="FrankRuehl" w:cs="FrankRuehl"/>
            <w:b w:val="0"/>
            <w:bCs w:val="0"/>
            <w:sz w:val="24"/>
            <w:szCs w:val="24"/>
            <w:rtl/>
          </w:rPr>
          <w:t>א</w:t>
        </w:r>
        <w:r w:rsidRPr="00626EFB">
          <w:rPr>
            <w:rStyle w:val="Hyperlink"/>
            <w:rFonts w:ascii="FrankRuehl" w:hAnsi="FrankRuehl" w:cs="FrankRuehl"/>
            <w:b w:val="0"/>
            <w:bCs w:val="0"/>
            <w:sz w:val="24"/>
            <w:szCs w:val="24"/>
          </w:rPr>
          <w:t>)</w:t>
        </w:r>
      </w:hyperlink>
    </w:p>
    <w:p w14:paraId="598E6142" w14:textId="77777777" w:rsidR="00626EFB" w:rsidRPr="00626EFB" w:rsidRDefault="00626EFB" w:rsidP="00626EFB">
      <w:pPr>
        <w:pStyle w:val="Heading1"/>
        <w:spacing w:after="120" w:line="240" w:lineRule="exact"/>
        <w:ind w:left="283" w:hanging="283"/>
        <w:jc w:val="both"/>
        <w:rPr>
          <w:rFonts w:ascii="FrankRuehl" w:hAnsi="FrankRuehl" w:cs="FrankRuehl"/>
          <w:b w:val="0"/>
          <w:bCs w:val="0"/>
          <w:sz w:val="24"/>
          <w:szCs w:val="24"/>
          <w:u w:val="none"/>
          <w:rtl/>
        </w:rPr>
      </w:pPr>
    </w:p>
    <w:p w14:paraId="4635FCC3" w14:textId="77777777" w:rsidR="00626EFB" w:rsidRPr="00626EFB" w:rsidRDefault="00626EFB">
      <w:pPr>
        <w:pStyle w:val="Heading1"/>
        <w:rPr>
          <w:b w:val="0"/>
          <w:bCs w:val="0"/>
          <w:u w:val="none"/>
          <w:rtl/>
        </w:rPr>
      </w:pPr>
      <w:bookmarkStart w:id="6" w:name="LawTable_End"/>
      <w:bookmarkEnd w:id="6"/>
    </w:p>
    <w:p w14:paraId="202EB23D" w14:textId="77777777" w:rsidR="00892341" w:rsidRPr="00892341" w:rsidRDefault="00892341">
      <w:pPr>
        <w:pStyle w:val="Heading1"/>
        <w:rPr>
          <w:b w:val="0"/>
          <w:bCs w:val="0"/>
          <w:u w:val="none"/>
          <w:rtl/>
        </w:rPr>
      </w:pPr>
    </w:p>
    <w:p w14:paraId="3A788921" w14:textId="77777777" w:rsidR="00892341" w:rsidRPr="00892341" w:rsidRDefault="00892341">
      <w:pPr>
        <w:pStyle w:val="Heading1"/>
        <w:rPr>
          <w:b w:val="0"/>
          <w:bCs w:val="0"/>
          <w:u w:val="none"/>
          <w:rtl/>
        </w:rPr>
      </w:pPr>
    </w:p>
    <w:p w14:paraId="3D318EF4" w14:textId="77777777" w:rsidR="00EF48A7" w:rsidRPr="00EF48A7" w:rsidRDefault="00EF48A7">
      <w:pPr>
        <w:pStyle w:val="Heading1"/>
        <w:rPr>
          <w:b w:val="0"/>
          <w:bCs w:val="0"/>
          <w:u w:val="none"/>
          <w:rtl/>
        </w:rPr>
      </w:pPr>
    </w:p>
    <w:p w14:paraId="314609EC" w14:textId="77777777" w:rsidR="00EF48A7" w:rsidRPr="00EF48A7" w:rsidRDefault="00EF48A7">
      <w:pPr>
        <w:pStyle w:val="Heading1"/>
        <w:rPr>
          <w:u w:val="none"/>
          <w:rtl/>
        </w:rPr>
      </w:pPr>
    </w:p>
    <w:p w14:paraId="66F7700F" w14:textId="77777777" w:rsidR="00352BA2" w:rsidRPr="00EF48A7" w:rsidRDefault="00352BA2">
      <w:pPr>
        <w:pStyle w:val="Heading1"/>
        <w:rPr>
          <w:u w:val="none"/>
          <w:rtl/>
        </w:rPr>
      </w:pPr>
    </w:p>
    <w:p w14:paraId="3D92DAAC" w14:textId="77777777" w:rsidR="00352BA2" w:rsidRDefault="00352BA2">
      <w:pPr>
        <w:jc w:val="center"/>
        <w:rPr>
          <w:b/>
          <w:bCs/>
          <w:sz w:val="32"/>
          <w:szCs w:val="32"/>
          <w:u w:val="single"/>
          <w:rtl/>
        </w:rPr>
      </w:pPr>
      <w:bookmarkStart w:id="7" w:name="PsakDin"/>
      <w:bookmarkEnd w:id="0"/>
      <w:r>
        <w:rPr>
          <w:b/>
          <w:bCs/>
          <w:sz w:val="32"/>
          <w:szCs w:val="32"/>
          <w:u w:val="single"/>
          <w:rtl/>
        </w:rPr>
        <w:t>הכרעת - דין</w:t>
      </w:r>
    </w:p>
    <w:bookmarkEnd w:id="7"/>
    <w:p w14:paraId="45DBCF8D" w14:textId="77777777" w:rsidR="00352BA2" w:rsidRDefault="00352BA2">
      <w:pPr>
        <w:rPr>
          <w:rFonts w:hint="cs"/>
          <w:rtl/>
        </w:rPr>
      </w:pPr>
    </w:p>
    <w:p w14:paraId="1CB6309D" w14:textId="77777777" w:rsidR="00352BA2" w:rsidRDefault="00352BA2">
      <w:pPr>
        <w:rPr>
          <w:rFonts w:hint="cs"/>
          <w:u w:val="single"/>
          <w:rtl/>
        </w:rPr>
      </w:pPr>
      <w:r>
        <w:rPr>
          <w:rFonts w:hint="cs"/>
          <w:u w:val="single"/>
          <w:rtl/>
        </w:rPr>
        <w:t>לאחר שמיעת הראיות וסיכומי הצדדים, מצאתי את הנאשם אשם בשתי התקיפות המיוחסות לו (אחת מהן תקיפה חבלנית), וזכאי מהעבירה של מעשה מגונה בפומבי.</w:t>
      </w:r>
    </w:p>
    <w:p w14:paraId="1473A917" w14:textId="77777777" w:rsidR="00352BA2" w:rsidRDefault="00352BA2">
      <w:pPr>
        <w:rPr>
          <w:rFonts w:hint="cs"/>
          <w:u w:val="single"/>
          <w:rtl/>
        </w:rPr>
      </w:pPr>
    </w:p>
    <w:p w14:paraId="342A97B8" w14:textId="77777777" w:rsidR="00352BA2" w:rsidRDefault="00352BA2">
      <w:pPr>
        <w:ind w:left="720" w:hanging="720"/>
        <w:rPr>
          <w:rFonts w:hint="cs"/>
          <w:rtl/>
        </w:rPr>
      </w:pPr>
      <w:r>
        <w:rPr>
          <w:rFonts w:hint="cs"/>
          <w:rtl/>
        </w:rPr>
        <w:t>1.</w:t>
      </w:r>
      <w:r>
        <w:rPr>
          <w:rFonts w:hint="cs"/>
          <w:rtl/>
        </w:rPr>
        <w:tab/>
        <w:t>בכתב-האישום שני פרטי-אישום, אחד לכל אירוע.</w:t>
      </w:r>
    </w:p>
    <w:p w14:paraId="610B48CE" w14:textId="77777777" w:rsidR="00352BA2" w:rsidRDefault="00352BA2">
      <w:pPr>
        <w:ind w:left="720" w:hanging="720"/>
        <w:rPr>
          <w:rFonts w:hint="cs"/>
          <w:color w:val="FFFFFF"/>
          <w:sz w:val="4"/>
          <w:szCs w:val="4"/>
          <w:rtl/>
        </w:rPr>
      </w:pPr>
    </w:p>
    <w:p w14:paraId="08F4F44F" w14:textId="77777777" w:rsidR="00352BA2" w:rsidRDefault="00352BA2">
      <w:pPr>
        <w:ind w:left="720" w:hanging="720"/>
        <w:rPr>
          <w:rFonts w:hint="cs"/>
          <w:rtl/>
        </w:rPr>
      </w:pPr>
      <w:r>
        <w:rPr>
          <w:color w:val="FFFFFF"/>
          <w:sz w:val="4"/>
          <w:szCs w:val="4"/>
          <w:rtl/>
        </w:rPr>
        <w:t>5129371</w:t>
      </w:r>
    </w:p>
    <w:p w14:paraId="384D3CA3" w14:textId="77777777" w:rsidR="00352BA2" w:rsidRDefault="00352BA2">
      <w:pPr>
        <w:ind w:left="720" w:hanging="720"/>
        <w:rPr>
          <w:rFonts w:hint="cs"/>
          <w:rtl/>
        </w:rPr>
      </w:pPr>
      <w:r>
        <w:rPr>
          <w:rFonts w:hint="cs"/>
          <w:rtl/>
        </w:rPr>
        <w:lastRenderedPageBreak/>
        <w:tab/>
      </w:r>
      <w:r>
        <w:rPr>
          <w:rFonts w:hint="cs"/>
          <w:u w:val="single"/>
          <w:rtl/>
        </w:rPr>
        <w:t>לגבי האירוע הראשון</w:t>
      </w:r>
      <w:r>
        <w:rPr>
          <w:rFonts w:hint="cs"/>
          <w:rtl/>
        </w:rPr>
        <w:t xml:space="preserve"> נטען כי ביום 27/12/2001 הנאשם הוציא את איבר-מינו בפומבי בפני גב' גבחי אבריאייב ואמר לה "תאכלי את הזין". באותו מעמד, לפי הנטען, היכה הנאשם את המתלוננת במקל וגרם לה לחבלה בכף ידה הימנית.</w:t>
      </w:r>
      <w:r>
        <w:rPr>
          <w:color w:val="FFFFFF"/>
          <w:sz w:val="4"/>
          <w:szCs w:val="4"/>
          <w:rtl/>
        </w:rPr>
        <w:t>נ</w:t>
      </w:r>
    </w:p>
    <w:p w14:paraId="061C0D10" w14:textId="77777777" w:rsidR="00352BA2" w:rsidRDefault="00352BA2">
      <w:pPr>
        <w:ind w:left="720" w:hanging="720"/>
        <w:rPr>
          <w:rFonts w:hint="cs"/>
          <w:rtl/>
        </w:rPr>
      </w:pPr>
    </w:p>
    <w:p w14:paraId="7D2DDC1A" w14:textId="77777777" w:rsidR="00352BA2" w:rsidRDefault="00352BA2">
      <w:pPr>
        <w:ind w:left="720" w:hanging="720"/>
        <w:rPr>
          <w:rFonts w:hint="cs"/>
          <w:rtl/>
        </w:rPr>
      </w:pPr>
      <w:r>
        <w:rPr>
          <w:rFonts w:hint="cs"/>
          <w:rtl/>
        </w:rPr>
        <w:tab/>
      </w:r>
      <w:r>
        <w:rPr>
          <w:rFonts w:hint="cs"/>
          <w:u w:val="single"/>
          <w:rtl/>
        </w:rPr>
        <w:t>לגבי האירוע השני</w:t>
      </w:r>
      <w:r>
        <w:rPr>
          <w:rFonts w:hint="cs"/>
          <w:rtl/>
        </w:rPr>
        <w:t xml:space="preserve"> נטען כי ביום 07/05/2002 תקף הנאשם את ויקטוריה ספנייב בכך שדחף אותה וכתוצאה מכך היא נפלה ונזקקה לטיפול רפואי.</w:t>
      </w:r>
      <w:r>
        <w:rPr>
          <w:color w:val="FFFFFF"/>
          <w:sz w:val="4"/>
          <w:szCs w:val="4"/>
          <w:rtl/>
        </w:rPr>
        <w:t>ב</w:t>
      </w:r>
    </w:p>
    <w:p w14:paraId="6361C19C" w14:textId="77777777" w:rsidR="00352BA2" w:rsidRDefault="00352BA2">
      <w:pPr>
        <w:ind w:left="720" w:hanging="720"/>
        <w:rPr>
          <w:rFonts w:hint="cs"/>
          <w:rtl/>
        </w:rPr>
      </w:pPr>
    </w:p>
    <w:p w14:paraId="384D7ABA" w14:textId="77777777" w:rsidR="00352BA2" w:rsidRDefault="00352BA2">
      <w:pPr>
        <w:ind w:left="720" w:hanging="720"/>
        <w:rPr>
          <w:rFonts w:hint="cs"/>
          <w:rtl/>
        </w:rPr>
      </w:pPr>
      <w:r>
        <w:rPr>
          <w:rFonts w:hint="cs"/>
          <w:rtl/>
        </w:rPr>
        <w:tab/>
        <w:t>הנאשם כפר ונשמעו ראיות.</w:t>
      </w:r>
      <w:r>
        <w:rPr>
          <w:color w:val="FFFFFF"/>
          <w:sz w:val="4"/>
          <w:szCs w:val="4"/>
          <w:rtl/>
        </w:rPr>
        <w:t>ו</w:t>
      </w:r>
    </w:p>
    <w:p w14:paraId="0F6A117B" w14:textId="77777777" w:rsidR="00352BA2" w:rsidRDefault="00352BA2">
      <w:pPr>
        <w:ind w:left="720" w:hanging="720"/>
        <w:rPr>
          <w:rFonts w:hint="cs"/>
          <w:rtl/>
        </w:rPr>
      </w:pPr>
    </w:p>
    <w:p w14:paraId="732D6257" w14:textId="77777777" w:rsidR="00352BA2" w:rsidRDefault="00352BA2">
      <w:pPr>
        <w:ind w:left="720" w:hanging="720"/>
        <w:rPr>
          <w:rFonts w:hint="cs"/>
          <w:rtl/>
        </w:rPr>
      </w:pPr>
      <w:r>
        <w:rPr>
          <w:rFonts w:hint="cs"/>
          <w:rtl/>
        </w:rPr>
        <w:t>2.</w:t>
      </w:r>
      <w:r>
        <w:rPr>
          <w:rFonts w:hint="cs"/>
          <w:rtl/>
        </w:rPr>
        <w:tab/>
        <w:t xml:space="preserve">המתלוננת מהאירוע הראשון העידה ואימתה את הפרטים שבכתב האישום. היא הסבירה שהדבר אירע על רקע של סכסוך מתמשך כאשר הנאשם אינו רוצה שתגור שם. </w:t>
      </w:r>
    </w:p>
    <w:p w14:paraId="2F228876" w14:textId="77777777" w:rsidR="00352BA2" w:rsidRDefault="00352BA2">
      <w:pPr>
        <w:ind w:left="720" w:hanging="720"/>
        <w:rPr>
          <w:rFonts w:hint="cs"/>
          <w:rtl/>
        </w:rPr>
      </w:pPr>
    </w:p>
    <w:p w14:paraId="5AD9DD39" w14:textId="77777777" w:rsidR="00352BA2" w:rsidRDefault="00352BA2">
      <w:pPr>
        <w:ind w:left="720" w:hanging="720"/>
        <w:rPr>
          <w:rFonts w:hint="cs"/>
          <w:rtl/>
        </w:rPr>
      </w:pPr>
      <w:r>
        <w:rPr>
          <w:rFonts w:hint="cs"/>
          <w:rtl/>
        </w:rPr>
        <w:tab/>
        <w:t>הוגשה תעודה רפואית המאמתת את טענתה של המתלוננת על כך שנפגעה ביד ימין.</w:t>
      </w:r>
      <w:r>
        <w:rPr>
          <w:color w:val="FFFFFF"/>
          <w:sz w:val="4"/>
          <w:szCs w:val="4"/>
          <w:rtl/>
        </w:rPr>
        <w:t>נ</w:t>
      </w:r>
    </w:p>
    <w:p w14:paraId="7308C30C" w14:textId="77777777" w:rsidR="00352BA2" w:rsidRDefault="00352BA2">
      <w:pPr>
        <w:ind w:left="720" w:hanging="720"/>
        <w:rPr>
          <w:rFonts w:hint="cs"/>
          <w:rtl/>
        </w:rPr>
      </w:pPr>
    </w:p>
    <w:p w14:paraId="322FA06A" w14:textId="77777777" w:rsidR="00352BA2" w:rsidRDefault="00352BA2">
      <w:pPr>
        <w:ind w:left="720" w:hanging="720"/>
        <w:rPr>
          <w:rFonts w:hint="cs"/>
          <w:rtl/>
        </w:rPr>
      </w:pPr>
      <w:r>
        <w:rPr>
          <w:rFonts w:hint="cs"/>
          <w:rtl/>
        </w:rPr>
        <w:t>3.</w:t>
      </w:r>
      <w:r>
        <w:rPr>
          <w:rFonts w:hint="cs"/>
          <w:rtl/>
        </w:rPr>
        <w:tab/>
        <w:t>המתלוננת מהאירוע השני העידה גם היא.</w:t>
      </w:r>
      <w:r>
        <w:rPr>
          <w:color w:val="FFFFFF"/>
          <w:sz w:val="4"/>
          <w:szCs w:val="4"/>
          <w:rtl/>
        </w:rPr>
        <w:t>ב</w:t>
      </w:r>
    </w:p>
    <w:p w14:paraId="6829E27D" w14:textId="77777777" w:rsidR="00352BA2" w:rsidRDefault="00352BA2">
      <w:pPr>
        <w:ind w:left="720" w:hanging="720"/>
        <w:rPr>
          <w:rFonts w:hint="cs"/>
          <w:rtl/>
        </w:rPr>
      </w:pPr>
    </w:p>
    <w:p w14:paraId="29E2C967" w14:textId="77777777" w:rsidR="00352BA2" w:rsidRDefault="00352BA2">
      <w:pPr>
        <w:ind w:left="720" w:hanging="720"/>
        <w:rPr>
          <w:rFonts w:hint="cs"/>
          <w:rtl/>
        </w:rPr>
      </w:pPr>
      <w:r>
        <w:rPr>
          <w:rFonts w:hint="cs"/>
          <w:rtl/>
        </w:rPr>
        <w:tab/>
        <w:t>מדובר בבתה של המתלוננת מהאירוע הראשון. היא אימתה את הנטען בכתב האישום לגבי האירוע, בשינוי אחד - היא הסבירה שלא נפלה אלא "נדחפה על הגב".</w:t>
      </w:r>
      <w:r>
        <w:rPr>
          <w:color w:val="FFFFFF"/>
          <w:sz w:val="4"/>
          <w:szCs w:val="4"/>
          <w:rtl/>
        </w:rPr>
        <w:t>ו</w:t>
      </w:r>
    </w:p>
    <w:p w14:paraId="7C552EC9" w14:textId="77777777" w:rsidR="00352BA2" w:rsidRDefault="00352BA2">
      <w:pPr>
        <w:ind w:left="720" w:hanging="720"/>
        <w:rPr>
          <w:rFonts w:hint="cs"/>
          <w:rtl/>
        </w:rPr>
      </w:pPr>
    </w:p>
    <w:p w14:paraId="6AF0C1F7" w14:textId="77777777" w:rsidR="00352BA2" w:rsidRDefault="00352BA2">
      <w:pPr>
        <w:ind w:left="720" w:hanging="720"/>
        <w:rPr>
          <w:rFonts w:hint="cs"/>
          <w:rtl/>
        </w:rPr>
      </w:pPr>
      <w:r>
        <w:rPr>
          <w:rFonts w:hint="cs"/>
          <w:rtl/>
        </w:rPr>
        <w:tab/>
        <w:t>בנוסף, הוגש גיליון חדר מיון (ת/2), והסניגור הגיש את הודעתה במשטרה.</w:t>
      </w:r>
      <w:r>
        <w:rPr>
          <w:color w:val="FFFFFF"/>
          <w:sz w:val="4"/>
          <w:szCs w:val="4"/>
          <w:rtl/>
        </w:rPr>
        <w:t>נ</w:t>
      </w:r>
    </w:p>
    <w:p w14:paraId="314DFEC4" w14:textId="77777777" w:rsidR="00352BA2" w:rsidRDefault="00352BA2">
      <w:pPr>
        <w:ind w:left="720" w:hanging="720"/>
        <w:rPr>
          <w:rFonts w:hint="cs"/>
          <w:rtl/>
        </w:rPr>
      </w:pPr>
    </w:p>
    <w:p w14:paraId="18337D8C" w14:textId="77777777" w:rsidR="00352BA2" w:rsidRDefault="00352BA2">
      <w:pPr>
        <w:ind w:left="720" w:hanging="720"/>
        <w:rPr>
          <w:rFonts w:hint="cs"/>
          <w:rtl/>
        </w:rPr>
      </w:pPr>
      <w:r>
        <w:rPr>
          <w:rFonts w:hint="cs"/>
          <w:rtl/>
        </w:rPr>
        <w:t>4.</w:t>
      </w:r>
      <w:r>
        <w:rPr>
          <w:rFonts w:hint="cs"/>
          <w:rtl/>
        </w:rPr>
        <w:tab/>
        <w:t xml:space="preserve">הנאשם הכחיש את כל המיוחס לו. </w:t>
      </w:r>
    </w:p>
    <w:p w14:paraId="0A641D42" w14:textId="77777777" w:rsidR="00352BA2" w:rsidRDefault="00352BA2">
      <w:pPr>
        <w:ind w:left="720" w:hanging="720"/>
        <w:rPr>
          <w:rFonts w:hint="cs"/>
          <w:rtl/>
        </w:rPr>
      </w:pPr>
    </w:p>
    <w:p w14:paraId="3DC325B3" w14:textId="77777777" w:rsidR="00352BA2" w:rsidRDefault="00352BA2">
      <w:pPr>
        <w:ind w:left="720"/>
        <w:rPr>
          <w:rFonts w:hint="cs"/>
          <w:rtl/>
        </w:rPr>
      </w:pPr>
      <w:r>
        <w:rPr>
          <w:rFonts w:hint="cs"/>
          <w:rtl/>
        </w:rPr>
        <w:t>לגבי האירוע הראשון אמר שלא היה ולא נברא. לדבריו המתלוננת רבה עם אמו, ואמו היא זו שדחפה אותה. הוא הוסיף ש"לא זכור לו שהוציא את איבר מינו".</w:t>
      </w:r>
      <w:r>
        <w:rPr>
          <w:color w:val="FFFFFF"/>
          <w:sz w:val="4"/>
          <w:szCs w:val="4"/>
          <w:rtl/>
        </w:rPr>
        <w:t>ב</w:t>
      </w:r>
    </w:p>
    <w:p w14:paraId="028A0AC4" w14:textId="77777777" w:rsidR="00352BA2" w:rsidRDefault="00352BA2">
      <w:pPr>
        <w:ind w:left="720" w:hanging="720"/>
        <w:rPr>
          <w:rFonts w:hint="cs"/>
          <w:rtl/>
        </w:rPr>
      </w:pPr>
    </w:p>
    <w:p w14:paraId="04CBA04D" w14:textId="77777777" w:rsidR="00352BA2" w:rsidRDefault="00352BA2">
      <w:pPr>
        <w:ind w:left="720" w:hanging="720"/>
        <w:rPr>
          <w:rFonts w:hint="cs"/>
          <w:rtl/>
        </w:rPr>
      </w:pPr>
      <w:r>
        <w:rPr>
          <w:rFonts w:hint="cs"/>
          <w:rtl/>
        </w:rPr>
        <w:tab/>
        <w:t>לגבי האירוע השני אמר כי "לא זכור לו שדחף את המתלוננת", ובהמשך אמר שלא היה ולא נברא.</w:t>
      </w:r>
      <w:r>
        <w:rPr>
          <w:color w:val="FFFFFF"/>
          <w:sz w:val="4"/>
          <w:szCs w:val="4"/>
          <w:rtl/>
        </w:rPr>
        <w:t>ו</w:t>
      </w:r>
    </w:p>
    <w:p w14:paraId="12D16C11" w14:textId="77777777" w:rsidR="00352BA2" w:rsidRDefault="00352BA2">
      <w:pPr>
        <w:ind w:left="720" w:hanging="720"/>
        <w:rPr>
          <w:rFonts w:hint="cs"/>
          <w:rtl/>
        </w:rPr>
      </w:pPr>
    </w:p>
    <w:p w14:paraId="072B743A" w14:textId="77777777" w:rsidR="00352BA2" w:rsidRDefault="00352BA2">
      <w:pPr>
        <w:ind w:left="720" w:hanging="720"/>
        <w:rPr>
          <w:rFonts w:hint="cs"/>
          <w:rtl/>
        </w:rPr>
      </w:pPr>
      <w:r>
        <w:rPr>
          <w:rFonts w:hint="cs"/>
          <w:rtl/>
        </w:rPr>
        <w:tab/>
        <w:t xml:space="preserve">בחקירתו הנגדית הודה כי באירוע הראשון היו ליד הבית של המתלוננת חול ואבנים, וטען כי אמר לאמו שבטח יאשימו אותו בזה. </w:t>
      </w:r>
      <w:r>
        <w:rPr>
          <w:rFonts w:hint="cs"/>
          <w:u w:val="single"/>
          <w:rtl/>
        </w:rPr>
        <w:t>אבל,</w:t>
      </w:r>
      <w:r>
        <w:rPr>
          <w:rFonts w:hint="cs"/>
          <w:rtl/>
        </w:rPr>
        <w:t xml:space="preserve"> הוא לא מצא לנכון לזמן את אמו להעיד בנקודה זו.</w:t>
      </w:r>
      <w:r>
        <w:rPr>
          <w:color w:val="FFFFFF"/>
          <w:sz w:val="4"/>
          <w:szCs w:val="4"/>
          <w:rtl/>
        </w:rPr>
        <w:t>נ</w:t>
      </w:r>
    </w:p>
    <w:p w14:paraId="2916982C" w14:textId="77777777" w:rsidR="00352BA2" w:rsidRDefault="00352BA2">
      <w:pPr>
        <w:ind w:left="720" w:hanging="720"/>
        <w:rPr>
          <w:rFonts w:hint="cs"/>
          <w:rtl/>
        </w:rPr>
      </w:pPr>
    </w:p>
    <w:p w14:paraId="62D88991" w14:textId="77777777" w:rsidR="00352BA2" w:rsidRDefault="00352BA2">
      <w:pPr>
        <w:ind w:left="720" w:hanging="720"/>
        <w:rPr>
          <w:rFonts w:hint="cs"/>
          <w:rtl/>
        </w:rPr>
      </w:pPr>
      <w:r>
        <w:rPr>
          <w:rFonts w:hint="cs"/>
          <w:rtl/>
        </w:rPr>
        <w:lastRenderedPageBreak/>
        <w:t>5.</w:t>
      </w:r>
      <w:r>
        <w:rPr>
          <w:rFonts w:hint="cs"/>
          <w:rtl/>
        </w:rPr>
        <w:tab/>
        <w:t>הסניגור בסיכומיו ניסה לערער את מהימנותן של שתי המתלוננת והצביע על סתירות בעדותן לעומת התיעוד הרפואי ("המכה התנפחה והיה לי כחול ביד"), סתירות באשר למועד האירוע (ביום 26/12/2001 או 27/12/2001) והאם קיבלה גם מכה בראש, אם לאו.</w:t>
      </w:r>
      <w:r>
        <w:rPr>
          <w:color w:val="FFFFFF"/>
          <w:sz w:val="4"/>
          <w:szCs w:val="4"/>
          <w:rtl/>
        </w:rPr>
        <w:t>ב</w:t>
      </w:r>
    </w:p>
    <w:p w14:paraId="28225D00" w14:textId="77777777" w:rsidR="00352BA2" w:rsidRDefault="00352BA2">
      <w:pPr>
        <w:ind w:left="720" w:hanging="720"/>
        <w:rPr>
          <w:rFonts w:hint="cs"/>
          <w:rtl/>
        </w:rPr>
      </w:pPr>
    </w:p>
    <w:p w14:paraId="49569893" w14:textId="77777777" w:rsidR="00352BA2" w:rsidRDefault="00352BA2">
      <w:pPr>
        <w:ind w:left="720" w:hanging="720"/>
        <w:rPr>
          <w:rFonts w:hint="cs"/>
          <w:rtl/>
        </w:rPr>
      </w:pPr>
      <w:r>
        <w:rPr>
          <w:rFonts w:hint="cs"/>
          <w:rtl/>
        </w:rPr>
        <w:tab/>
        <w:t>הזהרתי את עצמי שמדובר, לגבי כל אחד מהאירועים, בעדות יחידה למעשה, ועדיין אני נותן אמון מלא בגירסאות המתלוננות.</w:t>
      </w:r>
      <w:r>
        <w:rPr>
          <w:color w:val="FFFFFF"/>
          <w:sz w:val="4"/>
          <w:szCs w:val="4"/>
          <w:rtl/>
        </w:rPr>
        <w:t>ו</w:t>
      </w:r>
    </w:p>
    <w:p w14:paraId="1A28157F" w14:textId="77777777" w:rsidR="00352BA2" w:rsidRDefault="00352BA2">
      <w:pPr>
        <w:ind w:left="720" w:hanging="720"/>
        <w:rPr>
          <w:rFonts w:hint="cs"/>
          <w:rtl/>
        </w:rPr>
      </w:pPr>
    </w:p>
    <w:p w14:paraId="0ECD77AA" w14:textId="77777777" w:rsidR="00352BA2" w:rsidRDefault="00352BA2">
      <w:pPr>
        <w:ind w:left="720" w:hanging="720"/>
        <w:rPr>
          <w:rFonts w:hint="cs"/>
          <w:rtl/>
        </w:rPr>
      </w:pPr>
      <w:r>
        <w:rPr>
          <w:rFonts w:hint="cs"/>
          <w:rtl/>
        </w:rPr>
        <w:tab/>
        <w:t>את הסתירות הקלות עליהן הצביע הסניגור אני מייחס, ללא פקפוק, לחוסר השליטה שלהן בשפה העברית וליכולת הביטוי היחידה שלהן, מה שמכביד על כל מי שגובה הודעה (במשטרה) וכל מי שרושם את תלונות הפציינט (בחדר-מיון).</w:t>
      </w:r>
      <w:r>
        <w:rPr>
          <w:color w:val="FFFFFF"/>
          <w:sz w:val="4"/>
          <w:szCs w:val="4"/>
          <w:rtl/>
        </w:rPr>
        <w:t>נ</w:t>
      </w:r>
    </w:p>
    <w:p w14:paraId="7B747604" w14:textId="77777777" w:rsidR="00352BA2" w:rsidRDefault="00352BA2">
      <w:pPr>
        <w:ind w:left="720" w:hanging="720"/>
        <w:rPr>
          <w:rFonts w:hint="cs"/>
          <w:rtl/>
        </w:rPr>
      </w:pPr>
    </w:p>
    <w:p w14:paraId="3DE07FAC" w14:textId="77777777" w:rsidR="00352BA2" w:rsidRDefault="00352BA2">
      <w:pPr>
        <w:ind w:left="720" w:hanging="720"/>
        <w:rPr>
          <w:rFonts w:hint="cs"/>
          <w:rtl/>
        </w:rPr>
      </w:pPr>
      <w:r>
        <w:rPr>
          <w:rFonts w:hint="cs"/>
          <w:rtl/>
        </w:rPr>
        <w:tab/>
        <w:t>כמו כן, ראוי לזכור שהאירועים הללו היו חלק מרצף אירועים רב מאוד, וקשה לצפות שלא תהיינה סתירות קלות הנובעות מבלבול ומסערת-רגשות.</w:t>
      </w:r>
      <w:r>
        <w:rPr>
          <w:color w:val="FFFFFF"/>
          <w:sz w:val="4"/>
          <w:szCs w:val="4"/>
          <w:rtl/>
        </w:rPr>
        <w:t>ב</w:t>
      </w:r>
    </w:p>
    <w:p w14:paraId="688ECC03" w14:textId="77777777" w:rsidR="00352BA2" w:rsidRDefault="00352BA2">
      <w:pPr>
        <w:ind w:left="720" w:hanging="720"/>
        <w:rPr>
          <w:rFonts w:hint="cs"/>
          <w:rtl/>
        </w:rPr>
      </w:pPr>
    </w:p>
    <w:p w14:paraId="493589D2" w14:textId="77777777" w:rsidR="00352BA2" w:rsidRDefault="00352BA2">
      <w:pPr>
        <w:ind w:left="720" w:hanging="720"/>
        <w:rPr>
          <w:rFonts w:hint="cs"/>
          <w:rtl/>
        </w:rPr>
      </w:pPr>
      <w:r>
        <w:rPr>
          <w:rFonts w:hint="cs"/>
          <w:rtl/>
        </w:rPr>
        <w:tab/>
        <w:t>שוכנעתי, מעבר לספק סביר, כי הנאשם עשה את המעשים המיוחסים לו, ואני מעדיף, חד-משמעית, את עדויות המתלוננות על פני עדותו.</w:t>
      </w:r>
      <w:r>
        <w:rPr>
          <w:color w:val="FFFFFF"/>
          <w:sz w:val="4"/>
          <w:szCs w:val="4"/>
          <w:rtl/>
        </w:rPr>
        <w:t>ו</w:t>
      </w:r>
    </w:p>
    <w:p w14:paraId="25F52B5C" w14:textId="77777777" w:rsidR="00352BA2" w:rsidRDefault="00352BA2">
      <w:pPr>
        <w:ind w:left="720" w:hanging="720"/>
        <w:rPr>
          <w:rFonts w:hint="cs"/>
          <w:rtl/>
        </w:rPr>
      </w:pPr>
    </w:p>
    <w:p w14:paraId="498D3BBE" w14:textId="77777777" w:rsidR="00352BA2" w:rsidRDefault="00352BA2">
      <w:pPr>
        <w:ind w:left="720" w:hanging="720"/>
        <w:rPr>
          <w:rFonts w:hint="cs"/>
          <w:rtl/>
        </w:rPr>
      </w:pPr>
      <w:r>
        <w:rPr>
          <w:rFonts w:hint="cs"/>
          <w:rtl/>
        </w:rPr>
        <w:tab/>
        <w:t>זאת ועוד: הימנעות הנאשם מלהביא לעדות את אמו, שיכלה לתמוך בגירסתו באשר לאישום הראשון, פועלת לרעתו.</w:t>
      </w:r>
      <w:r>
        <w:rPr>
          <w:color w:val="FFFFFF"/>
          <w:sz w:val="4"/>
          <w:szCs w:val="4"/>
          <w:rtl/>
        </w:rPr>
        <w:t>נ</w:t>
      </w:r>
    </w:p>
    <w:p w14:paraId="4A39C143" w14:textId="77777777" w:rsidR="00352BA2" w:rsidRDefault="00352BA2">
      <w:pPr>
        <w:ind w:left="720" w:hanging="720"/>
        <w:rPr>
          <w:rFonts w:hint="cs"/>
          <w:rtl/>
        </w:rPr>
      </w:pPr>
    </w:p>
    <w:p w14:paraId="24B80DFE" w14:textId="77777777" w:rsidR="00352BA2" w:rsidRDefault="00352BA2">
      <w:pPr>
        <w:ind w:left="720" w:hanging="720"/>
        <w:rPr>
          <w:rFonts w:hint="cs"/>
          <w:rtl/>
        </w:rPr>
      </w:pPr>
      <w:r>
        <w:rPr>
          <w:rFonts w:hint="cs"/>
          <w:rtl/>
        </w:rPr>
        <w:t>6.</w:t>
      </w:r>
      <w:r>
        <w:rPr>
          <w:rFonts w:hint="cs"/>
          <w:rtl/>
        </w:rPr>
        <w:tab/>
        <w:t>עם זאת, לגבי העבירה של מעשה מגונה בפומבי, הרי לא הוכח שהמעשה של הוצאת איבר-המין (שהוא ללא ספק "מעשה מגונה") נעשה בפומבי.</w:t>
      </w:r>
      <w:r>
        <w:rPr>
          <w:color w:val="FFFFFF"/>
          <w:sz w:val="4"/>
          <w:szCs w:val="4"/>
          <w:rtl/>
        </w:rPr>
        <w:t>ב</w:t>
      </w:r>
    </w:p>
    <w:p w14:paraId="43FD9D45" w14:textId="77777777" w:rsidR="00352BA2" w:rsidRDefault="00352BA2">
      <w:pPr>
        <w:ind w:left="720" w:hanging="720"/>
        <w:rPr>
          <w:rFonts w:hint="cs"/>
          <w:rtl/>
        </w:rPr>
      </w:pPr>
    </w:p>
    <w:p w14:paraId="73872B4B" w14:textId="77777777" w:rsidR="00352BA2" w:rsidRDefault="00352BA2">
      <w:pPr>
        <w:ind w:left="720" w:hanging="720"/>
        <w:rPr>
          <w:rFonts w:hint="cs"/>
          <w:rtl/>
        </w:rPr>
      </w:pPr>
      <w:r>
        <w:rPr>
          <w:rFonts w:hint="cs"/>
          <w:rtl/>
        </w:rPr>
        <w:tab/>
      </w:r>
      <w:hyperlink r:id="rId8" w:history="1">
        <w:r w:rsidR="00892341" w:rsidRPr="00892341">
          <w:rPr>
            <w:rStyle w:val="Hyperlink"/>
            <w:rFonts w:hint="eastAsia"/>
            <w:rtl/>
          </w:rPr>
          <w:t>סעיף</w:t>
        </w:r>
        <w:r w:rsidR="00892341" w:rsidRPr="00892341">
          <w:rPr>
            <w:rStyle w:val="Hyperlink"/>
            <w:rtl/>
          </w:rPr>
          <w:t xml:space="preserve"> 349 (א)</w:t>
        </w:r>
      </w:hyperlink>
      <w:r>
        <w:rPr>
          <w:rFonts w:hint="cs"/>
          <w:rtl/>
        </w:rPr>
        <w:t xml:space="preserve"> ל</w:t>
      </w:r>
      <w:r w:rsidR="00EF48A7" w:rsidRPr="00892341">
        <w:rPr>
          <w:rFonts w:hint="eastAsia"/>
          <w:rtl/>
        </w:rPr>
        <w:t>חוק</w:t>
      </w:r>
      <w:r w:rsidR="00EF48A7" w:rsidRPr="00892341">
        <w:rPr>
          <w:rtl/>
        </w:rPr>
        <w:t xml:space="preserve"> העונשין</w:t>
      </w:r>
      <w:r>
        <w:rPr>
          <w:rFonts w:hint="cs"/>
          <w:rtl/>
        </w:rPr>
        <w:t xml:space="preserve"> תשל"ז - 1977 - קובע:</w:t>
      </w:r>
    </w:p>
    <w:p w14:paraId="2394C42C" w14:textId="77777777" w:rsidR="00352BA2" w:rsidRDefault="00352BA2">
      <w:pPr>
        <w:ind w:left="720" w:hanging="720"/>
        <w:rPr>
          <w:rFonts w:hint="cs"/>
          <w:b/>
          <w:bCs/>
          <w:rtl/>
        </w:rPr>
      </w:pPr>
      <w:r>
        <w:rPr>
          <w:rFonts w:hint="cs"/>
          <w:rtl/>
        </w:rPr>
        <w:tab/>
      </w:r>
      <w:r>
        <w:rPr>
          <w:rFonts w:hint="cs"/>
          <w:b/>
          <w:bCs/>
          <w:rtl/>
        </w:rPr>
        <w:t>"העושה מעשה מגונה בפומבי בפני אדם אחר, ללא הסכמתו, או העושה מעשה כאמור בכל מקום שהוא תוך ניצול יחסי תלול, מרות, חינוך, השגחה, עבודה או שירות, דינו - מאסר שנה".</w:t>
      </w:r>
      <w:r>
        <w:rPr>
          <w:b/>
          <w:bCs/>
          <w:color w:val="FFFFFF"/>
          <w:sz w:val="4"/>
          <w:szCs w:val="4"/>
          <w:rtl/>
        </w:rPr>
        <w:t>ו</w:t>
      </w:r>
    </w:p>
    <w:p w14:paraId="1D36A36E" w14:textId="77777777" w:rsidR="00352BA2" w:rsidRDefault="00352BA2">
      <w:pPr>
        <w:ind w:left="720" w:hanging="720"/>
        <w:rPr>
          <w:rFonts w:hint="cs"/>
          <w:b/>
          <w:bCs/>
          <w:rtl/>
        </w:rPr>
      </w:pPr>
    </w:p>
    <w:p w14:paraId="54286576" w14:textId="77777777" w:rsidR="00352BA2" w:rsidRDefault="00352BA2">
      <w:pPr>
        <w:ind w:left="720" w:hanging="720"/>
        <w:rPr>
          <w:rFonts w:hint="cs"/>
          <w:rtl/>
        </w:rPr>
      </w:pPr>
      <w:r>
        <w:rPr>
          <w:rFonts w:hint="cs"/>
          <w:b/>
          <w:bCs/>
          <w:rtl/>
        </w:rPr>
        <w:tab/>
      </w:r>
      <w:r>
        <w:rPr>
          <w:rFonts w:hint="cs"/>
          <w:rtl/>
        </w:rPr>
        <w:t>המילה "פומבי" מוגדרת ב</w:t>
      </w:r>
      <w:r w:rsidR="00EF48A7" w:rsidRPr="00892341">
        <w:rPr>
          <w:rFonts w:hint="eastAsia"/>
          <w:rtl/>
        </w:rPr>
        <w:t>חוק</w:t>
      </w:r>
      <w:r w:rsidR="00EF48A7" w:rsidRPr="00892341">
        <w:rPr>
          <w:rtl/>
        </w:rPr>
        <w:t xml:space="preserve"> העונשין</w:t>
      </w:r>
      <w:r>
        <w:rPr>
          <w:rFonts w:hint="cs"/>
          <w:rtl/>
        </w:rPr>
        <w:t xml:space="preserve"> כך:</w:t>
      </w:r>
    </w:p>
    <w:p w14:paraId="2CC94A0B" w14:textId="77777777" w:rsidR="00352BA2" w:rsidRDefault="00352BA2">
      <w:pPr>
        <w:ind w:left="720" w:hanging="720"/>
        <w:rPr>
          <w:rFonts w:hint="cs"/>
          <w:b/>
          <w:bCs/>
          <w:rtl/>
        </w:rPr>
      </w:pPr>
      <w:r>
        <w:rPr>
          <w:rFonts w:hint="cs"/>
          <w:rtl/>
        </w:rPr>
        <w:tab/>
        <w:t>"</w:t>
      </w:r>
      <w:r>
        <w:rPr>
          <w:rFonts w:hint="cs"/>
          <w:b/>
          <w:bCs/>
          <w:rtl/>
        </w:rPr>
        <w:t xml:space="preserve">פומבי", לעניין מעשה - </w:t>
      </w:r>
    </w:p>
    <w:p w14:paraId="412A4A3C" w14:textId="77777777" w:rsidR="00352BA2" w:rsidRDefault="00352BA2">
      <w:pPr>
        <w:ind w:left="720" w:hanging="720"/>
        <w:rPr>
          <w:rFonts w:hint="cs"/>
          <w:b/>
          <w:bCs/>
          <w:rtl/>
        </w:rPr>
      </w:pPr>
      <w:r>
        <w:rPr>
          <w:rFonts w:hint="cs"/>
          <w:b/>
          <w:bCs/>
          <w:rtl/>
        </w:rPr>
        <w:tab/>
        <w:t>1. מקום ציבורי, כשאדם יכול לראות את המעשה בכל מקום שהוא.</w:t>
      </w:r>
      <w:r>
        <w:rPr>
          <w:b/>
          <w:bCs/>
          <w:color w:val="FFFFFF"/>
          <w:sz w:val="4"/>
          <w:szCs w:val="4"/>
          <w:rtl/>
        </w:rPr>
        <w:t>נ</w:t>
      </w:r>
    </w:p>
    <w:p w14:paraId="0E6EA928" w14:textId="77777777" w:rsidR="00352BA2" w:rsidRDefault="00352BA2">
      <w:pPr>
        <w:ind w:left="720" w:hanging="720"/>
        <w:rPr>
          <w:rFonts w:hint="cs"/>
          <w:b/>
          <w:bCs/>
          <w:rtl/>
        </w:rPr>
      </w:pPr>
      <w:r>
        <w:rPr>
          <w:rFonts w:hint="cs"/>
          <w:b/>
          <w:bCs/>
          <w:rtl/>
        </w:rPr>
        <w:tab/>
        <w:t>2. מקום שאינו ציבורי, ובלבד שאדם המצוי במקום ציבורי יכול לראות את המעשה.</w:t>
      </w:r>
      <w:r>
        <w:rPr>
          <w:b/>
          <w:bCs/>
          <w:color w:val="FFFFFF"/>
          <w:sz w:val="4"/>
          <w:szCs w:val="4"/>
          <w:rtl/>
        </w:rPr>
        <w:t>ב</w:t>
      </w:r>
    </w:p>
    <w:p w14:paraId="465C1057" w14:textId="77777777" w:rsidR="00352BA2" w:rsidRDefault="00352BA2">
      <w:pPr>
        <w:ind w:left="720" w:hanging="720"/>
        <w:rPr>
          <w:rFonts w:hint="cs"/>
          <w:b/>
          <w:bCs/>
          <w:rtl/>
        </w:rPr>
      </w:pPr>
    </w:p>
    <w:p w14:paraId="54EBA4E8" w14:textId="77777777" w:rsidR="00352BA2" w:rsidRDefault="00352BA2">
      <w:pPr>
        <w:ind w:left="720" w:hanging="720"/>
        <w:rPr>
          <w:rFonts w:hint="cs"/>
          <w:rtl/>
        </w:rPr>
      </w:pPr>
      <w:r>
        <w:rPr>
          <w:rFonts w:hint="cs"/>
          <w:rtl/>
        </w:rPr>
        <w:tab/>
        <w:t>המונח "מקום ציבורי" מוגדר:</w:t>
      </w:r>
    </w:p>
    <w:p w14:paraId="6F22472C" w14:textId="77777777" w:rsidR="00352BA2" w:rsidRDefault="00352BA2">
      <w:pPr>
        <w:ind w:left="720" w:hanging="720"/>
        <w:rPr>
          <w:rFonts w:hint="cs"/>
          <w:b/>
          <w:bCs/>
          <w:rtl/>
        </w:rPr>
      </w:pPr>
      <w:r>
        <w:rPr>
          <w:rFonts w:hint="cs"/>
          <w:rtl/>
        </w:rPr>
        <w:lastRenderedPageBreak/>
        <w:tab/>
        <w:t>"</w:t>
      </w:r>
      <w:r>
        <w:rPr>
          <w:rFonts w:hint="cs"/>
          <w:b/>
          <w:bCs/>
          <w:rtl/>
        </w:rPr>
        <w:t>מקום ציבורי" -  דרך, בנין, מקום או אמצעי תעבורה שיש אותה שעה לציבור זכות או רשות של גישה אליהם, בלא תנאי או בתנאי של תשלום, וכל בנין או מקום המשמש אותה שעה להתקהלות ציבורית או דתית או לבית משפט היושב בפומבי.</w:t>
      </w:r>
      <w:r>
        <w:rPr>
          <w:b/>
          <w:bCs/>
          <w:color w:val="FFFFFF"/>
          <w:sz w:val="4"/>
          <w:szCs w:val="4"/>
          <w:rtl/>
        </w:rPr>
        <w:t>ו</w:t>
      </w:r>
    </w:p>
    <w:p w14:paraId="11115C99" w14:textId="77777777" w:rsidR="00352BA2" w:rsidRDefault="00352BA2">
      <w:pPr>
        <w:ind w:left="720" w:hanging="720"/>
        <w:rPr>
          <w:rFonts w:hint="cs"/>
          <w:b/>
          <w:bCs/>
          <w:rtl/>
        </w:rPr>
      </w:pPr>
    </w:p>
    <w:p w14:paraId="621A0590" w14:textId="77777777" w:rsidR="00352BA2" w:rsidRDefault="00352BA2">
      <w:pPr>
        <w:ind w:left="720" w:hanging="720"/>
        <w:rPr>
          <w:rFonts w:hint="cs"/>
          <w:rtl/>
        </w:rPr>
      </w:pPr>
      <w:r>
        <w:rPr>
          <w:rFonts w:hint="cs"/>
          <w:rtl/>
        </w:rPr>
        <w:tab/>
        <w:t>במקרה שבפנינו לא הוכח כי חדר המדרגות שבו הוציא הנאשם את איבר-מינו היה מקום-ציבורי במובן זה שלציבור רשות גישה אליו, או שאדם המצוי במקום ציבורי יכול היה לראות את המתרחש.</w:t>
      </w:r>
    </w:p>
    <w:p w14:paraId="1B54570E" w14:textId="77777777" w:rsidR="00352BA2" w:rsidRDefault="00352BA2">
      <w:pPr>
        <w:ind w:left="720" w:hanging="720"/>
        <w:rPr>
          <w:rFonts w:hint="cs"/>
          <w:rtl/>
        </w:rPr>
      </w:pPr>
    </w:p>
    <w:p w14:paraId="0D9C8397" w14:textId="77777777" w:rsidR="00352BA2" w:rsidRDefault="00352BA2">
      <w:pPr>
        <w:ind w:left="720" w:hanging="720"/>
        <w:rPr>
          <w:rFonts w:hint="cs"/>
          <w:rtl/>
        </w:rPr>
      </w:pPr>
      <w:r>
        <w:rPr>
          <w:rFonts w:hint="cs"/>
          <w:rtl/>
        </w:rPr>
        <w:tab/>
        <w:t>ב-</w:t>
      </w:r>
      <w:hyperlink r:id="rId9" w:history="1">
        <w:r w:rsidR="00892341" w:rsidRPr="00892341">
          <w:rPr>
            <w:rStyle w:val="Hyperlink"/>
            <w:rFonts w:hint="eastAsia"/>
            <w:rtl/>
          </w:rPr>
          <w:t>ת</w:t>
        </w:r>
        <w:r w:rsidR="00892341" w:rsidRPr="00892341">
          <w:rPr>
            <w:rStyle w:val="Hyperlink"/>
            <w:rtl/>
          </w:rPr>
          <w:t>.פ</w:t>
        </w:r>
        <w:r w:rsidR="00892341" w:rsidRPr="00892341">
          <w:rPr>
            <w:rStyle w:val="Hyperlink"/>
            <w:rtl/>
          </w:rPr>
          <w:t>.</w:t>
        </w:r>
        <w:r w:rsidR="00892341" w:rsidRPr="00892341">
          <w:rPr>
            <w:rStyle w:val="Hyperlink"/>
            <w:rtl/>
          </w:rPr>
          <w:t xml:space="preserve"> (מחוזי ת"א) 5501/84 מ"י נ. יוסף דיין</w:t>
        </w:r>
      </w:hyperlink>
      <w:r>
        <w:rPr>
          <w:rFonts w:hint="cs"/>
          <w:rtl/>
        </w:rPr>
        <w:t>, נקבע לגבי מגרש חניה המיועד לעובדי העירייה, כי איננו "מקום-ציבורי" (לעניין עבירה אחרת אומנם, אך הדברים יפים גם לעניינינו).</w:t>
      </w:r>
    </w:p>
    <w:p w14:paraId="4870E09E" w14:textId="77777777" w:rsidR="00352BA2" w:rsidRDefault="00352BA2">
      <w:pPr>
        <w:ind w:left="720" w:hanging="720"/>
        <w:rPr>
          <w:rFonts w:hint="cs"/>
          <w:rtl/>
        </w:rPr>
      </w:pPr>
    </w:p>
    <w:p w14:paraId="2D65E00C" w14:textId="77777777" w:rsidR="00352BA2" w:rsidRDefault="00352BA2">
      <w:pPr>
        <w:ind w:left="720" w:hanging="720"/>
        <w:rPr>
          <w:rFonts w:hint="cs"/>
          <w:rtl/>
        </w:rPr>
      </w:pPr>
      <w:r>
        <w:rPr>
          <w:rFonts w:hint="cs"/>
          <w:rtl/>
        </w:rPr>
        <w:t>7.</w:t>
      </w:r>
      <w:r>
        <w:rPr>
          <w:rFonts w:hint="cs"/>
          <w:rtl/>
        </w:rPr>
        <w:tab/>
        <w:t>סיכומו של דבר, אני מרשיע את הנאשם בשתי התקיפות המיוחסות לו בשני פרטי-האישום (האחת מהן תקיפה חבלנית), ומזכה אותו מעבירה של "מעשה-מגונה בפומבי".</w:t>
      </w:r>
    </w:p>
    <w:p w14:paraId="3850ED40" w14:textId="77777777" w:rsidR="00352BA2" w:rsidRDefault="00352BA2">
      <w:pPr>
        <w:rPr>
          <w:rFonts w:hint="cs"/>
          <w:rtl/>
        </w:rPr>
      </w:pPr>
      <w:bookmarkStart w:id="8" w:name="Decision1"/>
    </w:p>
    <w:p w14:paraId="13AA6F45" w14:textId="77777777" w:rsidR="00352BA2" w:rsidRDefault="00352BA2">
      <w:pPr>
        <w:ind w:firstLine="720"/>
        <w:rPr>
          <w:rFonts w:hint="cs"/>
          <w:b/>
          <w:bCs/>
          <w:rtl/>
        </w:rPr>
      </w:pPr>
      <w:r>
        <w:rPr>
          <w:rFonts w:hint="cs"/>
          <w:b/>
          <w:bCs/>
          <w:rtl/>
        </w:rPr>
        <w:t>ניתנה היום ו' בתשרי תשס"ו (09 באוקטובר 2005) במעמד הנוכחים.</w:t>
      </w:r>
    </w:p>
    <w:tbl>
      <w:tblPr>
        <w:tblW w:w="0" w:type="auto"/>
        <w:tblInd w:w="5727" w:type="dxa"/>
        <w:tblBorders>
          <w:top w:val="single" w:sz="4" w:space="0" w:color="auto"/>
        </w:tblBorders>
        <w:tblLook w:val="0000" w:firstRow="0" w:lastRow="0" w:firstColumn="0" w:lastColumn="0" w:noHBand="0" w:noVBand="0"/>
      </w:tblPr>
      <w:tblGrid>
        <w:gridCol w:w="2795"/>
      </w:tblGrid>
      <w:tr w:rsidR="00352BA2" w14:paraId="725EDF13" w14:textId="77777777">
        <w:tc>
          <w:tcPr>
            <w:tcW w:w="2795" w:type="dxa"/>
            <w:tcBorders>
              <w:top w:val="single" w:sz="4" w:space="0" w:color="auto"/>
              <w:left w:val="nil"/>
              <w:bottom w:val="nil"/>
              <w:right w:val="nil"/>
            </w:tcBorders>
          </w:tcPr>
          <w:p w14:paraId="0C7B5454" w14:textId="77777777" w:rsidR="00352BA2" w:rsidRDefault="00352BA2">
            <w:pPr>
              <w:jc w:val="center"/>
              <w:rPr>
                <w:b/>
                <w:bCs/>
              </w:rPr>
            </w:pPr>
            <w:r>
              <w:rPr>
                <w:rFonts w:hint="cs"/>
                <w:b/>
                <w:bCs/>
                <w:rtl/>
              </w:rPr>
              <w:t>אהוד קפלן, שופט</w:t>
            </w:r>
          </w:p>
        </w:tc>
      </w:tr>
    </w:tbl>
    <w:p w14:paraId="3CA0BD76" w14:textId="77777777" w:rsidR="00352BA2" w:rsidRDefault="00352BA2">
      <w:pPr>
        <w:suppressLineNumbers/>
        <w:rPr>
          <w:rFonts w:hint="cs"/>
          <w:rtl/>
        </w:rPr>
      </w:pPr>
    </w:p>
    <w:p w14:paraId="7D911E85" w14:textId="77777777" w:rsidR="00352BA2" w:rsidRDefault="00352BA2">
      <w:pPr>
        <w:rPr>
          <w:rFonts w:hint="cs"/>
          <w:sz w:val="24"/>
          <w:rtl/>
        </w:rPr>
      </w:pPr>
    </w:p>
    <w:p w14:paraId="434CDF89" w14:textId="77777777" w:rsidR="00352BA2" w:rsidRDefault="00352BA2">
      <w:pPr>
        <w:rPr>
          <w:rFonts w:hint="cs"/>
          <w:b/>
          <w:bCs/>
          <w:u w:val="single"/>
          <w:rtl/>
        </w:rPr>
      </w:pPr>
      <w:r>
        <w:rPr>
          <w:rFonts w:hint="cs"/>
          <w:b/>
          <w:bCs/>
          <w:u w:val="single"/>
          <w:rtl/>
        </w:rPr>
        <w:t>ב"כ המאשימה טוען לעונש:</w:t>
      </w:r>
    </w:p>
    <w:p w14:paraId="77285120" w14:textId="77777777" w:rsidR="00352BA2" w:rsidRDefault="00352BA2">
      <w:pPr>
        <w:rPr>
          <w:rFonts w:hint="cs"/>
          <w:rtl/>
        </w:rPr>
      </w:pPr>
      <w:r>
        <w:rPr>
          <w:rFonts w:hint="cs"/>
          <w:rtl/>
        </w:rPr>
        <w:t>ביהמ"ש הנכבד הרשיע את הנאשם בשתי עבירות אלימות.</w:t>
      </w:r>
    </w:p>
    <w:p w14:paraId="60BD27F7" w14:textId="77777777" w:rsidR="00352BA2" w:rsidRDefault="00352BA2">
      <w:pPr>
        <w:rPr>
          <w:rFonts w:hint="cs"/>
          <w:rtl/>
        </w:rPr>
      </w:pPr>
      <w:r>
        <w:rPr>
          <w:rFonts w:hint="cs"/>
          <w:rtl/>
        </w:rPr>
        <w:t>מוגש גיליון הרשעותיו הקודמות של הנאשם ובו 16 הרשעות בעבירות רבות ומגוונות.</w:t>
      </w:r>
    </w:p>
    <w:p w14:paraId="53B32BEF" w14:textId="77777777" w:rsidR="00352BA2" w:rsidRDefault="00352BA2">
      <w:pPr>
        <w:rPr>
          <w:rFonts w:hint="cs"/>
          <w:rtl/>
        </w:rPr>
      </w:pPr>
      <w:r>
        <w:rPr>
          <w:rFonts w:hint="cs"/>
          <w:rtl/>
        </w:rPr>
        <w:t>באם אדוני יסתכל על הרשעה מס' 14, בימ"ש השלום בחדרה בתיק 3460/00 הוארך מאסר מותנה שהוטל על הנאשם במספר תיקים, בין היתר מאסר על תנאי של 8 חודשים מ-ת.פ. 2318/96 של בית משפט השלום בחדרה, והואיל ויתר המאסרים שונה עניינם שונה, אני מגיש לביהמ"ש את גזר הדין הזה ולא מגיש את שני המאסרים האחרים הואיל ובהם מדובר בעבירות רכוש ולא בעבירת אלימות.</w:t>
      </w:r>
    </w:p>
    <w:p w14:paraId="1BA95DAC" w14:textId="77777777" w:rsidR="00352BA2" w:rsidRDefault="00352BA2">
      <w:pPr>
        <w:rPr>
          <w:rFonts w:hint="cs"/>
          <w:rtl/>
        </w:rPr>
      </w:pPr>
      <w:r>
        <w:rPr>
          <w:rFonts w:hint="cs"/>
          <w:rtl/>
        </w:rPr>
        <w:t>הואיל וביהמ"ש הרשיע בשתי עבירות, מכאן שהמאסר המותנה שהוארך, גם אלמלא הוארך, היה חב הפעלה, אולם בוודאי שבנסיבות אלו חובה להפעילו.</w:t>
      </w:r>
    </w:p>
    <w:p w14:paraId="4B7B4DE6" w14:textId="77777777" w:rsidR="00352BA2" w:rsidRDefault="00352BA2">
      <w:pPr>
        <w:rPr>
          <w:rFonts w:hint="cs"/>
          <w:rtl/>
        </w:rPr>
      </w:pPr>
      <w:r>
        <w:rPr>
          <w:rFonts w:hint="cs"/>
          <w:rtl/>
        </w:rPr>
        <w:t>מעשיו של הנאשם, כפי שהגיע למסקנה, בסיסם התנכלות לשכנתו, כפי שהעידה פה בביהמ"ש, מתוך כוונה לדחוף אותה מחוץ לבית מגוריה, ויש לראות זאת בחומרה יתרה.</w:t>
      </w:r>
    </w:p>
    <w:p w14:paraId="54685628" w14:textId="77777777" w:rsidR="00352BA2" w:rsidRDefault="00352BA2">
      <w:pPr>
        <w:rPr>
          <w:rFonts w:hint="cs"/>
          <w:rtl/>
        </w:rPr>
      </w:pPr>
      <w:r>
        <w:rPr>
          <w:rFonts w:hint="cs"/>
          <w:rtl/>
        </w:rPr>
        <w:t>יתרה מזו, יש לראות בחומרה יתרה את העבר העשיר של הנאשם, שלא מזמן השתחרר ממאסר, אולם עברו רצוף בהתנכלויות לבני אדם או כלפי גוף או כלפי רכוש האדם, מכאן שיש מקום לנקוט ביד קשה כלפי הנאשם, יד שבספק אם תרתיע אותו אחרי שכל אותן ידיים לא הצליחו להרתיעו בעבר.</w:t>
      </w:r>
    </w:p>
    <w:p w14:paraId="41BE220F" w14:textId="77777777" w:rsidR="00352BA2" w:rsidRDefault="00352BA2">
      <w:pPr>
        <w:rPr>
          <w:rFonts w:hint="cs"/>
          <w:rtl/>
        </w:rPr>
      </w:pPr>
      <w:r>
        <w:rPr>
          <w:rFonts w:hint="cs"/>
          <w:rtl/>
        </w:rPr>
        <w:t>אי לכך, אבקש להטיל על הנאשם מאסר בפועל משמעותי, להפעיל את המאסר המותנה כנגדו במצטבר, וכן להטיל עליו מאסר מותנה בגין כל עבירת אלימות פיזית או מילולית, למעט תיגרה במקום ציבורי.</w:t>
      </w:r>
    </w:p>
    <w:p w14:paraId="362D7802" w14:textId="77777777" w:rsidR="00352BA2" w:rsidRDefault="00352BA2">
      <w:pPr>
        <w:rPr>
          <w:rFonts w:hint="cs"/>
          <w:rtl/>
        </w:rPr>
      </w:pPr>
    </w:p>
    <w:p w14:paraId="0961C769" w14:textId="77777777" w:rsidR="00352BA2" w:rsidRDefault="00352BA2">
      <w:pPr>
        <w:rPr>
          <w:rFonts w:hint="cs"/>
          <w:b/>
          <w:bCs/>
          <w:u w:val="single"/>
          <w:rtl/>
        </w:rPr>
      </w:pPr>
    </w:p>
    <w:p w14:paraId="072BC317" w14:textId="77777777" w:rsidR="00352BA2" w:rsidRDefault="00352BA2">
      <w:pPr>
        <w:rPr>
          <w:rFonts w:hint="cs"/>
          <w:b/>
          <w:bCs/>
          <w:u w:val="single"/>
          <w:rtl/>
        </w:rPr>
      </w:pPr>
      <w:r>
        <w:rPr>
          <w:rFonts w:hint="cs"/>
          <w:b/>
          <w:bCs/>
          <w:u w:val="single"/>
          <w:rtl/>
        </w:rPr>
        <w:t>ב"כ הנאשם טוען לעונש:</w:t>
      </w:r>
    </w:p>
    <w:p w14:paraId="34E808D2" w14:textId="77777777" w:rsidR="00352BA2" w:rsidRDefault="00352BA2">
      <w:pPr>
        <w:rPr>
          <w:rFonts w:hint="cs"/>
          <w:rtl/>
        </w:rPr>
      </w:pPr>
      <w:r>
        <w:rPr>
          <w:rFonts w:hint="cs"/>
          <w:rtl/>
        </w:rPr>
        <w:t>מדובר בנאשם בן 29, רווק, אסיר משוחרר מזה כחודש לאחר שריצה עונש של שנתיים מאסר, לאחר שנשלח למאסר ב</w:t>
      </w:r>
      <w:r w:rsidR="00EF48A7" w:rsidRPr="00892341">
        <w:rPr>
          <w:rFonts w:hint="eastAsia"/>
          <w:rtl/>
        </w:rPr>
        <w:t>תיק</w:t>
      </w:r>
      <w:r w:rsidR="00EF48A7" w:rsidRPr="00892341">
        <w:rPr>
          <w:rtl/>
        </w:rPr>
        <w:t xml:space="preserve"> פלילי </w:t>
      </w:r>
      <w:r w:rsidR="00EF48A7" w:rsidRPr="00892341">
        <w:rPr>
          <w:rtl/>
        </w:rPr>
        <w:t>2</w:t>
      </w:r>
      <w:r w:rsidR="00EF48A7" w:rsidRPr="00892341">
        <w:rPr>
          <w:rtl/>
        </w:rPr>
        <w:t>519/03</w:t>
      </w:r>
      <w:r>
        <w:rPr>
          <w:rFonts w:hint="cs"/>
          <w:rtl/>
        </w:rPr>
        <w:t>.</w:t>
      </w:r>
    </w:p>
    <w:p w14:paraId="44A7345C" w14:textId="77777777" w:rsidR="00352BA2" w:rsidRDefault="00352BA2">
      <w:pPr>
        <w:rPr>
          <w:rFonts w:hint="cs"/>
          <w:rtl/>
        </w:rPr>
      </w:pPr>
      <w:r>
        <w:rPr>
          <w:rFonts w:hint="cs"/>
          <w:rtl/>
        </w:rPr>
        <w:t>בתיק שבפנינו המדובר בעבירות ישנות שבוצעו בשנים 2001 ו- 2002.</w:t>
      </w:r>
    </w:p>
    <w:p w14:paraId="5D907F9E" w14:textId="77777777" w:rsidR="00352BA2" w:rsidRDefault="00352BA2">
      <w:pPr>
        <w:rPr>
          <w:rFonts w:hint="cs"/>
          <w:rtl/>
        </w:rPr>
      </w:pPr>
      <w:r>
        <w:rPr>
          <w:rFonts w:hint="cs"/>
          <w:rtl/>
        </w:rPr>
        <w:t>אני מתפלא על ב"כ המאשימה שטוען כי כנגד הנאשם קיים מאסר על תנאי שהינו חב הפעלה, שכן אין כנגדו שום מאסר על תנאי הואיל והמאסרים על תנאי כבר הופעלו ב</w:t>
      </w:r>
      <w:r w:rsidR="00EF48A7" w:rsidRPr="00892341">
        <w:rPr>
          <w:rFonts w:hint="eastAsia"/>
          <w:rtl/>
        </w:rPr>
        <w:t>תיק</w:t>
      </w:r>
      <w:r w:rsidR="00EF48A7" w:rsidRPr="00892341">
        <w:rPr>
          <w:rtl/>
        </w:rPr>
        <w:t xml:space="preserve"> פלילי 2519/03</w:t>
      </w:r>
      <w:r>
        <w:rPr>
          <w:rFonts w:hint="cs"/>
          <w:rtl/>
        </w:rPr>
        <w:t>.</w:t>
      </w:r>
    </w:p>
    <w:p w14:paraId="0B7CB435" w14:textId="77777777" w:rsidR="00352BA2" w:rsidRDefault="00352BA2">
      <w:pPr>
        <w:rPr>
          <w:rFonts w:hint="cs"/>
          <w:rtl/>
        </w:rPr>
      </w:pPr>
      <w:r>
        <w:rPr>
          <w:rFonts w:hint="cs"/>
          <w:rtl/>
        </w:rPr>
        <w:t>אני מגיש את כתב האישום עם גזר הדין, ובאם המחשב של המאשימה לא מעודכן, עלול להיגרם עוול לנאשם.</w:t>
      </w:r>
    </w:p>
    <w:p w14:paraId="4A1A06A2" w14:textId="77777777" w:rsidR="00352BA2" w:rsidRDefault="00352BA2">
      <w:pPr>
        <w:rPr>
          <w:rFonts w:hint="cs"/>
          <w:rtl/>
        </w:rPr>
      </w:pPr>
    </w:p>
    <w:p w14:paraId="637D433A" w14:textId="77777777" w:rsidR="00352BA2" w:rsidRDefault="00352BA2">
      <w:pPr>
        <w:rPr>
          <w:rFonts w:hint="cs"/>
          <w:rtl/>
        </w:rPr>
      </w:pPr>
      <w:r>
        <w:rPr>
          <w:rFonts w:hint="cs"/>
          <w:b/>
          <w:bCs/>
          <w:u w:val="single"/>
          <w:rtl/>
        </w:rPr>
        <w:t>ב"כ המאשימה</w:t>
      </w:r>
      <w:r>
        <w:rPr>
          <w:rFonts w:hint="cs"/>
          <w:rtl/>
        </w:rPr>
        <w:t>:</w:t>
      </w:r>
    </w:p>
    <w:p w14:paraId="5788E1C2" w14:textId="77777777" w:rsidR="00352BA2" w:rsidRDefault="00352BA2">
      <w:pPr>
        <w:rPr>
          <w:rFonts w:hint="cs"/>
          <w:rtl/>
        </w:rPr>
      </w:pPr>
      <w:r>
        <w:rPr>
          <w:rFonts w:hint="cs"/>
          <w:rtl/>
        </w:rPr>
        <w:t>בשלב זה אבקש להפסיק את טיעוני חברי ולהוסיף מספר מילים.</w:t>
      </w:r>
    </w:p>
    <w:p w14:paraId="3949B993" w14:textId="77777777" w:rsidR="00352BA2" w:rsidRDefault="00352BA2">
      <w:pPr>
        <w:rPr>
          <w:rFonts w:hint="cs"/>
          <w:rtl/>
        </w:rPr>
      </w:pPr>
      <w:r>
        <w:rPr>
          <w:rFonts w:hint="cs"/>
          <w:rtl/>
        </w:rPr>
        <w:t>לאור הפניית חברי ל</w:t>
      </w:r>
      <w:r w:rsidR="00EF48A7" w:rsidRPr="00892341">
        <w:rPr>
          <w:rFonts w:hint="eastAsia"/>
          <w:rtl/>
        </w:rPr>
        <w:t>ת</w:t>
      </w:r>
      <w:r w:rsidR="00EF48A7" w:rsidRPr="00892341">
        <w:rPr>
          <w:rtl/>
        </w:rPr>
        <w:t>.פ. 2519/03</w:t>
      </w:r>
      <w:r>
        <w:rPr>
          <w:rFonts w:hint="cs"/>
          <w:rtl/>
        </w:rPr>
        <w:t xml:space="preserve"> של בימ"ש נכבד זה, נראה כי יש טעות מבחינת המשטרה ברישום הפלילי, ומשום מה כנראה או שגזר הדין לא הוזן למחשב או שהוא לא נקלט במחשב, ואני יודע מידיעה אישית שיש בעיה במטה הארצי בעניין זה, ולכן לאור הצגת גזר הדין נראה בעליל שהמאסר על תנאי עליו דיברתי איננו תקף בעניינינו הואיל והוא הופעל, ואי לכך אבקש מביהמ"ש להתעלם בעניין זה מדברי, אולם להשאיר את החלק האחר של דברי בעניין הטלת מאסר בפועל כלפי הנאשם בגין שתי העבירות בהן הורשע ועל מנת להרתיעו.</w:t>
      </w:r>
    </w:p>
    <w:p w14:paraId="5C611E08" w14:textId="77777777" w:rsidR="00352BA2" w:rsidRDefault="00352BA2">
      <w:pPr>
        <w:rPr>
          <w:rFonts w:hint="cs"/>
          <w:rtl/>
        </w:rPr>
      </w:pPr>
    </w:p>
    <w:p w14:paraId="14CA0CC0" w14:textId="77777777" w:rsidR="00352BA2" w:rsidRDefault="00352BA2">
      <w:pPr>
        <w:rPr>
          <w:rFonts w:hint="cs"/>
          <w:rtl/>
        </w:rPr>
      </w:pPr>
      <w:r>
        <w:rPr>
          <w:rFonts w:hint="cs"/>
          <w:b/>
          <w:bCs/>
          <w:u w:val="single"/>
          <w:rtl/>
        </w:rPr>
        <w:t>ב"כ הנאשם בהמשך טיעוניו לעונש</w:t>
      </w:r>
      <w:r>
        <w:rPr>
          <w:rFonts w:hint="cs"/>
          <w:rtl/>
        </w:rPr>
        <w:t>:</w:t>
      </w:r>
    </w:p>
    <w:p w14:paraId="2657CE2F" w14:textId="77777777" w:rsidR="00352BA2" w:rsidRDefault="00352BA2">
      <w:pPr>
        <w:pStyle w:val="BodyText"/>
        <w:rPr>
          <w:rFonts w:hint="cs"/>
          <w:rtl/>
        </w:rPr>
      </w:pPr>
      <w:r>
        <w:rPr>
          <w:rFonts w:hint="cs"/>
          <w:rtl/>
        </w:rPr>
        <w:t>כאמור בטיעוני, הנאשם ביצע צירוף תיקים משמעותי ביותר ב</w:t>
      </w:r>
      <w:r w:rsidR="00EF48A7" w:rsidRPr="00892341">
        <w:rPr>
          <w:rFonts w:hint="eastAsia"/>
          <w:rtl/>
        </w:rPr>
        <w:t>תיק</w:t>
      </w:r>
      <w:r w:rsidR="00EF48A7" w:rsidRPr="00892341">
        <w:rPr>
          <w:rtl/>
        </w:rPr>
        <w:t xml:space="preserve"> פלילי 2519/03</w:t>
      </w:r>
      <w:r>
        <w:rPr>
          <w:rFonts w:hint="cs"/>
          <w:rtl/>
        </w:rPr>
        <w:t xml:space="preserve"> וצירף תיקים רבים וריצה מאסר ממושך בן שנתיים באופן מלא ללא ניכוי שליש מתקופת מאסרו.</w:t>
      </w:r>
    </w:p>
    <w:p w14:paraId="118DAFE7" w14:textId="77777777" w:rsidR="00352BA2" w:rsidRDefault="00352BA2">
      <w:pPr>
        <w:pStyle w:val="BodyText"/>
        <w:rPr>
          <w:rFonts w:hint="cs"/>
          <w:rtl/>
        </w:rPr>
      </w:pPr>
      <w:r>
        <w:rPr>
          <w:rFonts w:hint="cs"/>
          <w:rtl/>
        </w:rPr>
        <w:t xml:space="preserve">גם </w:t>
      </w:r>
      <w:r w:rsidR="00EF48A7" w:rsidRPr="00892341">
        <w:rPr>
          <w:rFonts w:hint="eastAsia"/>
          <w:rtl/>
        </w:rPr>
        <w:t>ת</w:t>
      </w:r>
      <w:r w:rsidR="00EF48A7" w:rsidRPr="00892341">
        <w:rPr>
          <w:rtl/>
        </w:rPr>
        <w:t>.פ. 2519/03</w:t>
      </w:r>
      <w:r>
        <w:rPr>
          <w:rFonts w:hint="cs"/>
          <w:rtl/>
        </w:rPr>
        <w:t xml:space="preserve"> נוגע לאותה שכנה, והנאשם מבחינתו האמין באמת ובתמים שהוא הודה בכל העבירות שהוא ביצע כלפי שכנתו, למעט אלו שבכתב האישום הנוכחי, שבו כאמור בהכרעת הדין ביהמ"ש החליט להרשיעו בחלק מהאישומים וגם המאשימה חזרה בה מהתקיפה החבלנית.</w:t>
      </w:r>
    </w:p>
    <w:p w14:paraId="03A1E7B2" w14:textId="77777777" w:rsidR="00352BA2" w:rsidRDefault="00352BA2">
      <w:pPr>
        <w:pStyle w:val="BodyText"/>
        <w:rPr>
          <w:rFonts w:hint="cs"/>
          <w:rtl/>
        </w:rPr>
      </w:pPr>
      <w:r>
        <w:rPr>
          <w:rFonts w:hint="cs"/>
          <w:rtl/>
        </w:rPr>
        <w:t>לאור חלוף הזמן, ולאור העובדה שמדובר באסיר משוחרר שתלוי כנגדו מאסר על תנאי משמעותי לתקופה של שנה והתחייבות כספית בסך 2500 ₪ שהוטלו עליו ב- 4/2/04, אנחנו סבורים שאין למצות את הדין עם הנאשם בתיק זה ויש להסתפק במאסר על תנאי תוך התחשבות בעובדה שכבר מוטלים עליו מאסרים על תנאי והתחייבות כפי שציינתי.</w:t>
      </w:r>
    </w:p>
    <w:p w14:paraId="754242AC" w14:textId="77777777" w:rsidR="00352BA2" w:rsidRDefault="00352BA2">
      <w:pPr>
        <w:rPr>
          <w:rFonts w:hint="cs"/>
          <w:rtl/>
        </w:rPr>
      </w:pPr>
    </w:p>
    <w:p w14:paraId="0A04A45E" w14:textId="77777777" w:rsidR="00352BA2" w:rsidRDefault="00352BA2">
      <w:pPr>
        <w:pStyle w:val="Heading1"/>
        <w:rPr>
          <w:rFonts w:hint="cs"/>
          <w:rtl/>
        </w:rPr>
      </w:pPr>
    </w:p>
    <w:p w14:paraId="6F226291" w14:textId="77777777" w:rsidR="00352BA2" w:rsidRDefault="00352BA2">
      <w:pPr>
        <w:pStyle w:val="Heading1"/>
        <w:rPr>
          <w:rFonts w:hint="cs"/>
          <w:rtl/>
        </w:rPr>
      </w:pPr>
      <w:r>
        <w:rPr>
          <w:rFonts w:hint="cs"/>
          <w:rtl/>
        </w:rPr>
        <w:t>גזר - דין</w:t>
      </w:r>
    </w:p>
    <w:p w14:paraId="152C4C44" w14:textId="77777777" w:rsidR="00352BA2" w:rsidRDefault="00352BA2">
      <w:pPr>
        <w:rPr>
          <w:rFonts w:hint="cs"/>
          <w:rtl/>
        </w:rPr>
      </w:pPr>
    </w:p>
    <w:p w14:paraId="5F767C48" w14:textId="77777777" w:rsidR="00352BA2" w:rsidRDefault="00352BA2">
      <w:pPr>
        <w:rPr>
          <w:rFonts w:hint="cs"/>
          <w:rtl/>
        </w:rPr>
      </w:pPr>
      <w:r>
        <w:rPr>
          <w:rFonts w:hint="cs"/>
          <w:rtl/>
        </w:rPr>
        <w:t>הנאשם הורשע לאחר שמיעת הראיות בתיק בשתי עבירות התקיפות (האחת תקיפה חבלנית) המיוחסות לו בכתב האישום.</w:t>
      </w:r>
    </w:p>
    <w:p w14:paraId="5F8ABD1B" w14:textId="77777777" w:rsidR="00352BA2" w:rsidRDefault="00352BA2">
      <w:pPr>
        <w:rPr>
          <w:rFonts w:hint="cs"/>
          <w:rtl/>
        </w:rPr>
      </w:pPr>
    </w:p>
    <w:p w14:paraId="6885A4AD" w14:textId="77777777" w:rsidR="00352BA2" w:rsidRDefault="00352BA2">
      <w:pPr>
        <w:rPr>
          <w:rFonts w:hint="cs"/>
          <w:rtl/>
        </w:rPr>
      </w:pPr>
      <w:r>
        <w:rPr>
          <w:rFonts w:hint="cs"/>
          <w:rtl/>
        </w:rPr>
        <w:t>לנאשם הרשעות קודמות רבות מאוד בעבירות מסוגים שונים, בעיקר אלימות ורכוש, והוא ישב בעבר במאסר ממושך.</w:t>
      </w:r>
    </w:p>
    <w:p w14:paraId="6A0B61F4" w14:textId="77777777" w:rsidR="00352BA2" w:rsidRDefault="00352BA2">
      <w:pPr>
        <w:rPr>
          <w:rFonts w:hint="cs"/>
          <w:rtl/>
        </w:rPr>
      </w:pPr>
    </w:p>
    <w:p w14:paraId="51B9B710" w14:textId="77777777" w:rsidR="00352BA2" w:rsidRDefault="00352BA2">
      <w:pPr>
        <w:rPr>
          <w:rFonts w:hint="cs"/>
          <w:rtl/>
        </w:rPr>
      </w:pPr>
      <w:r>
        <w:rPr>
          <w:rFonts w:hint="cs"/>
          <w:rtl/>
        </w:rPr>
        <w:t>נראה שהנאשם אינו לומד את הלקח וסבור שבאלימות הוא יכול להטיל מורא על זולתו.</w:t>
      </w:r>
    </w:p>
    <w:p w14:paraId="5CB0D074" w14:textId="77777777" w:rsidR="00352BA2" w:rsidRDefault="00352BA2">
      <w:pPr>
        <w:rPr>
          <w:rFonts w:hint="cs"/>
          <w:rtl/>
        </w:rPr>
      </w:pPr>
    </w:p>
    <w:p w14:paraId="0639E4B6" w14:textId="77777777" w:rsidR="00352BA2" w:rsidRDefault="00352BA2">
      <w:pPr>
        <w:rPr>
          <w:rFonts w:hint="cs"/>
          <w:rtl/>
        </w:rPr>
      </w:pPr>
      <w:r>
        <w:rPr>
          <w:rFonts w:hint="cs"/>
          <w:rtl/>
        </w:rPr>
        <w:t>אין מנוס אלא להטיל על הנאשם מאסר בפועל לתקופה ממושכת, משום שהסתפקות בהטלת מאסר על תנאי בלבד תחטיא את המטרה, מה גם שכנגד הנאשם כבר תלויים מספר מאסרים מותנים שאינם ברי הפעלה בתיק זה.</w:t>
      </w:r>
    </w:p>
    <w:p w14:paraId="7607C32D" w14:textId="77777777" w:rsidR="00352BA2" w:rsidRDefault="00352BA2">
      <w:pPr>
        <w:rPr>
          <w:rFonts w:hint="cs"/>
          <w:rtl/>
        </w:rPr>
      </w:pPr>
    </w:p>
    <w:p w14:paraId="22D783DE" w14:textId="77777777" w:rsidR="00352BA2" w:rsidRDefault="00352BA2">
      <w:pPr>
        <w:rPr>
          <w:rFonts w:hint="cs"/>
          <w:u w:val="single"/>
          <w:rtl/>
        </w:rPr>
      </w:pPr>
      <w:r>
        <w:rPr>
          <w:rFonts w:hint="cs"/>
          <w:u w:val="single"/>
          <w:rtl/>
        </w:rPr>
        <w:t xml:space="preserve">לפיכך אני גוזר על הנאשם מאסר בפועל לתקופה של 9 חודשים, וכן מאסר על תנאי לתקופה של 5 חודשים, והתנאי הוא שהנאשם לא יעבור במשך 3 שנים מהיום עבירה מסוג אלימות פיזית או מילולית שעונשה שנתיים מאסר ומעלה ע"פ </w:t>
      </w:r>
      <w:hyperlink r:id="rId10" w:history="1">
        <w:r w:rsidR="00892341" w:rsidRPr="00892341">
          <w:rPr>
            <w:rStyle w:val="Hyperlink"/>
            <w:rFonts w:hint="eastAsia"/>
            <w:rtl/>
          </w:rPr>
          <w:t>חוק</w:t>
        </w:r>
        <w:r w:rsidR="00892341" w:rsidRPr="00892341">
          <w:rPr>
            <w:rStyle w:val="Hyperlink"/>
            <w:rtl/>
          </w:rPr>
          <w:t xml:space="preserve"> העונשין תשל"ז - 1977</w:t>
        </w:r>
      </w:hyperlink>
      <w:r>
        <w:rPr>
          <w:rFonts w:hint="cs"/>
          <w:u w:val="single"/>
          <w:rtl/>
        </w:rPr>
        <w:t xml:space="preserve"> ויורשע בהן בין בתקופת התנאי ובין לאחריו.</w:t>
      </w:r>
    </w:p>
    <w:p w14:paraId="40EAB27E" w14:textId="77777777" w:rsidR="00352BA2" w:rsidRDefault="00352BA2">
      <w:pPr>
        <w:rPr>
          <w:rFonts w:hint="cs"/>
          <w:b/>
          <w:bCs/>
          <w:u w:val="single"/>
          <w:rtl/>
        </w:rPr>
      </w:pPr>
    </w:p>
    <w:p w14:paraId="06CE5342" w14:textId="77777777" w:rsidR="00352BA2" w:rsidRDefault="00352BA2">
      <w:pPr>
        <w:rPr>
          <w:rFonts w:hint="cs"/>
          <w:b/>
          <w:bCs/>
          <w:u w:val="single"/>
          <w:rtl/>
        </w:rPr>
      </w:pPr>
      <w:r>
        <w:rPr>
          <w:rFonts w:hint="cs"/>
          <w:b/>
          <w:bCs/>
          <w:u w:val="single"/>
          <w:rtl/>
        </w:rPr>
        <w:t>הודעה והוסברה זכות הערעור תוך 45 יום מהיום לבית המשפט המחוזי בחיפה.</w:t>
      </w:r>
    </w:p>
    <w:p w14:paraId="345CC965" w14:textId="77777777" w:rsidR="00352BA2" w:rsidRDefault="00352BA2">
      <w:pPr>
        <w:rPr>
          <w:rFonts w:hint="cs"/>
          <w:b/>
          <w:bCs/>
          <w:rtl/>
        </w:rPr>
      </w:pPr>
    </w:p>
    <w:p w14:paraId="66A6E6EE" w14:textId="77777777" w:rsidR="00352BA2" w:rsidRDefault="00352BA2">
      <w:pPr>
        <w:rPr>
          <w:rFonts w:hint="cs"/>
          <w:rtl/>
        </w:rPr>
      </w:pPr>
      <w:r>
        <w:rPr>
          <w:rFonts w:hint="cs"/>
          <w:rtl/>
        </w:rPr>
        <w:t>למזכירות - התיק ירשם כסגור.</w:t>
      </w:r>
    </w:p>
    <w:p w14:paraId="2BF61DFE" w14:textId="77777777" w:rsidR="00352BA2" w:rsidRDefault="00352BA2">
      <w:pPr>
        <w:rPr>
          <w:rFonts w:hint="cs"/>
          <w:b/>
          <w:bCs/>
          <w:rtl/>
        </w:rPr>
      </w:pPr>
    </w:p>
    <w:p w14:paraId="1BE95179" w14:textId="77777777" w:rsidR="00352BA2" w:rsidRDefault="00352BA2">
      <w:pPr>
        <w:rPr>
          <w:rFonts w:hint="cs"/>
          <w:b/>
          <w:bCs/>
          <w:rtl/>
        </w:rPr>
      </w:pPr>
      <w:r>
        <w:rPr>
          <w:rFonts w:hint="cs"/>
          <w:b/>
          <w:bCs/>
          <w:rtl/>
        </w:rPr>
        <w:t>ניתן היום 09 באוקטובר, 2005 (ו' בתשרי תשס"ו) במעמד הצדדים דלעיל.</w:t>
      </w:r>
    </w:p>
    <w:p w14:paraId="60E74B46" w14:textId="77777777" w:rsidR="00352BA2" w:rsidRDefault="00352BA2">
      <w:pPr>
        <w:rPr>
          <w:b/>
          <w:bCs/>
          <w:rtl/>
        </w:rPr>
      </w:pPr>
    </w:p>
    <w:tbl>
      <w:tblPr>
        <w:tblW w:w="0" w:type="auto"/>
        <w:tblInd w:w="5727" w:type="dxa"/>
        <w:tblBorders>
          <w:top w:val="single" w:sz="4" w:space="0" w:color="auto"/>
        </w:tblBorders>
        <w:tblLook w:val="0000" w:firstRow="0" w:lastRow="0" w:firstColumn="0" w:lastColumn="0" w:noHBand="0" w:noVBand="0"/>
      </w:tblPr>
      <w:tblGrid>
        <w:gridCol w:w="2802"/>
      </w:tblGrid>
      <w:tr w:rsidR="00352BA2" w14:paraId="37B97820" w14:textId="77777777">
        <w:tc>
          <w:tcPr>
            <w:tcW w:w="2802" w:type="dxa"/>
            <w:tcBorders>
              <w:top w:val="single" w:sz="4" w:space="0" w:color="auto"/>
              <w:left w:val="nil"/>
              <w:bottom w:val="nil"/>
              <w:right w:val="nil"/>
            </w:tcBorders>
          </w:tcPr>
          <w:p w14:paraId="243F9EBD" w14:textId="77777777" w:rsidR="00352BA2" w:rsidRDefault="00352BA2">
            <w:pPr>
              <w:jc w:val="center"/>
              <w:rPr>
                <w:b/>
                <w:bCs/>
              </w:rPr>
            </w:pPr>
            <w:r>
              <w:rPr>
                <w:rFonts w:hint="cs"/>
                <w:b/>
                <w:bCs/>
                <w:rtl/>
              </w:rPr>
              <w:t>אהוד קפלן - שופט</w:t>
            </w:r>
          </w:p>
        </w:tc>
      </w:tr>
    </w:tbl>
    <w:p w14:paraId="614237B1" w14:textId="77777777" w:rsidR="00352BA2" w:rsidRDefault="00352BA2">
      <w:pPr>
        <w:rPr>
          <w:rFonts w:hint="cs"/>
          <w:rtl/>
        </w:rPr>
      </w:pPr>
    </w:p>
    <w:p w14:paraId="445F79DC" w14:textId="77777777" w:rsidR="00352BA2" w:rsidRDefault="00352BA2">
      <w:pPr>
        <w:rPr>
          <w:rFonts w:hint="cs"/>
          <w:b/>
          <w:bCs/>
          <w:u w:val="single"/>
          <w:rtl/>
        </w:rPr>
      </w:pPr>
    </w:p>
    <w:p w14:paraId="1DD2D0BB" w14:textId="77777777" w:rsidR="00352BA2" w:rsidRDefault="00352BA2">
      <w:pPr>
        <w:rPr>
          <w:rFonts w:hint="cs"/>
          <w:b/>
          <w:bCs/>
          <w:u w:val="single"/>
          <w:rtl/>
        </w:rPr>
      </w:pPr>
    </w:p>
    <w:p w14:paraId="3B9E4750" w14:textId="77777777" w:rsidR="00352BA2" w:rsidRDefault="00352BA2">
      <w:pPr>
        <w:rPr>
          <w:rFonts w:hint="cs"/>
          <w:b/>
          <w:bCs/>
          <w:u w:val="single"/>
          <w:rtl/>
        </w:rPr>
      </w:pPr>
    </w:p>
    <w:p w14:paraId="42229670" w14:textId="77777777" w:rsidR="00352BA2" w:rsidRDefault="00352BA2">
      <w:pPr>
        <w:rPr>
          <w:rFonts w:hint="cs"/>
          <w:rtl/>
        </w:rPr>
      </w:pPr>
      <w:r>
        <w:rPr>
          <w:rFonts w:hint="cs"/>
          <w:b/>
          <w:bCs/>
          <w:u w:val="single"/>
          <w:rtl/>
        </w:rPr>
        <w:t>ב"כ הנאשם</w:t>
      </w:r>
      <w:r>
        <w:rPr>
          <w:rFonts w:hint="cs"/>
          <w:rtl/>
        </w:rPr>
        <w:t>:</w:t>
      </w:r>
    </w:p>
    <w:p w14:paraId="43F22060" w14:textId="77777777" w:rsidR="00352BA2" w:rsidRDefault="00352BA2">
      <w:pPr>
        <w:rPr>
          <w:rFonts w:hint="cs"/>
          <w:rtl/>
        </w:rPr>
      </w:pPr>
      <w:r>
        <w:rPr>
          <w:rFonts w:hint="cs"/>
          <w:rtl/>
        </w:rPr>
        <w:t>אבקש עיכוב ביצוע למשך 45 יום על מנת להגיש בקשה לעיכוב ביצוע.</w:t>
      </w:r>
    </w:p>
    <w:p w14:paraId="3AD0ECF9" w14:textId="77777777" w:rsidR="00352BA2" w:rsidRDefault="00352BA2">
      <w:pPr>
        <w:rPr>
          <w:rFonts w:hint="cs"/>
          <w:rtl/>
        </w:rPr>
      </w:pPr>
      <w:r>
        <w:rPr>
          <w:rFonts w:hint="cs"/>
          <w:rtl/>
        </w:rPr>
        <w:t>הנאשם התייצב לדיונים וכתובתו ידועה.</w:t>
      </w:r>
    </w:p>
    <w:p w14:paraId="7C1FEE16" w14:textId="77777777" w:rsidR="00352BA2" w:rsidRDefault="00352BA2">
      <w:pPr>
        <w:rPr>
          <w:rFonts w:hint="cs"/>
          <w:rtl/>
        </w:rPr>
      </w:pPr>
      <w:r>
        <w:rPr>
          <w:rFonts w:hint="cs"/>
          <w:rtl/>
        </w:rPr>
        <w:t>אני סבור שיש מקום לאפשר לנאשם את זכותו לערעור, גם לאור תקופת המאסר שספק באם הוא ישלח למאסר כעת באם תינתן לו זכותו לערעור כדין.</w:t>
      </w:r>
    </w:p>
    <w:p w14:paraId="6FFDB5D4" w14:textId="77777777" w:rsidR="00352BA2" w:rsidRDefault="00352BA2">
      <w:pPr>
        <w:rPr>
          <w:rFonts w:hint="cs"/>
          <w:rtl/>
        </w:rPr>
      </w:pPr>
    </w:p>
    <w:p w14:paraId="73357F52" w14:textId="77777777" w:rsidR="00352BA2" w:rsidRDefault="00352BA2">
      <w:pPr>
        <w:rPr>
          <w:rFonts w:hint="cs"/>
          <w:rtl/>
        </w:rPr>
      </w:pPr>
      <w:r>
        <w:rPr>
          <w:rFonts w:hint="cs"/>
          <w:b/>
          <w:bCs/>
          <w:u w:val="single"/>
          <w:rtl/>
        </w:rPr>
        <w:t>ב"כ המאשימה</w:t>
      </w:r>
      <w:r>
        <w:rPr>
          <w:rFonts w:hint="cs"/>
          <w:rtl/>
        </w:rPr>
        <w:t>:</w:t>
      </w:r>
    </w:p>
    <w:p w14:paraId="66626FFD" w14:textId="77777777" w:rsidR="00352BA2" w:rsidRDefault="00352BA2">
      <w:pPr>
        <w:pStyle w:val="BodyText2"/>
        <w:rPr>
          <w:rFonts w:hint="cs"/>
          <w:rtl/>
        </w:rPr>
      </w:pPr>
      <w:r>
        <w:rPr>
          <w:rFonts w:hint="cs"/>
          <w:rtl/>
        </w:rPr>
        <w:t>אין מניעה כי ריצוי המאסר בפועל ידחה, אולם אבקש כי יופקדו ערבויות הולמות או ערבון הולם שיבטיחו את התייצבות הנאשם לריצוי מאסרו בפועל.</w:t>
      </w:r>
    </w:p>
    <w:p w14:paraId="696F18D8" w14:textId="77777777" w:rsidR="00352BA2" w:rsidRDefault="00352BA2">
      <w:pPr>
        <w:pStyle w:val="BodyText2"/>
        <w:rPr>
          <w:rFonts w:hint="cs"/>
          <w:rtl/>
        </w:rPr>
      </w:pPr>
    </w:p>
    <w:p w14:paraId="661911CC" w14:textId="77777777" w:rsidR="00352BA2" w:rsidRDefault="00352BA2">
      <w:pPr>
        <w:pStyle w:val="BodyText2"/>
        <w:rPr>
          <w:rFonts w:hint="cs"/>
          <w:rtl/>
        </w:rPr>
      </w:pPr>
      <w:r>
        <w:rPr>
          <w:rFonts w:hint="cs"/>
          <w:b/>
          <w:bCs/>
          <w:u w:val="single"/>
          <w:rtl/>
        </w:rPr>
        <w:t>ב"כ הנאשם</w:t>
      </w:r>
      <w:r>
        <w:rPr>
          <w:rFonts w:hint="cs"/>
          <w:rtl/>
        </w:rPr>
        <w:t>:</w:t>
      </w:r>
    </w:p>
    <w:p w14:paraId="6ACCBE8F" w14:textId="77777777" w:rsidR="00352BA2" w:rsidRDefault="00352BA2">
      <w:pPr>
        <w:pStyle w:val="BodyText2"/>
        <w:rPr>
          <w:rFonts w:hint="cs"/>
          <w:rtl/>
        </w:rPr>
      </w:pPr>
      <w:r>
        <w:rPr>
          <w:rFonts w:hint="cs"/>
          <w:rtl/>
        </w:rPr>
        <w:t>הנאשם מציע כצדדים שלישיים את אמו חיה סטריקובסקי ואת רפי מלכה.</w:t>
      </w:r>
    </w:p>
    <w:p w14:paraId="4BB77307" w14:textId="77777777" w:rsidR="00352BA2" w:rsidRDefault="00352BA2">
      <w:pPr>
        <w:rPr>
          <w:rFonts w:hint="cs"/>
          <w:rtl/>
        </w:rPr>
      </w:pPr>
    </w:p>
    <w:p w14:paraId="57C4AFC7" w14:textId="77777777" w:rsidR="00352BA2" w:rsidRDefault="00352BA2">
      <w:pPr>
        <w:pStyle w:val="Heading1"/>
        <w:rPr>
          <w:rFonts w:hint="cs"/>
          <w:rtl/>
        </w:rPr>
      </w:pPr>
      <w:bookmarkStart w:id="9" w:name="Decision2"/>
      <w:r>
        <w:rPr>
          <w:rFonts w:hint="cs"/>
          <w:rtl/>
        </w:rPr>
        <w:t>החלטה</w:t>
      </w:r>
    </w:p>
    <w:p w14:paraId="2F985623" w14:textId="77777777" w:rsidR="00352BA2" w:rsidRDefault="00352BA2">
      <w:pPr>
        <w:rPr>
          <w:rFonts w:hint="cs"/>
          <w:rtl/>
        </w:rPr>
      </w:pPr>
    </w:p>
    <w:p w14:paraId="022D4553" w14:textId="77777777" w:rsidR="00352BA2" w:rsidRDefault="00352BA2">
      <w:pPr>
        <w:rPr>
          <w:rFonts w:hint="cs"/>
          <w:rtl/>
        </w:rPr>
      </w:pPr>
      <w:r>
        <w:rPr>
          <w:rFonts w:hint="cs"/>
          <w:rtl/>
        </w:rPr>
        <w:t>הנאשם יאסר היום, אך היה וימציא שתי ערבויות של צדדים שלישיים על סך 50,000 ₪ כל אחת, יעוכב ביצוע גזר הדין, ובמקרה כזה יתייצב הנאשם לריצוי מאסרו ביום 30/11/2005 בשעה 08:00 בתחנת משטרת חדרה.</w:t>
      </w:r>
    </w:p>
    <w:p w14:paraId="1DC93501" w14:textId="77777777" w:rsidR="00352BA2" w:rsidRDefault="00352BA2">
      <w:pPr>
        <w:rPr>
          <w:rFonts w:hint="cs"/>
          <w:rtl/>
        </w:rPr>
      </w:pPr>
    </w:p>
    <w:p w14:paraId="4B033584" w14:textId="77777777" w:rsidR="00352BA2" w:rsidRDefault="00352BA2">
      <w:pPr>
        <w:rPr>
          <w:rFonts w:hint="cs"/>
          <w:b/>
          <w:bCs/>
          <w:color w:val="FFFFFF"/>
          <w:sz w:val="2"/>
          <w:szCs w:val="2"/>
          <w:rtl/>
        </w:rPr>
      </w:pPr>
    </w:p>
    <w:p w14:paraId="5528E4BD" w14:textId="77777777" w:rsidR="00352BA2" w:rsidRDefault="00352BA2">
      <w:pPr>
        <w:rPr>
          <w:b/>
          <w:bCs/>
          <w:color w:val="FFFFFF"/>
          <w:sz w:val="2"/>
          <w:szCs w:val="2"/>
          <w:rtl/>
        </w:rPr>
      </w:pPr>
      <w:r>
        <w:rPr>
          <w:b/>
          <w:bCs/>
          <w:color w:val="FFFFFF"/>
          <w:sz w:val="2"/>
          <w:szCs w:val="2"/>
          <w:rtl/>
        </w:rPr>
        <w:t>5129371</w:t>
      </w:r>
    </w:p>
    <w:p w14:paraId="1CDC140F" w14:textId="77777777" w:rsidR="00352BA2" w:rsidRDefault="00352BA2">
      <w:pPr>
        <w:keepNext/>
        <w:jc w:val="left"/>
        <w:rPr>
          <w:rFonts w:hAnsi="David"/>
          <w:color w:val="000000"/>
          <w:sz w:val="22"/>
          <w:szCs w:val="22"/>
          <w:rtl/>
        </w:rPr>
      </w:pPr>
    </w:p>
    <w:p w14:paraId="41FA3E6B" w14:textId="77777777" w:rsidR="00352BA2" w:rsidRDefault="00352BA2">
      <w:pPr>
        <w:keepNext/>
        <w:jc w:val="left"/>
        <w:rPr>
          <w:rFonts w:hAnsi="David"/>
          <w:color w:val="000000"/>
          <w:sz w:val="22"/>
          <w:szCs w:val="22"/>
          <w:rtl/>
        </w:rPr>
      </w:pPr>
      <w:r>
        <w:rPr>
          <w:rFonts w:hAnsi="David"/>
          <w:color w:val="000000"/>
          <w:sz w:val="22"/>
          <w:szCs w:val="22"/>
          <w:rtl/>
        </w:rPr>
        <w:t>אהוד קפלן 54678313-1195/03</w:t>
      </w:r>
    </w:p>
    <w:p w14:paraId="383966D6" w14:textId="77777777" w:rsidR="00352BA2" w:rsidRDefault="00352BA2">
      <w:pPr>
        <w:rPr>
          <w:rFonts w:hint="cs"/>
          <w:b/>
          <w:bCs/>
          <w:rtl/>
        </w:rPr>
      </w:pPr>
      <w:r>
        <w:rPr>
          <w:b/>
          <w:bCs/>
          <w:color w:val="FFFFFF"/>
          <w:sz w:val="2"/>
          <w:szCs w:val="2"/>
          <w:rtl/>
        </w:rPr>
        <w:t>54678313</w:t>
      </w:r>
      <w:r>
        <w:rPr>
          <w:rFonts w:hint="cs"/>
          <w:b/>
          <w:bCs/>
          <w:rtl/>
        </w:rPr>
        <w:t>ניתנה היום ו' בתשרי, תשס"ו (9 באוקטובר 2005) במעמד הנוכחים.</w:t>
      </w:r>
    </w:p>
    <w:tbl>
      <w:tblPr>
        <w:tblW w:w="0" w:type="auto"/>
        <w:tblInd w:w="5727" w:type="dxa"/>
        <w:tblBorders>
          <w:top w:val="single" w:sz="4" w:space="0" w:color="auto"/>
        </w:tblBorders>
        <w:tblLook w:val="0000" w:firstRow="0" w:lastRow="0" w:firstColumn="0" w:lastColumn="0" w:noHBand="0" w:noVBand="0"/>
      </w:tblPr>
      <w:tblGrid>
        <w:gridCol w:w="2795"/>
      </w:tblGrid>
      <w:tr w:rsidR="00352BA2" w14:paraId="461FCA81" w14:textId="77777777">
        <w:tc>
          <w:tcPr>
            <w:tcW w:w="2795" w:type="dxa"/>
            <w:tcBorders>
              <w:top w:val="single" w:sz="4" w:space="0" w:color="auto"/>
              <w:left w:val="nil"/>
              <w:bottom w:val="nil"/>
              <w:right w:val="nil"/>
            </w:tcBorders>
          </w:tcPr>
          <w:p w14:paraId="0D2B0307" w14:textId="77777777" w:rsidR="00352BA2" w:rsidRDefault="00352BA2">
            <w:pPr>
              <w:jc w:val="center"/>
              <w:rPr>
                <w:b/>
                <w:bCs/>
              </w:rPr>
            </w:pPr>
            <w:r>
              <w:rPr>
                <w:rFonts w:hint="cs"/>
                <w:b/>
                <w:bCs/>
                <w:rtl/>
              </w:rPr>
              <w:t>אהוד קפלן, שופט</w:t>
            </w:r>
          </w:p>
        </w:tc>
      </w:tr>
    </w:tbl>
    <w:p w14:paraId="4CA8A216" w14:textId="77777777" w:rsidR="00352BA2" w:rsidRDefault="00352BA2">
      <w:pPr>
        <w:suppressLineNumbers/>
        <w:rPr>
          <w:rFonts w:hint="cs"/>
          <w:rtl/>
        </w:rPr>
      </w:pPr>
    </w:p>
    <w:p w14:paraId="7C5EFD0E" w14:textId="77777777" w:rsidR="00352BA2" w:rsidRDefault="00352BA2">
      <w:pPr>
        <w:rPr>
          <w:rFonts w:hint="cs"/>
          <w:sz w:val="24"/>
          <w:rtl/>
        </w:rPr>
      </w:pPr>
    </w:p>
    <w:p w14:paraId="631F04D6" w14:textId="77777777" w:rsidR="00352BA2" w:rsidRDefault="00352BA2">
      <w:pPr>
        <w:rPr>
          <w:rFonts w:hint="cs"/>
          <w:sz w:val="24"/>
          <w:rtl/>
        </w:rPr>
      </w:pPr>
    </w:p>
    <w:p w14:paraId="38095E3C" w14:textId="77777777" w:rsidR="00352BA2" w:rsidRDefault="00352BA2">
      <w:pPr>
        <w:rPr>
          <w:rFonts w:hint="cs"/>
          <w:sz w:val="24"/>
          <w:rtl/>
        </w:rPr>
      </w:pPr>
    </w:p>
    <w:p w14:paraId="5A70EB21" w14:textId="77777777" w:rsidR="00352BA2" w:rsidRDefault="00352BA2">
      <w:pPr>
        <w:rPr>
          <w:rFonts w:hint="cs"/>
          <w:sz w:val="24"/>
          <w:rtl/>
        </w:rPr>
      </w:pPr>
    </w:p>
    <w:p w14:paraId="38F927D5" w14:textId="77777777" w:rsidR="00352BA2" w:rsidRDefault="00352BA2">
      <w:pPr>
        <w:jc w:val="left"/>
        <w:rPr>
          <w:rFonts w:hint="cs"/>
          <w:sz w:val="24"/>
          <w:rtl/>
        </w:rPr>
      </w:pPr>
      <w:r>
        <w:rPr>
          <w:rFonts w:hint="cs"/>
          <w:sz w:val="24"/>
          <w:rtl/>
        </w:rPr>
        <w:t>עינבל.א.</w:t>
      </w:r>
      <w:bookmarkEnd w:id="8"/>
      <w:bookmarkEnd w:id="9"/>
    </w:p>
    <w:p w14:paraId="4979DDDC" w14:textId="77777777" w:rsidR="00352BA2" w:rsidRDefault="00352BA2">
      <w:pPr>
        <w:jc w:val="left"/>
        <w:rPr>
          <w:sz w:val="24"/>
          <w:rtl/>
        </w:rPr>
      </w:pPr>
      <w:r>
        <w:rPr>
          <w:sz w:val="24"/>
          <w:rtl/>
        </w:rPr>
        <w:t>נוסח מסמך זה כפוף לשינויי ניסוח ועריכה</w:t>
      </w:r>
    </w:p>
    <w:sectPr w:rsidR="00352BA2">
      <w:headerReference w:type="even" r:id="rId11"/>
      <w:headerReference w:type="default" r:id="rId12"/>
      <w:footerReference w:type="even" r:id="rId13"/>
      <w:footerReference w:type="default" r:id="rId14"/>
      <w:headerReference w:type="first" r:id="rId15"/>
      <w:footerReference w:type="first" r:id="rId1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70EC" w14:textId="77777777" w:rsidR="00EA1B2C" w:rsidRDefault="00EA1B2C">
      <w:r>
        <w:separator/>
      </w:r>
    </w:p>
  </w:endnote>
  <w:endnote w:type="continuationSeparator" w:id="0">
    <w:p w14:paraId="1C9E7FA0" w14:textId="77777777" w:rsidR="00EA1B2C" w:rsidRDefault="00EA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Calligraphic">
    <w:altName w:val="Arial"/>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88CB" w14:textId="77777777" w:rsidR="00EA1B2C" w:rsidRDefault="00EA1B2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28386C7" w14:textId="77777777" w:rsidR="00EA1B2C" w:rsidRDefault="00EA1B2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D62829" w14:textId="77777777" w:rsidR="00EA1B2C" w:rsidRDefault="00EA1B2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T:\00000000\05-10-10\ps-all\02=05-10-09\01=05-10-09-hof\s03001195-256.doc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9D7E" w14:textId="77777777" w:rsidR="00EA1B2C" w:rsidRDefault="00EA1B2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F119E">
      <w:rPr>
        <w:rFonts w:hAnsi="FrankRuehl" w:cs="FrankRuehl"/>
        <w:noProof/>
        <w:sz w:val="24"/>
        <w:rtl/>
      </w:rPr>
      <w:t>1</w:t>
    </w:r>
    <w:r>
      <w:rPr>
        <w:rFonts w:hAnsi="FrankRuehl" w:cs="FrankRuehl"/>
        <w:sz w:val="24"/>
        <w:rtl/>
      </w:rPr>
      <w:fldChar w:fldCharType="end"/>
    </w:r>
  </w:p>
  <w:p w14:paraId="506AB34E" w14:textId="77777777" w:rsidR="00EA1B2C" w:rsidRDefault="00EA1B2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6D8A95" w14:textId="77777777" w:rsidR="00EA1B2C" w:rsidRDefault="00EA1B2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T:\00000000\05-10-10\ps-all\02=05-10-09\01=05-10-09-hof\s03001195-256.doc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E6F6" w14:textId="77777777" w:rsidR="00EA1B2C" w:rsidRDefault="00EA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25B3" w14:textId="77777777" w:rsidR="00EA1B2C" w:rsidRDefault="00EA1B2C">
      <w:r>
        <w:separator/>
      </w:r>
    </w:p>
  </w:footnote>
  <w:footnote w:type="continuationSeparator" w:id="0">
    <w:p w14:paraId="7F59EB03" w14:textId="77777777" w:rsidR="00EA1B2C" w:rsidRDefault="00EA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E49" w14:textId="77777777" w:rsidR="00EA1B2C" w:rsidRDefault="00EA1B2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1195/03</w:t>
    </w:r>
    <w:r>
      <w:rPr>
        <w:rFonts w:hAnsi="David"/>
        <w:color w:val="000000"/>
        <w:sz w:val="22"/>
        <w:szCs w:val="22"/>
        <w:rtl/>
      </w:rPr>
      <w:tab/>
      <w:t xml:space="preserve"> מדינת ישראל נ' סטריקובסקי 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A105" w14:textId="77777777" w:rsidR="00EA1B2C" w:rsidRDefault="00EA1B2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1195/03</w:t>
    </w:r>
    <w:r>
      <w:rPr>
        <w:rFonts w:hAnsi="David"/>
        <w:color w:val="000000"/>
        <w:sz w:val="22"/>
        <w:szCs w:val="22"/>
        <w:rtl/>
      </w:rPr>
      <w:tab/>
      <w:t xml:space="preserve"> מדינת ישראל נ' סטריקובסקי אבי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5BD4" w14:textId="77777777" w:rsidR="00EA1B2C" w:rsidRDefault="00EA1B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52BA2"/>
    <w:rsid w:val="00352BA2"/>
    <w:rsid w:val="003C45C8"/>
    <w:rsid w:val="00626EFB"/>
    <w:rsid w:val="0066502D"/>
    <w:rsid w:val="00892341"/>
    <w:rsid w:val="009F119E"/>
    <w:rsid w:val="00EA1B2C"/>
    <w:rsid w:val="00EF48A7"/>
    <w:rsid w:val="00FD76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29EB63"/>
  <w15:chartTrackingRefBased/>
  <w15:docId w15:val="{EB48E21D-1A3C-4654-BB0A-503349DC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2">
    <w:name w:val="Body Text 2"/>
    <w:basedOn w:val="Normal"/>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F48A7"/>
    <w:rPr>
      <w:color w:val="0000FF"/>
      <w:u w:val="single"/>
    </w:rPr>
  </w:style>
  <w:style w:type="character" w:styleId="FollowedHyperlink">
    <w:name w:val="FollowedHyperlink"/>
    <w:rsid w:val="0089234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case/2001203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7620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8939</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3342453</vt:i4>
      </vt:variant>
      <vt:variant>
        <vt:i4>9</vt:i4>
      </vt:variant>
      <vt:variant>
        <vt:i4>0</vt:i4>
      </vt:variant>
      <vt:variant>
        <vt:i4>5</vt:i4>
      </vt:variant>
      <vt:variant>
        <vt:lpwstr>http://www.nevo.co.il/case/20012032</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2004-09-27T10:56:00Z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1195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סטריקובסקי אבי</vt:lpwstr>
  </property>
  <property fmtid="{D5CDD505-2E9C-101B-9397-08002B2CF9AE}" pid="9" name="LAWYER">
    <vt:lpwstr>דודו קדוש;ארז מושקוביץ</vt:lpwstr>
  </property>
  <property fmtid="{D5CDD505-2E9C-101B-9397-08002B2CF9AE}" pid="10" name="JUDGE">
    <vt:lpwstr>אהוד קפלן</vt:lpwstr>
  </property>
  <property fmtid="{D5CDD505-2E9C-101B-9397-08002B2CF9AE}" pid="11" name="CITY">
    <vt:lpwstr>חד'</vt:lpwstr>
  </property>
  <property fmtid="{D5CDD505-2E9C-101B-9397-08002B2CF9AE}" pid="12" name="DATE">
    <vt:lpwstr>20051009</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20012032</vt:lpwstr>
  </property>
  <property fmtid="{D5CDD505-2E9C-101B-9397-08002B2CF9AE}" pid="31" name="LAWLISTTMP1">
    <vt:lpwstr>70301/349.a</vt:lpwstr>
  </property>
</Properties>
</file>