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0676" w14:textId="77777777" w:rsidR="00814E0E" w:rsidRDefault="00814E0E">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814E0E" w14:paraId="579A9D2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804D307" w14:textId="77777777" w:rsidR="00814E0E" w:rsidRDefault="00814E0E">
            <w:pPr>
              <w:pStyle w:val="Heading4"/>
              <w:rPr>
                <w:sz w:val="44"/>
                <w:szCs w:val="44"/>
              </w:rPr>
            </w:pPr>
            <w:r>
              <w:rPr>
                <w:rFonts w:hint="cs"/>
                <w:sz w:val="44"/>
                <w:szCs w:val="44"/>
                <w:rtl/>
              </w:rPr>
              <w:t xml:space="preserve">בית משפט השלום </w:t>
            </w:r>
          </w:p>
          <w:p w14:paraId="4C209E9D" w14:textId="77777777" w:rsidR="00814E0E" w:rsidRDefault="00814E0E">
            <w:pPr>
              <w:pStyle w:val="Heading5"/>
              <w:rPr>
                <w:rFonts w:hint="cs"/>
                <w:u w:val="none"/>
                <w:rtl/>
              </w:rPr>
            </w:pPr>
            <w:r>
              <w:rPr>
                <w:rFonts w:hint="cs"/>
                <w:u w:val="none"/>
                <w:rtl/>
              </w:rPr>
              <w:t>ב   א   י   ל   ת</w:t>
            </w:r>
          </w:p>
          <w:p w14:paraId="1A71DC88" w14:textId="77777777" w:rsidR="00814E0E" w:rsidRDefault="00814E0E">
            <w:pPr>
              <w:spacing w:line="240" w:lineRule="auto"/>
              <w:rPr>
                <w:sz w:val="44"/>
                <w:szCs w:val="44"/>
              </w:rPr>
            </w:pPr>
          </w:p>
        </w:tc>
        <w:tc>
          <w:tcPr>
            <w:tcW w:w="2915" w:type="dxa"/>
            <w:gridSpan w:val="2"/>
            <w:tcBorders>
              <w:top w:val="single" w:sz="4" w:space="0" w:color="auto"/>
              <w:left w:val="single" w:sz="4" w:space="0" w:color="auto"/>
              <w:bottom w:val="single" w:sz="4" w:space="0" w:color="auto"/>
              <w:right w:val="single" w:sz="4" w:space="0" w:color="auto"/>
            </w:tcBorders>
          </w:tcPr>
          <w:p w14:paraId="1D260BAD" w14:textId="77777777" w:rsidR="00814E0E" w:rsidRDefault="00814E0E">
            <w:pPr>
              <w:spacing w:line="240" w:lineRule="auto"/>
              <w:rPr>
                <w:rFonts w:cs="Aharoni"/>
                <w:sz w:val="44"/>
                <w:szCs w:val="44"/>
              </w:rPr>
            </w:pPr>
            <w:r>
              <w:rPr>
                <w:rFonts w:cs="Aharoni" w:hint="cs"/>
                <w:sz w:val="44"/>
                <w:szCs w:val="44"/>
                <w:rtl/>
              </w:rPr>
              <w:t>פ  001770/03</w:t>
            </w:r>
          </w:p>
        </w:tc>
      </w:tr>
      <w:tr w:rsidR="00814E0E" w14:paraId="2E6F1A5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18BA893" w14:textId="77777777" w:rsidR="00814E0E" w:rsidRDefault="00814E0E">
            <w:pPr>
              <w:bidi w:val="0"/>
              <w:spacing w:line="240" w:lineRule="auto"/>
              <w:jc w:val="left"/>
              <w:rPr>
                <w:sz w:val="44"/>
                <w:szCs w:val="44"/>
              </w:rPr>
            </w:pPr>
          </w:p>
        </w:tc>
        <w:tc>
          <w:tcPr>
            <w:tcW w:w="2915" w:type="dxa"/>
            <w:gridSpan w:val="2"/>
            <w:tcBorders>
              <w:top w:val="single" w:sz="4" w:space="0" w:color="auto"/>
              <w:left w:val="single" w:sz="4" w:space="0" w:color="auto"/>
              <w:bottom w:val="single" w:sz="4" w:space="0" w:color="auto"/>
              <w:right w:val="single" w:sz="4" w:space="0" w:color="auto"/>
            </w:tcBorders>
          </w:tcPr>
          <w:p w14:paraId="45CEED36" w14:textId="77777777" w:rsidR="00814E0E" w:rsidRDefault="00814E0E">
            <w:pPr>
              <w:spacing w:line="240" w:lineRule="auto"/>
              <w:rPr>
                <w:rFonts w:cs="Aharoni"/>
                <w:sz w:val="28"/>
                <w:szCs w:val="28"/>
              </w:rPr>
            </w:pPr>
          </w:p>
        </w:tc>
      </w:tr>
      <w:tr w:rsidR="00814E0E" w14:paraId="19526161"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75260C1" w14:textId="77777777" w:rsidR="00814E0E" w:rsidRDefault="00814E0E">
            <w:pPr>
              <w:spacing w:line="240" w:lineRule="auto"/>
              <w:rPr>
                <w:sz w:val="32"/>
                <w:szCs w:val="32"/>
              </w:rPr>
            </w:pPr>
            <w:r>
              <w:rPr>
                <w:rFonts w:hint="cs"/>
                <w:sz w:val="32"/>
                <w:szCs w:val="32"/>
                <w:rtl/>
              </w:rPr>
              <w:t>בפני:</w:t>
            </w:r>
          </w:p>
        </w:tc>
        <w:tc>
          <w:tcPr>
            <w:tcW w:w="4706" w:type="dxa"/>
            <w:tcBorders>
              <w:top w:val="single" w:sz="4" w:space="0" w:color="auto"/>
              <w:left w:val="single" w:sz="4" w:space="0" w:color="auto"/>
              <w:bottom w:val="single" w:sz="4" w:space="0" w:color="auto"/>
              <w:right w:val="single" w:sz="4" w:space="0" w:color="auto"/>
            </w:tcBorders>
          </w:tcPr>
          <w:p w14:paraId="2E56D48F" w14:textId="77777777" w:rsidR="00814E0E" w:rsidRDefault="00814E0E">
            <w:pPr>
              <w:spacing w:line="240" w:lineRule="auto"/>
              <w:rPr>
                <w:sz w:val="32"/>
                <w:szCs w:val="32"/>
              </w:rPr>
            </w:pPr>
            <w:r>
              <w:rPr>
                <w:rFonts w:hint="cs"/>
                <w:sz w:val="32"/>
                <w:szCs w:val="32"/>
                <w:rtl/>
              </w:rPr>
              <w:t>כב' השופט ש. שטיין</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42542F2" w14:textId="77777777" w:rsidR="00814E0E" w:rsidRDefault="00814E0E">
            <w:pPr>
              <w:spacing w:line="240" w:lineRule="auto"/>
              <w:rPr>
                <w:sz w:val="32"/>
                <w:szCs w:val="32"/>
              </w:rPr>
            </w:pPr>
            <w:r>
              <w:rPr>
                <w:rFonts w:hint="cs"/>
                <w:sz w:val="32"/>
                <w:szCs w:val="32"/>
                <w:rtl/>
              </w:rPr>
              <w:t>תאריך:</w:t>
            </w:r>
          </w:p>
        </w:tc>
        <w:tc>
          <w:tcPr>
            <w:tcW w:w="1951" w:type="dxa"/>
            <w:tcBorders>
              <w:top w:val="single" w:sz="4" w:space="0" w:color="auto"/>
              <w:left w:val="single" w:sz="4" w:space="0" w:color="auto"/>
              <w:bottom w:val="single" w:sz="4" w:space="0" w:color="auto"/>
              <w:right w:val="single" w:sz="4" w:space="0" w:color="auto"/>
            </w:tcBorders>
          </w:tcPr>
          <w:p w14:paraId="34862551" w14:textId="77777777" w:rsidR="00814E0E" w:rsidRDefault="00814E0E">
            <w:pPr>
              <w:spacing w:line="240" w:lineRule="auto"/>
              <w:rPr>
                <w:sz w:val="32"/>
                <w:szCs w:val="32"/>
              </w:rPr>
            </w:pPr>
            <w:r>
              <w:rPr>
                <w:rFonts w:hint="cs"/>
                <w:sz w:val="32"/>
                <w:szCs w:val="32"/>
                <w:rtl/>
              </w:rPr>
              <w:t>10/02/2005</w:t>
            </w:r>
          </w:p>
        </w:tc>
      </w:tr>
    </w:tbl>
    <w:p w14:paraId="086E8E9F" w14:textId="77777777" w:rsidR="00814E0E" w:rsidRDefault="00814E0E">
      <w:pPr>
        <w:pStyle w:val="a"/>
        <w:jc w:val="center"/>
        <w:rPr>
          <w:rFonts w:hint="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615"/>
        <w:gridCol w:w="3205"/>
        <w:gridCol w:w="2409"/>
      </w:tblGrid>
      <w:tr w:rsidR="00814E0E" w14:paraId="6929060C" w14:textId="77777777">
        <w:tc>
          <w:tcPr>
            <w:tcW w:w="1362" w:type="dxa"/>
          </w:tcPr>
          <w:p w14:paraId="14622F13" w14:textId="77777777" w:rsidR="00814E0E" w:rsidRDefault="00814E0E">
            <w:pPr>
              <w:spacing w:line="240" w:lineRule="auto"/>
              <w:rPr>
                <w:b/>
                <w:bCs/>
                <w:sz w:val="24"/>
              </w:rPr>
            </w:pPr>
            <w:bookmarkStart w:id="1" w:name="FirstAppellant"/>
            <w:r>
              <w:rPr>
                <w:rFonts w:hint="cs"/>
                <w:b/>
                <w:bCs/>
                <w:sz w:val="24"/>
                <w:rtl/>
              </w:rPr>
              <w:t>בעניין:</w:t>
            </w:r>
          </w:p>
        </w:tc>
        <w:tc>
          <w:tcPr>
            <w:tcW w:w="4820" w:type="dxa"/>
            <w:gridSpan w:val="2"/>
          </w:tcPr>
          <w:p w14:paraId="15B4A00E" w14:textId="77777777" w:rsidR="00814E0E" w:rsidRDefault="00814E0E">
            <w:pPr>
              <w:pStyle w:val="a"/>
              <w:spacing w:line="240" w:lineRule="auto"/>
              <w:rPr>
                <w:sz w:val="28"/>
                <w:szCs w:val="28"/>
              </w:rPr>
            </w:pPr>
            <w:r>
              <w:rPr>
                <w:rFonts w:hint="cs"/>
                <w:sz w:val="28"/>
                <w:szCs w:val="28"/>
                <w:rtl/>
              </w:rPr>
              <w:t>מדינת ישראל</w:t>
            </w:r>
          </w:p>
        </w:tc>
        <w:tc>
          <w:tcPr>
            <w:tcW w:w="2409" w:type="dxa"/>
          </w:tcPr>
          <w:p w14:paraId="4D6CFCBF" w14:textId="77777777" w:rsidR="00814E0E" w:rsidRDefault="00814E0E">
            <w:pPr>
              <w:pStyle w:val="a"/>
              <w:spacing w:line="240" w:lineRule="auto"/>
              <w:rPr>
                <w:sz w:val="28"/>
                <w:szCs w:val="28"/>
              </w:rPr>
            </w:pPr>
          </w:p>
        </w:tc>
      </w:tr>
      <w:tr w:rsidR="00814E0E" w14:paraId="3C00238B" w14:textId="77777777">
        <w:tc>
          <w:tcPr>
            <w:tcW w:w="1362" w:type="dxa"/>
          </w:tcPr>
          <w:p w14:paraId="65D9F251" w14:textId="77777777" w:rsidR="00814E0E" w:rsidRDefault="00814E0E">
            <w:pPr>
              <w:pStyle w:val="a"/>
              <w:spacing w:line="240" w:lineRule="auto"/>
              <w:rPr>
                <w:sz w:val="28"/>
                <w:szCs w:val="28"/>
              </w:rPr>
            </w:pPr>
            <w:bookmarkStart w:id="2" w:name="בא_כוח_א" w:colFirst="2" w:colLast="2"/>
            <w:bookmarkStart w:id="3" w:name="FirstLawyer"/>
            <w:bookmarkEnd w:id="1"/>
          </w:p>
        </w:tc>
        <w:tc>
          <w:tcPr>
            <w:tcW w:w="1615" w:type="dxa"/>
          </w:tcPr>
          <w:p w14:paraId="75320635" w14:textId="77777777" w:rsidR="00814E0E" w:rsidRDefault="00814E0E">
            <w:pPr>
              <w:pStyle w:val="a"/>
              <w:spacing w:line="240" w:lineRule="auto"/>
              <w:rPr>
                <w:rFonts w:cs="Aharoni"/>
                <w:b w:val="0"/>
                <w:bCs w:val="0"/>
                <w:sz w:val="28"/>
                <w:szCs w:val="28"/>
              </w:rPr>
            </w:pPr>
            <w:r>
              <w:rPr>
                <w:rFonts w:cs="Aharoni" w:hint="cs"/>
                <w:b w:val="0"/>
                <w:bCs w:val="0"/>
                <w:sz w:val="28"/>
                <w:szCs w:val="28"/>
                <w:rtl/>
              </w:rPr>
              <w:t>ע"י ב"כ עו"ד:</w:t>
            </w:r>
          </w:p>
        </w:tc>
        <w:tc>
          <w:tcPr>
            <w:tcW w:w="3205" w:type="dxa"/>
          </w:tcPr>
          <w:p w14:paraId="1B2517F7" w14:textId="77777777" w:rsidR="00814E0E" w:rsidRDefault="00814E0E">
            <w:pPr>
              <w:pStyle w:val="a"/>
              <w:spacing w:line="240" w:lineRule="auto"/>
              <w:rPr>
                <w:rFonts w:cs="Aharoni"/>
                <w:b w:val="0"/>
                <w:bCs w:val="0"/>
                <w:sz w:val="28"/>
                <w:szCs w:val="28"/>
              </w:rPr>
            </w:pPr>
            <w:r>
              <w:rPr>
                <w:rFonts w:cs="Aharoni" w:hint="cs"/>
                <w:b w:val="0"/>
                <w:bCs w:val="0"/>
                <w:sz w:val="28"/>
                <w:szCs w:val="28"/>
                <w:rtl/>
              </w:rPr>
              <w:t>ניוסטד</w:t>
            </w:r>
          </w:p>
        </w:tc>
        <w:tc>
          <w:tcPr>
            <w:tcW w:w="2409" w:type="dxa"/>
          </w:tcPr>
          <w:p w14:paraId="79152A2E" w14:textId="77777777" w:rsidR="00814E0E" w:rsidRDefault="00814E0E">
            <w:pPr>
              <w:pStyle w:val="a"/>
              <w:spacing w:line="240" w:lineRule="auto"/>
              <w:rPr>
                <w:sz w:val="28"/>
                <w:szCs w:val="28"/>
              </w:rPr>
            </w:pPr>
            <w:r>
              <w:rPr>
                <w:rFonts w:hint="cs"/>
                <w:sz w:val="28"/>
                <w:szCs w:val="28"/>
                <w:rtl/>
              </w:rPr>
              <w:t>המאשימה</w:t>
            </w:r>
          </w:p>
        </w:tc>
      </w:tr>
      <w:bookmarkEnd w:id="2"/>
      <w:bookmarkEnd w:id="3"/>
      <w:tr w:rsidR="00814E0E" w14:paraId="4BCC141B" w14:textId="77777777">
        <w:tc>
          <w:tcPr>
            <w:tcW w:w="1362" w:type="dxa"/>
          </w:tcPr>
          <w:p w14:paraId="6C6056A6" w14:textId="77777777" w:rsidR="00814E0E" w:rsidRDefault="00814E0E">
            <w:pPr>
              <w:pStyle w:val="a"/>
              <w:spacing w:line="240" w:lineRule="auto"/>
              <w:rPr>
                <w:sz w:val="28"/>
                <w:szCs w:val="28"/>
              </w:rPr>
            </w:pPr>
          </w:p>
        </w:tc>
        <w:tc>
          <w:tcPr>
            <w:tcW w:w="4820" w:type="dxa"/>
            <w:gridSpan w:val="2"/>
          </w:tcPr>
          <w:p w14:paraId="46E8FF43" w14:textId="77777777" w:rsidR="00814E0E" w:rsidRDefault="00814E0E">
            <w:pPr>
              <w:pStyle w:val="a"/>
              <w:spacing w:line="240" w:lineRule="auto"/>
              <w:jc w:val="center"/>
              <w:rPr>
                <w:sz w:val="28"/>
                <w:szCs w:val="28"/>
              </w:rPr>
            </w:pPr>
          </w:p>
          <w:p w14:paraId="739588F9" w14:textId="77777777" w:rsidR="00814E0E" w:rsidRDefault="00814E0E">
            <w:pPr>
              <w:pStyle w:val="a"/>
              <w:spacing w:line="240" w:lineRule="auto"/>
              <w:jc w:val="center"/>
              <w:rPr>
                <w:rFonts w:hint="cs"/>
                <w:sz w:val="34"/>
                <w:szCs w:val="34"/>
                <w:rtl/>
              </w:rPr>
            </w:pPr>
            <w:r>
              <w:rPr>
                <w:rFonts w:hint="cs"/>
                <w:sz w:val="34"/>
                <w:szCs w:val="34"/>
                <w:rtl/>
              </w:rPr>
              <w:t>נ  ג  ד</w:t>
            </w:r>
          </w:p>
          <w:p w14:paraId="4AB4BE47" w14:textId="77777777" w:rsidR="00814E0E" w:rsidRDefault="00814E0E">
            <w:pPr>
              <w:pStyle w:val="a"/>
              <w:spacing w:line="240" w:lineRule="auto"/>
              <w:jc w:val="center"/>
              <w:rPr>
                <w:sz w:val="28"/>
                <w:szCs w:val="28"/>
              </w:rPr>
            </w:pPr>
          </w:p>
        </w:tc>
        <w:tc>
          <w:tcPr>
            <w:tcW w:w="2409" w:type="dxa"/>
          </w:tcPr>
          <w:p w14:paraId="12F49385" w14:textId="77777777" w:rsidR="00814E0E" w:rsidRDefault="00814E0E">
            <w:pPr>
              <w:pStyle w:val="a"/>
              <w:spacing w:line="240" w:lineRule="auto"/>
              <w:rPr>
                <w:sz w:val="28"/>
                <w:szCs w:val="28"/>
              </w:rPr>
            </w:pPr>
          </w:p>
        </w:tc>
      </w:tr>
      <w:tr w:rsidR="00814E0E" w14:paraId="09303226" w14:textId="77777777">
        <w:tc>
          <w:tcPr>
            <w:tcW w:w="1362" w:type="dxa"/>
          </w:tcPr>
          <w:p w14:paraId="6F2C31E3" w14:textId="77777777" w:rsidR="00814E0E" w:rsidRDefault="00814E0E">
            <w:pPr>
              <w:pStyle w:val="a"/>
              <w:spacing w:line="240" w:lineRule="auto"/>
              <w:rPr>
                <w:sz w:val="28"/>
                <w:szCs w:val="28"/>
              </w:rPr>
            </w:pPr>
          </w:p>
        </w:tc>
        <w:tc>
          <w:tcPr>
            <w:tcW w:w="4820" w:type="dxa"/>
            <w:gridSpan w:val="2"/>
          </w:tcPr>
          <w:p w14:paraId="0D82C8C1" w14:textId="77777777" w:rsidR="00814E0E" w:rsidRDefault="00814E0E">
            <w:pPr>
              <w:pStyle w:val="a"/>
              <w:spacing w:line="240" w:lineRule="auto"/>
              <w:rPr>
                <w:sz w:val="28"/>
                <w:szCs w:val="28"/>
              </w:rPr>
            </w:pPr>
            <w:r>
              <w:rPr>
                <w:rFonts w:hint="cs"/>
                <w:sz w:val="28"/>
                <w:szCs w:val="28"/>
                <w:rtl/>
              </w:rPr>
              <w:t>שרון דן</w:t>
            </w:r>
            <w:bookmarkStart w:id="4" w:name="שם_ב"/>
            <w:bookmarkEnd w:id="4"/>
            <w:r>
              <w:rPr>
                <w:rFonts w:hint="cs"/>
                <w:sz w:val="28"/>
                <w:szCs w:val="28"/>
                <w:rtl/>
              </w:rPr>
              <w:t xml:space="preserve"> - ת.ז. </w:t>
            </w:r>
            <w:r w:rsidR="00290FA7">
              <w:rPr>
                <w:sz w:val="28"/>
                <w:szCs w:val="28"/>
              </w:rPr>
              <w:t>xxxxxxxxx</w:t>
            </w:r>
          </w:p>
        </w:tc>
        <w:tc>
          <w:tcPr>
            <w:tcW w:w="2409" w:type="dxa"/>
          </w:tcPr>
          <w:p w14:paraId="6D5C4E2E" w14:textId="77777777" w:rsidR="00814E0E" w:rsidRDefault="00814E0E">
            <w:pPr>
              <w:pStyle w:val="a"/>
              <w:spacing w:line="240" w:lineRule="auto"/>
              <w:rPr>
                <w:sz w:val="28"/>
                <w:szCs w:val="28"/>
              </w:rPr>
            </w:pPr>
          </w:p>
        </w:tc>
      </w:tr>
      <w:tr w:rsidR="00814E0E" w14:paraId="35D77253" w14:textId="77777777">
        <w:tc>
          <w:tcPr>
            <w:tcW w:w="1362" w:type="dxa"/>
          </w:tcPr>
          <w:p w14:paraId="1900A3F7" w14:textId="77777777" w:rsidR="00814E0E" w:rsidRDefault="00814E0E">
            <w:pPr>
              <w:pStyle w:val="a"/>
              <w:spacing w:line="240" w:lineRule="auto"/>
              <w:rPr>
                <w:sz w:val="28"/>
                <w:szCs w:val="28"/>
              </w:rPr>
            </w:pPr>
            <w:bookmarkStart w:id="5" w:name="בא_כוח_ב" w:colFirst="2" w:colLast="2"/>
          </w:p>
        </w:tc>
        <w:tc>
          <w:tcPr>
            <w:tcW w:w="1615" w:type="dxa"/>
          </w:tcPr>
          <w:p w14:paraId="489EEB22" w14:textId="77777777" w:rsidR="00814E0E" w:rsidRDefault="00814E0E">
            <w:pPr>
              <w:pStyle w:val="a"/>
              <w:spacing w:line="240" w:lineRule="auto"/>
              <w:rPr>
                <w:rFonts w:cs="Aharoni"/>
                <w:b w:val="0"/>
                <w:bCs w:val="0"/>
                <w:sz w:val="28"/>
                <w:szCs w:val="28"/>
              </w:rPr>
            </w:pPr>
          </w:p>
        </w:tc>
        <w:tc>
          <w:tcPr>
            <w:tcW w:w="3205" w:type="dxa"/>
          </w:tcPr>
          <w:p w14:paraId="13AF5E3B" w14:textId="77777777" w:rsidR="00814E0E" w:rsidRDefault="00814E0E">
            <w:pPr>
              <w:pStyle w:val="a"/>
              <w:spacing w:line="240" w:lineRule="auto"/>
              <w:rPr>
                <w:rFonts w:cs="Aharoni"/>
                <w:b w:val="0"/>
                <w:bCs w:val="0"/>
                <w:sz w:val="28"/>
                <w:szCs w:val="28"/>
              </w:rPr>
            </w:pPr>
          </w:p>
        </w:tc>
        <w:tc>
          <w:tcPr>
            <w:tcW w:w="2409" w:type="dxa"/>
          </w:tcPr>
          <w:p w14:paraId="49BEBFF8" w14:textId="77777777" w:rsidR="00814E0E" w:rsidRDefault="00814E0E">
            <w:pPr>
              <w:pStyle w:val="a"/>
              <w:spacing w:line="240" w:lineRule="auto"/>
              <w:rPr>
                <w:sz w:val="28"/>
                <w:szCs w:val="28"/>
              </w:rPr>
            </w:pPr>
            <w:r>
              <w:rPr>
                <w:rFonts w:hint="cs"/>
                <w:sz w:val="28"/>
                <w:szCs w:val="28"/>
                <w:rtl/>
              </w:rPr>
              <w:t>ה</w:t>
            </w:r>
            <w:bookmarkStart w:id="6" w:name="כינוי_ב"/>
            <w:bookmarkEnd w:id="6"/>
            <w:r>
              <w:rPr>
                <w:rFonts w:hint="cs"/>
                <w:sz w:val="28"/>
                <w:szCs w:val="28"/>
                <w:rtl/>
              </w:rPr>
              <w:t>נאשם</w:t>
            </w:r>
          </w:p>
        </w:tc>
      </w:tr>
      <w:bookmarkEnd w:id="5"/>
    </w:tbl>
    <w:p w14:paraId="25499CD7" w14:textId="77777777" w:rsidR="00814E0E" w:rsidRDefault="00814E0E">
      <w:pPr>
        <w:pStyle w:val="a"/>
        <w:jc w:val="center"/>
        <w:rPr>
          <w:rFonts w:hint="cs"/>
          <w:sz w:val="28"/>
          <w:szCs w:val="28"/>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814E0E" w14:paraId="73FB5D36" w14:textId="77777777">
        <w:tc>
          <w:tcPr>
            <w:tcW w:w="1332" w:type="dxa"/>
          </w:tcPr>
          <w:p w14:paraId="1412B0E9" w14:textId="77777777" w:rsidR="00814E0E" w:rsidRDefault="00814E0E">
            <w:pPr>
              <w:pStyle w:val="a"/>
              <w:spacing w:line="240" w:lineRule="auto"/>
              <w:rPr>
                <w:sz w:val="28"/>
                <w:szCs w:val="28"/>
              </w:rPr>
            </w:pPr>
            <w:r>
              <w:rPr>
                <w:rFonts w:hint="cs"/>
                <w:sz w:val="28"/>
                <w:szCs w:val="28"/>
                <w:rtl/>
              </w:rPr>
              <w:t>נוכחים:</w:t>
            </w:r>
          </w:p>
        </w:tc>
        <w:tc>
          <w:tcPr>
            <w:tcW w:w="7230" w:type="dxa"/>
          </w:tcPr>
          <w:p w14:paraId="2C199517" w14:textId="77777777" w:rsidR="00814E0E" w:rsidRDefault="00814E0E">
            <w:pPr>
              <w:pStyle w:val="a"/>
              <w:spacing w:line="240" w:lineRule="auto"/>
              <w:rPr>
                <w:sz w:val="28"/>
                <w:szCs w:val="28"/>
              </w:rPr>
            </w:pPr>
            <w:r>
              <w:rPr>
                <w:rFonts w:hint="cs"/>
                <w:sz w:val="28"/>
                <w:szCs w:val="28"/>
                <w:rtl/>
              </w:rPr>
              <w:t>ב"כ המאשימה</w:t>
            </w:r>
          </w:p>
          <w:p w14:paraId="6C7960E7" w14:textId="77777777" w:rsidR="00814E0E" w:rsidRDefault="00814E0E">
            <w:pPr>
              <w:pStyle w:val="a"/>
              <w:spacing w:line="240" w:lineRule="auto"/>
              <w:rPr>
                <w:rFonts w:hint="cs"/>
                <w:sz w:val="28"/>
                <w:szCs w:val="28"/>
                <w:rtl/>
              </w:rPr>
            </w:pPr>
            <w:r>
              <w:rPr>
                <w:rFonts w:hint="cs"/>
                <w:sz w:val="28"/>
                <w:szCs w:val="28"/>
                <w:rtl/>
              </w:rPr>
              <w:t>הנאשם בעצמו</w:t>
            </w:r>
          </w:p>
          <w:p w14:paraId="07877E0D" w14:textId="77777777" w:rsidR="00814E0E" w:rsidRDefault="00814E0E">
            <w:pPr>
              <w:pStyle w:val="a"/>
              <w:spacing w:line="240" w:lineRule="auto"/>
              <w:rPr>
                <w:sz w:val="28"/>
                <w:szCs w:val="28"/>
              </w:rPr>
            </w:pPr>
          </w:p>
        </w:tc>
      </w:tr>
    </w:tbl>
    <w:p w14:paraId="0D33CC11" w14:textId="77777777" w:rsidR="00C008C8" w:rsidRDefault="00C008C8">
      <w:pPr>
        <w:pStyle w:val="a"/>
        <w:jc w:val="center"/>
        <w:rPr>
          <w:rFonts w:cs="Guttman Keren"/>
          <w:b w:val="0"/>
          <w:bCs w:val="0"/>
          <w:sz w:val="26"/>
          <w:szCs w:val="28"/>
          <w:rtl/>
        </w:rPr>
      </w:pPr>
      <w:bookmarkStart w:id="7" w:name="LawTable"/>
      <w:bookmarkEnd w:id="7"/>
    </w:p>
    <w:p w14:paraId="17286DF0" w14:textId="77777777" w:rsidR="00C008C8" w:rsidRPr="00C008C8" w:rsidRDefault="00C008C8" w:rsidP="00C008C8">
      <w:pPr>
        <w:pStyle w:val="a"/>
        <w:spacing w:after="120" w:line="240" w:lineRule="exact"/>
        <w:ind w:left="283" w:hanging="283"/>
        <w:rPr>
          <w:rFonts w:ascii="FrankRuehl" w:hAnsi="FrankRuehl" w:cs="FrankRuehl"/>
          <w:b w:val="0"/>
          <w:bCs w:val="0"/>
          <w:sz w:val="24"/>
          <w:rtl/>
        </w:rPr>
      </w:pPr>
    </w:p>
    <w:p w14:paraId="050E47CA" w14:textId="77777777" w:rsidR="00C008C8" w:rsidRPr="00C008C8" w:rsidRDefault="00C008C8" w:rsidP="00C008C8">
      <w:pPr>
        <w:pStyle w:val="a"/>
        <w:spacing w:after="120" w:line="240" w:lineRule="exact"/>
        <w:ind w:left="283" w:hanging="283"/>
        <w:rPr>
          <w:rFonts w:ascii="FrankRuehl" w:hAnsi="FrankRuehl" w:cs="FrankRuehl"/>
          <w:b w:val="0"/>
          <w:bCs w:val="0"/>
          <w:sz w:val="24"/>
          <w:rtl/>
        </w:rPr>
      </w:pPr>
      <w:r w:rsidRPr="00C008C8">
        <w:rPr>
          <w:rFonts w:ascii="FrankRuehl" w:hAnsi="FrankRuehl" w:cs="FrankRuehl"/>
          <w:b w:val="0"/>
          <w:bCs w:val="0"/>
          <w:sz w:val="24"/>
          <w:rtl/>
        </w:rPr>
        <w:t xml:space="preserve">חקיקה שאוזכרה: </w:t>
      </w:r>
    </w:p>
    <w:p w14:paraId="0FE4BB52" w14:textId="77777777" w:rsidR="00C008C8" w:rsidRPr="00C008C8" w:rsidRDefault="00C008C8" w:rsidP="00C008C8">
      <w:pPr>
        <w:pStyle w:val="a"/>
        <w:spacing w:after="120" w:line="240" w:lineRule="exact"/>
        <w:ind w:left="283" w:hanging="283"/>
        <w:rPr>
          <w:rFonts w:ascii="FrankRuehl" w:hAnsi="FrankRuehl" w:cs="FrankRuehl"/>
          <w:b w:val="0"/>
          <w:bCs w:val="0"/>
          <w:color w:val="0000FF"/>
          <w:sz w:val="24"/>
          <w:u w:val="single"/>
          <w:rtl/>
        </w:rPr>
      </w:pPr>
      <w:hyperlink r:id="rId7" w:history="1">
        <w:r w:rsidRPr="00C008C8">
          <w:rPr>
            <w:rStyle w:val="Hyperlink"/>
            <w:rFonts w:ascii="FrankRuehl" w:hAnsi="FrankRuehl" w:cs="FrankRuehl"/>
            <w:b w:val="0"/>
            <w:bCs w:val="0"/>
            <w:sz w:val="24"/>
            <w:rtl/>
          </w:rPr>
          <w:t>חוק העונשין, תשל"ז-1977</w:t>
        </w:r>
      </w:hyperlink>
      <w:r w:rsidRPr="00C008C8">
        <w:rPr>
          <w:rFonts w:ascii="FrankRuehl" w:hAnsi="FrankRuehl" w:cs="FrankRuehl"/>
          <w:b w:val="0"/>
          <w:bCs w:val="0"/>
          <w:color w:val="0000FF"/>
          <w:sz w:val="24"/>
          <w:u w:val="single"/>
          <w:rtl/>
        </w:rPr>
        <w:t xml:space="preserve">: סע'  </w:t>
      </w:r>
      <w:hyperlink r:id="rId8" w:history="1">
        <w:r w:rsidRPr="00C008C8">
          <w:rPr>
            <w:rStyle w:val="Hyperlink"/>
            <w:rFonts w:ascii="FrankRuehl" w:hAnsi="FrankRuehl" w:cs="FrankRuehl"/>
            <w:b w:val="0"/>
            <w:bCs w:val="0"/>
            <w:sz w:val="24"/>
          </w:rPr>
          <w:t>348 (</w:t>
        </w:r>
        <w:r w:rsidRPr="00C008C8">
          <w:rPr>
            <w:rStyle w:val="Hyperlink"/>
            <w:rFonts w:ascii="FrankRuehl" w:hAnsi="FrankRuehl" w:cs="FrankRuehl"/>
            <w:b w:val="0"/>
            <w:bCs w:val="0"/>
            <w:sz w:val="24"/>
            <w:rtl/>
          </w:rPr>
          <w:t>ג</w:t>
        </w:r>
        <w:r w:rsidRPr="00C008C8">
          <w:rPr>
            <w:rStyle w:val="Hyperlink"/>
            <w:rFonts w:ascii="FrankRuehl" w:hAnsi="FrankRuehl" w:cs="FrankRuehl"/>
            <w:b w:val="0"/>
            <w:bCs w:val="0"/>
            <w:sz w:val="24"/>
          </w:rPr>
          <w:t>)</w:t>
        </w:r>
      </w:hyperlink>
    </w:p>
    <w:p w14:paraId="54F2EF56" w14:textId="77777777" w:rsidR="00C008C8" w:rsidRPr="00C008C8" w:rsidRDefault="00C008C8" w:rsidP="00C008C8">
      <w:pPr>
        <w:pStyle w:val="a"/>
        <w:spacing w:after="120" w:line="240" w:lineRule="exact"/>
        <w:ind w:left="283" w:hanging="283"/>
        <w:rPr>
          <w:rFonts w:ascii="FrankRuehl" w:hAnsi="FrankRuehl" w:cs="FrankRuehl"/>
          <w:b w:val="0"/>
          <w:bCs w:val="0"/>
          <w:sz w:val="24"/>
          <w:rtl/>
        </w:rPr>
      </w:pPr>
    </w:p>
    <w:p w14:paraId="06D49914" w14:textId="77777777" w:rsidR="00C008C8" w:rsidRPr="00C008C8" w:rsidRDefault="00C008C8">
      <w:pPr>
        <w:pStyle w:val="a"/>
        <w:jc w:val="center"/>
        <w:rPr>
          <w:rFonts w:cs="Guttman Keren"/>
          <w:b w:val="0"/>
          <w:bCs w:val="0"/>
          <w:sz w:val="26"/>
          <w:szCs w:val="28"/>
          <w:rtl/>
        </w:rPr>
      </w:pPr>
      <w:bookmarkStart w:id="8" w:name="LawTable_End"/>
      <w:bookmarkEnd w:id="8"/>
    </w:p>
    <w:p w14:paraId="250137C9" w14:textId="77777777" w:rsidR="006D2DF5" w:rsidRPr="006D2DF5" w:rsidRDefault="006D2DF5">
      <w:pPr>
        <w:pStyle w:val="a"/>
        <w:jc w:val="center"/>
        <w:rPr>
          <w:rFonts w:cs="Guttman Keren"/>
          <w:b w:val="0"/>
          <w:bCs w:val="0"/>
          <w:sz w:val="26"/>
          <w:szCs w:val="28"/>
          <w:rtl/>
        </w:rPr>
      </w:pPr>
    </w:p>
    <w:p w14:paraId="3AC5D13E" w14:textId="77777777" w:rsidR="006D2DF5" w:rsidRPr="006D2DF5" w:rsidRDefault="006D2DF5">
      <w:pPr>
        <w:pStyle w:val="a"/>
        <w:jc w:val="center"/>
        <w:rPr>
          <w:rFonts w:cs="Guttman Keren"/>
          <w:b w:val="0"/>
          <w:bCs w:val="0"/>
          <w:sz w:val="26"/>
          <w:szCs w:val="28"/>
          <w:rtl/>
        </w:rPr>
      </w:pPr>
    </w:p>
    <w:p w14:paraId="51F90C57" w14:textId="77777777" w:rsidR="00290FA7" w:rsidRPr="00290FA7" w:rsidRDefault="00290FA7">
      <w:pPr>
        <w:pStyle w:val="a"/>
        <w:jc w:val="center"/>
        <w:rPr>
          <w:rFonts w:cs="Guttman Keren"/>
          <w:b w:val="0"/>
          <w:bCs w:val="0"/>
          <w:sz w:val="26"/>
          <w:szCs w:val="28"/>
          <w:rtl/>
        </w:rPr>
      </w:pPr>
    </w:p>
    <w:p w14:paraId="5A5B571F" w14:textId="77777777" w:rsidR="00290FA7" w:rsidRPr="00290FA7" w:rsidRDefault="00290FA7">
      <w:pPr>
        <w:pStyle w:val="a"/>
        <w:jc w:val="center"/>
        <w:rPr>
          <w:rFonts w:cs="Guttman Keren"/>
          <w:sz w:val="26"/>
          <w:szCs w:val="28"/>
          <w:rtl/>
        </w:rPr>
      </w:pPr>
    </w:p>
    <w:p w14:paraId="7D2A2137" w14:textId="77777777" w:rsidR="00814E0E" w:rsidRPr="00290FA7" w:rsidRDefault="00814E0E">
      <w:pPr>
        <w:pStyle w:val="a"/>
        <w:jc w:val="center"/>
        <w:rPr>
          <w:rFonts w:cs="Guttman Keren"/>
          <w:sz w:val="26"/>
          <w:szCs w:val="28"/>
          <w:rtl/>
        </w:rPr>
      </w:pPr>
    </w:p>
    <w:p w14:paraId="54493CD5" w14:textId="77777777" w:rsidR="00814E0E" w:rsidRDefault="00814E0E">
      <w:pPr>
        <w:ind w:left="720" w:hanging="720"/>
        <w:jc w:val="center"/>
        <w:rPr>
          <w:rFonts w:cs="Guttman Keren"/>
          <w:b/>
          <w:bCs/>
          <w:sz w:val="26"/>
          <w:szCs w:val="28"/>
          <w:u w:val="single"/>
          <w:rtl/>
        </w:rPr>
      </w:pPr>
      <w:bookmarkStart w:id="9" w:name="PsakDin"/>
      <w:bookmarkEnd w:id="0"/>
      <w:r>
        <w:rPr>
          <w:rFonts w:cs="Guttman Keren"/>
          <w:b/>
          <w:bCs/>
          <w:sz w:val="26"/>
          <w:szCs w:val="28"/>
          <w:u w:val="single"/>
          <w:rtl/>
        </w:rPr>
        <w:t>הכרעת דין</w:t>
      </w:r>
    </w:p>
    <w:bookmarkEnd w:id="9"/>
    <w:p w14:paraId="18AF88FB" w14:textId="77777777" w:rsidR="00814E0E" w:rsidRDefault="00814E0E">
      <w:pPr>
        <w:ind w:left="720" w:hanging="720"/>
        <w:rPr>
          <w:rFonts w:hint="cs"/>
          <w:b/>
          <w:bCs/>
          <w:rtl/>
        </w:rPr>
      </w:pPr>
      <w:r>
        <w:rPr>
          <w:rFonts w:hint="cs"/>
          <w:b/>
          <w:bCs/>
          <w:rtl/>
        </w:rPr>
        <w:t>1.</w:t>
      </w:r>
      <w:r>
        <w:rPr>
          <w:rFonts w:hint="cs"/>
          <w:b/>
          <w:bCs/>
          <w:rtl/>
        </w:rPr>
        <w:tab/>
      </w:r>
      <w:bookmarkStart w:id="10" w:name="ABSTRACT_START"/>
      <w:bookmarkEnd w:id="10"/>
      <w:r>
        <w:rPr>
          <w:rFonts w:hint="cs"/>
          <w:b/>
          <w:bCs/>
          <w:rtl/>
        </w:rPr>
        <w:t xml:space="preserve">כנגד הנאשם הוגש כתב אישום המייחס לו עבירה של מעשה מגונה לפי </w:t>
      </w:r>
      <w:hyperlink r:id="rId9" w:history="1">
        <w:r w:rsidR="006D2DF5" w:rsidRPr="006D2DF5">
          <w:rPr>
            <w:rStyle w:val="Hyperlink"/>
            <w:rFonts w:hint="eastAsia"/>
            <w:rtl/>
          </w:rPr>
          <w:t>סעיף</w:t>
        </w:r>
        <w:r w:rsidR="006D2DF5" w:rsidRPr="006D2DF5">
          <w:rPr>
            <w:rStyle w:val="Hyperlink"/>
            <w:rtl/>
          </w:rPr>
          <w:t xml:space="preserve"> 348 (ג)</w:t>
        </w:r>
      </w:hyperlink>
      <w:r>
        <w:rPr>
          <w:rFonts w:hint="cs"/>
          <w:b/>
          <w:bCs/>
          <w:rtl/>
        </w:rPr>
        <w:t xml:space="preserve"> ל</w:t>
      </w:r>
      <w:r w:rsidR="00290FA7" w:rsidRPr="006D2DF5">
        <w:rPr>
          <w:rFonts w:hint="eastAsia"/>
          <w:b/>
          <w:bCs/>
          <w:rtl/>
        </w:rPr>
        <w:t>חוק</w:t>
      </w:r>
      <w:r w:rsidR="00290FA7" w:rsidRPr="006D2DF5">
        <w:rPr>
          <w:b/>
          <w:bCs/>
          <w:rtl/>
        </w:rPr>
        <w:t xml:space="preserve"> העונשין</w:t>
      </w:r>
      <w:r>
        <w:rPr>
          <w:rFonts w:hint="cs"/>
          <w:b/>
          <w:bCs/>
          <w:rtl/>
        </w:rPr>
        <w:t xml:space="preserve"> התשל"ז – 1977</w:t>
      </w:r>
      <w:bookmarkStart w:id="11" w:name="ABSTRACT_END"/>
      <w:bookmarkEnd w:id="11"/>
      <w:r>
        <w:rPr>
          <w:rFonts w:hint="cs"/>
          <w:b/>
          <w:bCs/>
          <w:rtl/>
        </w:rPr>
        <w:t>.</w:t>
      </w:r>
    </w:p>
    <w:p w14:paraId="2126B13E" w14:textId="77777777" w:rsidR="00814E0E" w:rsidRDefault="00814E0E">
      <w:pPr>
        <w:ind w:left="720" w:hanging="720"/>
        <w:rPr>
          <w:rFonts w:hint="cs"/>
          <w:b/>
          <w:bCs/>
          <w:rtl/>
        </w:rPr>
      </w:pPr>
    </w:p>
    <w:p w14:paraId="646A69DE" w14:textId="77777777" w:rsidR="00814E0E" w:rsidRDefault="00814E0E">
      <w:pPr>
        <w:ind w:left="720" w:hanging="720"/>
        <w:rPr>
          <w:rFonts w:hint="cs"/>
          <w:b/>
          <w:bCs/>
          <w:rtl/>
        </w:rPr>
      </w:pPr>
      <w:r>
        <w:rPr>
          <w:rFonts w:hint="cs"/>
          <w:b/>
          <w:bCs/>
          <w:rtl/>
        </w:rPr>
        <w:tab/>
        <w:t xml:space="preserve">פרטי המעשה הם שבתאריך 30.7.2003 בסמוך לשעה 18:45 בשכונת השחמון באילת, במשאיתו, עשה מעשה מגונה במתלוננת אותה לקח עימו כטרמפיסטית, בכך שעצר </w:t>
      </w:r>
      <w:r>
        <w:rPr>
          <w:rFonts w:hint="cs"/>
          <w:b/>
          <w:bCs/>
          <w:rtl/>
        </w:rPr>
        <w:lastRenderedPageBreak/>
        <w:t xml:space="preserve">המשאית התיישב לידה, הכניס ידו מתחת לחולצתה והחל למשש את חזה והכל לצורך גירוי או סיפוק או ביזוי מיני. </w:t>
      </w:r>
    </w:p>
    <w:p w14:paraId="616C5B63" w14:textId="77777777" w:rsidR="00814E0E" w:rsidRDefault="00814E0E">
      <w:pPr>
        <w:ind w:left="720" w:hanging="720"/>
        <w:rPr>
          <w:rFonts w:hint="cs"/>
          <w:b/>
          <w:bCs/>
          <w:color w:val="FFFFFF"/>
          <w:sz w:val="4"/>
          <w:szCs w:val="4"/>
          <w:rtl/>
        </w:rPr>
      </w:pPr>
    </w:p>
    <w:p w14:paraId="14FADAD4" w14:textId="77777777" w:rsidR="00814E0E" w:rsidRDefault="00814E0E">
      <w:pPr>
        <w:ind w:left="720" w:hanging="720"/>
        <w:rPr>
          <w:b/>
          <w:bCs/>
          <w:color w:val="FFFFFF"/>
          <w:sz w:val="4"/>
          <w:szCs w:val="4"/>
          <w:rtl/>
        </w:rPr>
      </w:pPr>
    </w:p>
    <w:p w14:paraId="76A9C623" w14:textId="77777777" w:rsidR="00814E0E" w:rsidRDefault="00814E0E">
      <w:pPr>
        <w:ind w:left="720" w:hanging="720"/>
        <w:rPr>
          <w:rFonts w:hint="cs"/>
          <w:b/>
          <w:bCs/>
          <w:rtl/>
        </w:rPr>
      </w:pPr>
      <w:r>
        <w:rPr>
          <w:b/>
          <w:bCs/>
          <w:color w:val="FFFFFF"/>
          <w:sz w:val="4"/>
          <w:szCs w:val="4"/>
          <w:rtl/>
        </w:rPr>
        <w:t>51293715129371</w:t>
      </w:r>
    </w:p>
    <w:p w14:paraId="6A2325B9" w14:textId="77777777" w:rsidR="00814E0E" w:rsidRDefault="00814E0E">
      <w:pPr>
        <w:ind w:left="720" w:hanging="720"/>
        <w:rPr>
          <w:rFonts w:hint="cs"/>
          <w:b/>
          <w:bCs/>
          <w:rtl/>
        </w:rPr>
      </w:pPr>
      <w:r>
        <w:rPr>
          <w:rFonts w:hint="cs"/>
          <w:b/>
          <w:bCs/>
          <w:rtl/>
        </w:rPr>
        <w:t>2.</w:t>
      </w:r>
      <w:r>
        <w:rPr>
          <w:rFonts w:hint="cs"/>
          <w:b/>
          <w:bCs/>
          <w:rtl/>
        </w:rPr>
        <w:tab/>
        <w:t xml:space="preserve">מטעם התביעה העידה המתלוננת צעירה בת 27, רווקה, אשר מסרה כי קודם למקרה הכירה את הנאשם ונפגשה עימו בעיר מספר פעמים. </w:t>
      </w:r>
    </w:p>
    <w:p w14:paraId="616B1188" w14:textId="77777777" w:rsidR="00814E0E" w:rsidRDefault="00814E0E">
      <w:pPr>
        <w:ind w:left="720" w:hanging="720"/>
        <w:rPr>
          <w:rFonts w:hint="cs"/>
          <w:b/>
          <w:bCs/>
          <w:rtl/>
        </w:rPr>
      </w:pPr>
    </w:p>
    <w:p w14:paraId="638C7AC0" w14:textId="77777777" w:rsidR="00814E0E" w:rsidRDefault="00814E0E">
      <w:pPr>
        <w:ind w:left="1440" w:hanging="720"/>
        <w:rPr>
          <w:rFonts w:hint="cs"/>
          <w:b/>
          <w:bCs/>
          <w:rtl/>
        </w:rPr>
      </w:pPr>
      <w:r>
        <w:rPr>
          <w:rFonts w:hint="cs"/>
          <w:b/>
          <w:bCs/>
          <w:rtl/>
        </w:rPr>
        <w:t>א.</w:t>
      </w:r>
      <w:r>
        <w:rPr>
          <w:rFonts w:hint="cs"/>
          <w:b/>
          <w:bCs/>
          <w:rtl/>
        </w:rPr>
        <w:tab/>
        <w:t>ביום האירוע הגיעה למרכז אופיר באילת מקום הסמוך למקום מגוריה [המתלוננת גרה עם משפחתה], פגשה בנאשם באקראי, הנאשם הציע כי יקנה לה שוקו והיא אכן הסכימה.</w:t>
      </w:r>
      <w:r>
        <w:rPr>
          <w:b/>
          <w:bCs/>
          <w:color w:val="FFFFFF"/>
          <w:sz w:val="4"/>
          <w:szCs w:val="4"/>
          <w:rtl/>
        </w:rPr>
        <w:t>נ</w:t>
      </w:r>
    </w:p>
    <w:p w14:paraId="1F4E0A9E" w14:textId="77777777" w:rsidR="00814E0E" w:rsidRDefault="00814E0E">
      <w:pPr>
        <w:ind w:left="720"/>
        <w:rPr>
          <w:rFonts w:hint="cs"/>
          <w:b/>
          <w:bCs/>
          <w:rtl/>
        </w:rPr>
      </w:pPr>
    </w:p>
    <w:p w14:paraId="0FFA1456" w14:textId="77777777" w:rsidR="00814E0E" w:rsidRDefault="00814E0E">
      <w:pPr>
        <w:ind w:left="1440" w:hanging="720"/>
        <w:rPr>
          <w:rFonts w:hint="cs"/>
          <w:b/>
          <w:bCs/>
          <w:rtl/>
        </w:rPr>
      </w:pPr>
      <w:r>
        <w:rPr>
          <w:rFonts w:hint="cs"/>
          <w:b/>
          <w:bCs/>
          <w:rtl/>
        </w:rPr>
        <w:t>ב.</w:t>
      </w:r>
      <w:r>
        <w:rPr>
          <w:rFonts w:hint="cs"/>
          <w:b/>
          <w:bCs/>
          <w:rtl/>
        </w:rPr>
        <w:tab/>
        <w:t>בהמשך הציע להסיעה לביתה. היא הסכימה, אולם, הנאשם במקום לקחתה לביתה סטה מהדרך ונסע לכיוון שכונת השחמון, שם הגיע לסוף השכונה, לכיכר האחרונה. וכדבריה, "</w:t>
      </w:r>
      <w:r>
        <w:rPr>
          <w:rFonts w:cs="Guttman Keren" w:hint="cs"/>
          <w:szCs w:val="20"/>
          <w:rtl/>
        </w:rPr>
        <w:t>אני אומרת לו שאני רוצה הביתה והוא אומר לי בסדר</w:t>
      </w:r>
      <w:r>
        <w:rPr>
          <w:rFonts w:hint="cs"/>
          <w:b/>
          <w:bCs/>
          <w:rtl/>
        </w:rPr>
        <w:t>".</w:t>
      </w:r>
      <w:r>
        <w:rPr>
          <w:b/>
          <w:bCs/>
          <w:color w:val="FFFFFF"/>
          <w:sz w:val="4"/>
          <w:szCs w:val="4"/>
          <w:rtl/>
        </w:rPr>
        <w:t>ב</w:t>
      </w:r>
    </w:p>
    <w:p w14:paraId="07EADEEB" w14:textId="77777777" w:rsidR="00814E0E" w:rsidRDefault="00814E0E">
      <w:pPr>
        <w:ind w:left="720"/>
        <w:rPr>
          <w:rFonts w:hint="cs"/>
          <w:b/>
          <w:bCs/>
          <w:rtl/>
        </w:rPr>
      </w:pPr>
    </w:p>
    <w:p w14:paraId="58768F46" w14:textId="77777777" w:rsidR="00814E0E" w:rsidRDefault="00814E0E">
      <w:pPr>
        <w:ind w:left="1440" w:hanging="720"/>
        <w:rPr>
          <w:rFonts w:hint="cs"/>
          <w:b/>
          <w:bCs/>
          <w:rtl/>
        </w:rPr>
      </w:pPr>
      <w:r>
        <w:rPr>
          <w:rFonts w:hint="cs"/>
          <w:b/>
          <w:bCs/>
          <w:rtl/>
        </w:rPr>
        <w:t>ג.</w:t>
      </w:r>
      <w:r>
        <w:rPr>
          <w:rFonts w:hint="cs"/>
          <w:b/>
          <w:bCs/>
          <w:rtl/>
        </w:rPr>
        <w:tab/>
        <w:t>בהגיעם לרח' עין יהב, עצר קרוב להרים, הנאשם עבר כסא, לכיוונה, והחל לשלוח ידיים. העדה נרתעה, אמרה שאינה רוצה, אולם הנאשם שלח יד מתחת לחולצתה לכיוון החזיה ואז החלה להאבק עימו. וכתוצאה מכך אחד מברזלי החזיה נקרע [החזיה הפרומה הוצגה ת/4].</w:t>
      </w:r>
      <w:r>
        <w:rPr>
          <w:b/>
          <w:bCs/>
          <w:color w:val="FFFFFF"/>
          <w:sz w:val="4"/>
          <w:szCs w:val="4"/>
          <w:rtl/>
        </w:rPr>
        <w:t>ו</w:t>
      </w:r>
    </w:p>
    <w:p w14:paraId="57634938" w14:textId="77777777" w:rsidR="00814E0E" w:rsidRDefault="00814E0E">
      <w:pPr>
        <w:ind w:left="720"/>
        <w:rPr>
          <w:rFonts w:hint="cs"/>
          <w:b/>
          <w:bCs/>
          <w:rtl/>
        </w:rPr>
      </w:pPr>
    </w:p>
    <w:p w14:paraId="16FCCC8D" w14:textId="77777777" w:rsidR="00814E0E" w:rsidRDefault="00814E0E">
      <w:pPr>
        <w:ind w:left="1440" w:hanging="720"/>
        <w:rPr>
          <w:rFonts w:hint="cs"/>
          <w:b/>
          <w:bCs/>
          <w:rtl/>
        </w:rPr>
      </w:pPr>
      <w:r>
        <w:rPr>
          <w:rFonts w:hint="cs"/>
          <w:b/>
          <w:bCs/>
          <w:rtl/>
        </w:rPr>
        <w:t>ד.</w:t>
      </w:r>
      <w:r>
        <w:rPr>
          <w:rFonts w:hint="cs"/>
          <w:b/>
          <w:bCs/>
          <w:rtl/>
        </w:rPr>
        <w:tab/>
        <w:t>הנאשם נגע בחזה של המתלוננת והיא צעקה לו שיפסיק, אולם הוא ניסה לחבקה בכח ולנשקה.</w:t>
      </w:r>
      <w:r>
        <w:rPr>
          <w:b/>
          <w:bCs/>
          <w:color w:val="FFFFFF"/>
          <w:sz w:val="4"/>
          <w:szCs w:val="4"/>
          <w:rtl/>
        </w:rPr>
        <w:t>נ</w:t>
      </w:r>
    </w:p>
    <w:p w14:paraId="7B400394" w14:textId="77777777" w:rsidR="00814E0E" w:rsidRDefault="00814E0E">
      <w:pPr>
        <w:ind w:left="1440"/>
        <w:rPr>
          <w:rFonts w:hint="cs"/>
          <w:b/>
          <w:bCs/>
          <w:rtl/>
        </w:rPr>
      </w:pPr>
      <w:r>
        <w:rPr>
          <w:rFonts w:hint="cs"/>
          <w:b/>
          <w:bCs/>
          <w:rtl/>
        </w:rPr>
        <w:t>בתגובה לכך ניסתה המתלוננת להגיע לידית הדלת, אולם הנאשם אמר לה שהיא אינה זזה לאף מקום, המתלוננת צעקה עליו פעם נוספת.</w:t>
      </w:r>
      <w:r>
        <w:rPr>
          <w:b/>
          <w:bCs/>
          <w:color w:val="FFFFFF"/>
          <w:sz w:val="4"/>
          <w:szCs w:val="4"/>
          <w:rtl/>
        </w:rPr>
        <w:t>ב</w:t>
      </w:r>
    </w:p>
    <w:p w14:paraId="61D6341B" w14:textId="77777777" w:rsidR="00814E0E" w:rsidRDefault="00814E0E">
      <w:pPr>
        <w:ind w:left="720"/>
        <w:rPr>
          <w:rFonts w:hint="cs"/>
          <w:b/>
          <w:bCs/>
          <w:rtl/>
        </w:rPr>
      </w:pPr>
    </w:p>
    <w:p w14:paraId="7199ED03" w14:textId="77777777" w:rsidR="00814E0E" w:rsidRDefault="00814E0E">
      <w:pPr>
        <w:ind w:left="1440" w:hanging="720"/>
        <w:rPr>
          <w:rFonts w:hint="cs"/>
          <w:b/>
          <w:bCs/>
          <w:rtl/>
        </w:rPr>
      </w:pPr>
      <w:r>
        <w:rPr>
          <w:rFonts w:hint="cs"/>
          <w:b/>
          <w:bCs/>
          <w:rtl/>
        </w:rPr>
        <w:t>ה.</w:t>
      </w:r>
      <w:r>
        <w:rPr>
          <w:rFonts w:hint="cs"/>
          <w:b/>
          <w:bCs/>
          <w:rtl/>
        </w:rPr>
        <w:tab/>
        <w:t>אז חדל הנאשם ממעשיו. המתלוננת אמרה לו שיקחה לביתה וכך אומנם עשה. בהגיעו לביתה, עצר המשאית, אמר לה "</w:t>
      </w:r>
      <w:r>
        <w:rPr>
          <w:rFonts w:cs="Guttman Keren" w:hint="cs"/>
          <w:szCs w:val="20"/>
          <w:rtl/>
        </w:rPr>
        <w:t>תסלחי לי</w:t>
      </w:r>
      <w:r>
        <w:rPr>
          <w:rFonts w:hint="cs"/>
          <w:b/>
          <w:bCs/>
          <w:rtl/>
        </w:rPr>
        <w:t>", היא ענתה ב- "</w:t>
      </w:r>
      <w:r>
        <w:rPr>
          <w:rFonts w:cs="Guttman Keren" w:hint="cs"/>
          <w:szCs w:val="20"/>
          <w:rtl/>
        </w:rPr>
        <w:t>חפיף כן</w:t>
      </w:r>
      <w:r>
        <w:rPr>
          <w:rFonts w:hint="cs"/>
          <w:b/>
          <w:bCs/>
          <w:rtl/>
        </w:rPr>
        <w:t>" ויצאה מהמשאית.</w:t>
      </w:r>
      <w:r>
        <w:rPr>
          <w:b/>
          <w:bCs/>
          <w:color w:val="FFFFFF"/>
          <w:sz w:val="4"/>
          <w:szCs w:val="4"/>
          <w:rtl/>
        </w:rPr>
        <w:t>ו</w:t>
      </w:r>
    </w:p>
    <w:p w14:paraId="392679EF" w14:textId="77777777" w:rsidR="00814E0E" w:rsidRDefault="00814E0E">
      <w:pPr>
        <w:ind w:left="720"/>
        <w:rPr>
          <w:rFonts w:hint="cs"/>
          <w:b/>
          <w:bCs/>
          <w:rtl/>
        </w:rPr>
      </w:pPr>
    </w:p>
    <w:p w14:paraId="1420AAC1" w14:textId="77777777" w:rsidR="00814E0E" w:rsidRDefault="00814E0E">
      <w:pPr>
        <w:ind w:left="1440" w:hanging="720"/>
        <w:rPr>
          <w:rFonts w:hint="cs"/>
          <w:b/>
          <w:bCs/>
          <w:rtl/>
        </w:rPr>
      </w:pPr>
      <w:r>
        <w:rPr>
          <w:rFonts w:hint="cs"/>
          <w:b/>
          <w:bCs/>
          <w:rtl/>
        </w:rPr>
        <w:t>ו.</w:t>
      </w:r>
      <w:r>
        <w:rPr>
          <w:rFonts w:hint="cs"/>
          <w:b/>
          <w:bCs/>
          <w:rtl/>
        </w:rPr>
        <w:tab/>
        <w:t>לאחר שהגיעה לביתה נכנסה לחדרה בכתה כ- 10 דקות, אחר כך יצאה לסלון, אולם לא הגיבה לפניות בני המשפחה עד שאחיה זרק עליה שלט על מנת להוציאה מהשוק.</w:t>
      </w:r>
      <w:r>
        <w:rPr>
          <w:b/>
          <w:bCs/>
          <w:color w:val="FFFFFF"/>
          <w:sz w:val="4"/>
          <w:szCs w:val="4"/>
          <w:rtl/>
        </w:rPr>
        <w:t>נ</w:t>
      </w:r>
    </w:p>
    <w:p w14:paraId="44437B4A" w14:textId="77777777" w:rsidR="00814E0E" w:rsidRDefault="00814E0E">
      <w:pPr>
        <w:ind w:left="720"/>
        <w:rPr>
          <w:rFonts w:hint="cs"/>
          <w:b/>
          <w:bCs/>
          <w:rtl/>
        </w:rPr>
      </w:pPr>
    </w:p>
    <w:p w14:paraId="6BDDA32B" w14:textId="77777777" w:rsidR="00814E0E" w:rsidRDefault="00814E0E">
      <w:pPr>
        <w:ind w:left="1440" w:hanging="720"/>
        <w:rPr>
          <w:rFonts w:hint="cs"/>
          <w:b/>
          <w:bCs/>
          <w:rtl/>
        </w:rPr>
      </w:pPr>
      <w:r>
        <w:rPr>
          <w:rFonts w:hint="cs"/>
          <w:b/>
          <w:bCs/>
          <w:rtl/>
        </w:rPr>
        <w:t>ז.</w:t>
      </w:r>
      <w:r>
        <w:rPr>
          <w:rFonts w:hint="cs"/>
          <w:b/>
          <w:bCs/>
          <w:rtl/>
        </w:rPr>
        <w:tab/>
        <w:t>בהמשך היא סיפרה לאימה את שקרה. אחיה התקשר למשטרה, דיווח להם על הארוע ובהמשך באותו לילה בשעה 23:15 הגיעה המתלוננת עם חברתה שושי גרופר ומסרה תלונה.</w:t>
      </w:r>
      <w:r>
        <w:rPr>
          <w:b/>
          <w:bCs/>
          <w:color w:val="FFFFFF"/>
          <w:sz w:val="4"/>
          <w:szCs w:val="4"/>
          <w:rtl/>
        </w:rPr>
        <w:t>ב</w:t>
      </w:r>
    </w:p>
    <w:p w14:paraId="30C987EE" w14:textId="77777777" w:rsidR="00814E0E" w:rsidRDefault="00814E0E">
      <w:pPr>
        <w:ind w:left="720"/>
        <w:rPr>
          <w:rFonts w:hint="cs"/>
          <w:b/>
          <w:bCs/>
          <w:rtl/>
        </w:rPr>
      </w:pPr>
    </w:p>
    <w:p w14:paraId="3E709119" w14:textId="77777777" w:rsidR="00814E0E" w:rsidRDefault="00814E0E">
      <w:pPr>
        <w:numPr>
          <w:ilvl w:val="0"/>
          <w:numId w:val="2"/>
        </w:numPr>
        <w:ind w:right="0"/>
        <w:rPr>
          <w:rFonts w:hint="cs"/>
          <w:b/>
          <w:bCs/>
          <w:rtl/>
        </w:rPr>
      </w:pPr>
      <w:r>
        <w:rPr>
          <w:rFonts w:hint="cs"/>
          <w:b/>
          <w:bCs/>
          <w:rtl/>
        </w:rPr>
        <w:t xml:space="preserve">לדבריה, נתנה לנאשם את מס' הטלפון שלה בזמן הארוע על מנת להפטר ממנו. </w:t>
      </w:r>
    </w:p>
    <w:p w14:paraId="7F7B4B8A" w14:textId="77777777" w:rsidR="00814E0E" w:rsidRDefault="00814E0E">
      <w:pPr>
        <w:ind w:left="720"/>
        <w:rPr>
          <w:b/>
          <w:bCs/>
          <w:rtl/>
        </w:rPr>
      </w:pPr>
    </w:p>
    <w:p w14:paraId="380DD6B5" w14:textId="77777777" w:rsidR="00814E0E" w:rsidRDefault="00814E0E">
      <w:pPr>
        <w:numPr>
          <w:ilvl w:val="0"/>
          <w:numId w:val="2"/>
        </w:numPr>
        <w:ind w:right="0"/>
        <w:rPr>
          <w:rFonts w:hint="cs"/>
          <w:b/>
          <w:bCs/>
          <w:rtl/>
        </w:rPr>
      </w:pPr>
      <w:r>
        <w:rPr>
          <w:rFonts w:hint="cs"/>
          <w:b/>
          <w:bCs/>
          <w:rtl/>
        </w:rPr>
        <w:lastRenderedPageBreak/>
        <w:t>עוד מסרה העדה כי כשבוע לאחר הארוע היא התקשרה לחברתה הנ"ל על מנת לשוחח עמה, אולם הוריה סירבו שהיא תדבר עימה, שכן לטענת ההורים היא הרסה חיים של בן אדם. גם למחרת כאשר ביקשה לדבר עם חברתה, היא סירבה בטענה שהיא אינה רוצה לריב עם הוריה .</w:t>
      </w:r>
      <w:r>
        <w:rPr>
          <w:b/>
          <w:bCs/>
          <w:color w:val="FFFFFF"/>
          <w:sz w:val="4"/>
          <w:szCs w:val="4"/>
          <w:rtl/>
        </w:rPr>
        <w:t>ו</w:t>
      </w:r>
    </w:p>
    <w:p w14:paraId="05F2B50D" w14:textId="77777777" w:rsidR="00814E0E" w:rsidRDefault="00814E0E">
      <w:pPr>
        <w:ind w:left="1440"/>
        <w:rPr>
          <w:rFonts w:hint="cs"/>
          <w:b/>
          <w:bCs/>
          <w:rtl/>
        </w:rPr>
      </w:pPr>
      <w:r>
        <w:rPr>
          <w:rFonts w:hint="cs"/>
          <w:b/>
          <w:bCs/>
          <w:rtl/>
        </w:rPr>
        <w:t>המצב הנדון הכניס אותה למצוקה והיא בלעה 20 כדורי נורופן ונזקקה לטיפול רפואי.</w:t>
      </w:r>
      <w:r>
        <w:rPr>
          <w:b/>
          <w:bCs/>
          <w:color w:val="FFFFFF"/>
          <w:sz w:val="4"/>
          <w:szCs w:val="4"/>
          <w:rtl/>
        </w:rPr>
        <w:t>נ</w:t>
      </w:r>
    </w:p>
    <w:p w14:paraId="4B18584A" w14:textId="77777777" w:rsidR="00814E0E" w:rsidRDefault="00814E0E">
      <w:pPr>
        <w:ind w:left="720"/>
        <w:rPr>
          <w:rFonts w:hint="cs"/>
          <w:b/>
          <w:bCs/>
          <w:rtl/>
        </w:rPr>
      </w:pPr>
    </w:p>
    <w:p w14:paraId="7FFFDAEE" w14:textId="77777777" w:rsidR="00814E0E" w:rsidRDefault="00814E0E">
      <w:pPr>
        <w:ind w:left="1440" w:hanging="720"/>
        <w:rPr>
          <w:rFonts w:hint="cs"/>
          <w:b/>
          <w:bCs/>
          <w:rtl/>
        </w:rPr>
      </w:pPr>
      <w:r>
        <w:rPr>
          <w:rFonts w:hint="cs"/>
          <w:b/>
          <w:bCs/>
          <w:rtl/>
        </w:rPr>
        <w:t>י.</w:t>
      </w:r>
      <w:r>
        <w:rPr>
          <w:rFonts w:hint="cs"/>
          <w:b/>
          <w:bCs/>
          <w:rtl/>
        </w:rPr>
        <w:tab/>
        <w:t>בעדותה מסרה עוד כי למדה בבית ספר אורים באילת, בי"ס לחינוך מיוחד וכי בהיותה בגיל 18, ביצעה נסיון אבדני על רקע פרידה מחבר.</w:t>
      </w:r>
      <w:r>
        <w:rPr>
          <w:b/>
          <w:bCs/>
          <w:color w:val="FFFFFF"/>
          <w:sz w:val="4"/>
          <w:szCs w:val="4"/>
          <w:rtl/>
        </w:rPr>
        <w:t>ב</w:t>
      </w:r>
    </w:p>
    <w:p w14:paraId="157EEAAE" w14:textId="77777777" w:rsidR="00814E0E" w:rsidRDefault="00814E0E">
      <w:pPr>
        <w:ind w:left="720"/>
        <w:rPr>
          <w:rFonts w:hint="cs"/>
          <w:b/>
          <w:bCs/>
          <w:rtl/>
        </w:rPr>
      </w:pPr>
    </w:p>
    <w:p w14:paraId="40FDBF65" w14:textId="77777777" w:rsidR="00814E0E" w:rsidRDefault="00814E0E">
      <w:pPr>
        <w:ind w:left="1440"/>
        <w:rPr>
          <w:rFonts w:hint="cs"/>
          <w:b/>
          <w:bCs/>
          <w:rtl/>
        </w:rPr>
      </w:pPr>
      <w:r>
        <w:rPr>
          <w:rFonts w:hint="cs"/>
          <w:b/>
          <w:bCs/>
          <w:rtl/>
        </w:rPr>
        <w:t>מעבר לאותו ארוע לא היה לה קשר למיל"ה, מרפאה לבריאות הנפש – אם כי נאמר לה להיות בקשר עם עובד סוציאלי.</w:t>
      </w:r>
      <w:r>
        <w:rPr>
          <w:b/>
          <w:bCs/>
          <w:color w:val="FFFFFF"/>
          <w:sz w:val="4"/>
          <w:szCs w:val="4"/>
          <w:rtl/>
        </w:rPr>
        <w:t>ו</w:t>
      </w:r>
    </w:p>
    <w:p w14:paraId="61A469A5" w14:textId="77777777" w:rsidR="00814E0E" w:rsidRDefault="00814E0E">
      <w:pPr>
        <w:rPr>
          <w:rFonts w:hint="cs"/>
          <w:b/>
          <w:bCs/>
          <w:rtl/>
        </w:rPr>
      </w:pPr>
    </w:p>
    <w:p w14:paraId="7B75C49E" w14:textId="77777777" w:rsidR="00814E0E" w:rsidRDefault="00814E0E">
      <w:pPr>
        <w:ind w:left="720" w:hanging="720"/>
        <w:rPr>
          <w:rFonts w:hint="cs"/>
          <w:b/>
          <w:bCs/>
          <w:rtl/>
        </w:rPr>
      </w:pPr>
      <w:r>
        <w:rPr>
          <w:rFonts w:hint="cs"/>
          <w:b/>
          <w:bCs/>
          <w:rtl/>
        </w:rPr>
        <w:t>3.</w:t>
      </w:r>
      <w:r>
        <w:rPr>
          <w:rFonts w:hint="cs"/>
          <w:b/>
          <w:bCs/>
          <w:rtl/>
        </w:rPr>
        <w:tab/>
        <w:t>בחקירתה הנגדית אישרה העדה כי סמוך לפני הארוע היה לה ויכוח עם בני משפחתה . בתשובה לשאלת הנאשם "</w:t>
      </w:r>
      <w:r>
        <w:rPr>
          <w:rFonts w:cs="Guttman Keren" w:hint="cs"/>
          <w:szCs w:val="20"/>
          <w:rtl/>
        </w:rPr>
        <w:t>ולא היית במחזור או משהו?</w:t>
      </w:r>
      <w:r>
        <w:rPr>
          <w:rFonts w:hint="cs"/>
          <w:b/>
          <w:bCs/>
          <w:rtl/>
        </w:rPr>
        <w:t>" השיבה: "</w:t>
      </w:r>
      <w:r>
        <w:rPr>
          <w:rFonts w:cs="Guttman Keren" w:hint="cs"/>
          <w:szCs w:val="20"/>
          <w:rtl/>
        </w:rPr>
        <w:t>אני המצאתי את זה, לא אמרתי שיש לי מחזור, אמרתי כבר בעדות שיש לי חבר</w:t>
      </w:r>
      <w:r>
        <w:rPr>
          <w:rFonts w:hint="cs"/>
          <w:b/>
          <w:bCs/>
          <w:rtl/>
        </w:rPr>
        <w:t>".</w:t>
      </w:r>
      <w:r>
        <w:rPr>
          <w:b/>
          <w:bCs/>
          <w:color w:val="FFFFFF"/>
          <w:sz w:val="4"/>
          <w:szCs w:val="4"/>
          <w:rtl/>
        </w:rPr>
        <w:t>נ</w:t>
      </w:r>
    </w:p>
    <w:p w14:paraId="7004CDE4" w14:textId="77777777" w:rsidR="00814E0E" w:rsidRDefault="00814E0E">
      <w:pPr>
        <w:ind w:left="720"/>
        <w:rPr>
          <w:b/>
          <w:bCs/>
          <w:rtl/>
        </w:rPr>
      </w:pPr>
      <w:r>
        <w:rPr>
          <w:rFonts w:hint="cs"/>
          <w:b/>
          <w:bCs/>
          <w:rtl/>
        </w:rPr>
        <w:t>המתלוננת אישרה כי אכן נפגשה עם הנאשם בעבר מס' פעמים, לרבות האפשרות שבמקרה אחד המפגש היה בביתה של אותה חברה, שושי, אם כי טענה שאינה זוכרת זאת.</w:t>
      </w:r>
      <w:r>
        <w:rPr>
          <w:b/>
          <w:bCs/>
          <w:color w:val="FFFFFF"/>
          <w:sz w:val="4"/>
          <w:szCs w:val="4"/>
          <w:rtl/>
        </w:rPr>
        <w:t>ב</w:t>
      </w:r>
    </w:p>
    <w:p w14:paraId="035BA4A2" w14:textId="77777777" w:rsidR="00814E0E" w:rsidRDefault="00814E0E">
      <w:pPr>
        <w:rPr>
          <w:rFonts w:hint="cs"/>
          <w:b/>
          <w:bCs/>
          <w:rtl/>
        </w:rPr>
      </w:pPr>
    </w:p>
    <w:p w14:paraId="6DC7979E" w14:textId="77777777" w:rsidR="00814E0E" w:rsidRDefault="00814E0E">
      <w:pPr>
        <w:ind w:left="720"/>
        <w:rPr>
          <w:rFonts w:hint="cs"/>
          <w:b/>
          <w:bCs/>
          <w:rtl/>
        </w:rPr>
      </w:pPr>
      <w:r>
        <w:rPr>
          <w:rFonts w:hint="cs"/>
          <w:b/>
          <w:bCs/>
          <w:rtl/>
        </w:rPr>
        <w:t>עוד אישרה בחקירתה הנגדית, כי סיפרה לנאשם, שבשני מקרים הגיעה לביתם של שני שוטרים לבקשת בחורה אחת, וכי אלה הראו לה סרטים כחולים, ואולם, מעבר לכך שישבה עמם, הם לא נגעו בה. עוד אישרה כי אמרה למתלונן אשר יעץ לה להגיש נגד אותם שוטרים תלונה, שהיא לא תעלה זאת מכיוון שיאמינו לשוטרים ולא לדבריה.</w:t>
      </w:r>
      <w:r>
        <w:rPr>
          <w:b/>
          <w:bCs/>
          <w:color w:val="FFFFFF"/>
          <w:sz w:val="4"/>
          <w:szCs w:val="4"/>
          <w:rtl/>
        </w:rPr>
        <w:t>ו</w:t>
      </w:r>
    </w:p>
    <w:p w14:paraId="1D106E27" w14:textId="77777777" w:rsidR="00814E0E" w:rsidRDefault="00814E0E">
      <w:pPr>
        <w:ind w:left="720"/>
        <w:rPr>
          <w:rFonts w:hint="cs"/>
          <w:b/>
          <w:bCs/>
          <w:rtl/>
        </w:rPr>
      </w:pPr>
    </w:p>
    <w:p w14:paraId="1A5E9B6C" w14:textId="77777777" w:rsidR="00814E0E" w:rsidRDefault="00814E0E">
      <w:pPr>
        <w:ind w:left="720" w:hanging="720"/>
        <w:rPr>
          <w:rFonts w:hint="cs"/>
          <w:b/>
          <w:bCs/>
          <w:rtl/>
        </w:rPr>
      </w:pPr>
      <w:r>
        <w:rPr>
          <w:rFonts w:hint="cs"/>
          <w:b/>
          <w:bCs/>
          <w:rtl/>
        </w:rPr>
        <w:t>4.</w:t>
      </w:r>
      <w:r>
        <w:rPr>
          <w:rFonts w:hint="cs"/>
          <w:b/>
          <w:bCs/>
          <w:rtl/>
        </w:rPr>
        <w:tab/>
        <w:t>נוכח כך שחקירתו הנגדית של הנאשם הייתה לקויה וחסרה, התבקשה העדה להשיב לשאלות ביהמ"ש ביחס להתנהגותה ואפשרות הבנת הנאשם אותה ככזאת בה סבר שהיא מסכימה לפעולותיו. תשובתה של העדה הייתה שהיא לא הסכימה לכל קירבה עם הנאשם בזמן הארוע ועמדה על כך שייקח אותה לביתה.</w:t>
      </w:r>
      <w:r>
        <w:rPr>
          <w:b/>
          <w:bCs/>
          <w:color w:val="FFFFFF"/>
          <w:sz w:val="4"/>
          <w:szCs w:val="4"/>
          <w:rtl/>
        </w:rPr>
        <w:t>נ</w:t>
      </w:r>
    </w:p>
    <w:p w14:paraId="3A7D3C20" w14:textId="77777777" w:rsidR="00814E0E" w:rsidRDefault="00814E0E">
      <w:pPr>
        <w:rPr>
          <w:rFonts w:hint="cs"/>
          <w:b/>
          <w:bCs/>
          <w:rtl/>
        </w:rPr>
      </w:pPr>
    </w:p>
    <w:p w14:paraId="717872CF" w14:textId="77777777" w:rsidR="00814E0E" w:rsidRDefault="00814E0E">
      <w:pPr>
        <w:ind w:left="720" w:hanging="720"/>
        <w:rPr>
          <w:b/>
          <w:bCs/>
          <w:rtl/>
        </w:rPr>
      </w:pPr>
      <w:r>
        <w:rPr>
          <w:rFonts w:hint="cs"/>
          <w:b/>
          <w:bCs/>
          <w:rtl/>
        </w:rPr>
        <w:t>5.</w:t>
      </w:r>
      <w:r>
        <w:rPr>
          <w:rFonts w:hint="cs"/>
          <w:b/>
          <w:bCs/>
          <w:rtl/>
        </w:rPr>
        <w:tab/>
        <w:t>הנאשם בעדותו מסר כי הגיע למרכז אופיר, ראה את המתלוננת, אותה הוא מכיר ממפגשים קודמים ביניהם, והציע לשלם עבור השוקו שקנתה, משום שלא היה לה מספיק כסף. המתלוננת הסכימה, לאחר מכן הביעה הסכמתה לכך שיסיעה לביתה. תוך כדי הנסיעה הציעה המתלוננת כי יקחנה לשכונת השחמון, שם תראה לו את הבית בשחמון השייך להוריה. הם הגיעו למקום, עצרו בצד, דיברו, אולם לא היה כלום. המתלוננת ביקשה לחזור לביתה. כאשר שאל אותה מדוע היא עצובה, השיבה כי היא במחזור.</w:t>
      </w:r>
      <w:r>
        <w:rPr>
          <w:b/>
          <w:bCs/>
          <w:color w:val="FFFFFF"/>
          <w:sz w:val="4"/>
          <w:szCs w:val="4"/>
          <w:rtl/>
        </w:rPr>
        <w:t>ב</w:t>
      </w:r>
    </w:p>
    <w:p w14:paraId="34D97193" w14:textId="77777777" w:rsidR="00814E0E" w:rsidRDefault="00814E0E">
      <w:pPr>
        <w:ind w:left="720" w:hanging="720"/>
        <w:rPr>
          <w:rFonts w:hint="cs"/>
          <w:b/>
          <w:bCs/>
          <w:rtl/>
        </w:rPr>
      </w:pPr>
    </w:p>
    <w:p w14:paraId="14E6F058" w14:textId="77777777" w:rsidR="00814E0E" w:rsidRDefault="00814E0E">
      <w:pPr>
        <w:ind w:left="720" w:hanging="720"/>
        <w:rPr>
          <w:rFonts w:hint="cs"/>
          <w:b/>
          <w:bCs/>
          <w:rtl/>
        </w:rPr>
      </w:pPr>
      <w:r>
        <w:rPr>
          <w:rFonts w:hint="cs"/>
          <w:b/>
          <w:bCs/>
          <w:rtl/>
        </w:rPr>
        <w:lastRenderedPageBreak/>
        <w:tab/>
        <w:t>הנאשם הכחיש כי נגע במתלוננת וטען כי עצם התלונה נגדו הכניסה אותו להלם. הוא, כדבריו, נשוי, יש לו היום בת קטנה בת 11 חודש, אישתו הייתה בטיפולי פוריות ואין כל סיבה שיתעסק בדברים כאלה.</w:t>
      </w:r>
      <w:r>
        <w:rPr>
          <w:b/>
          <w:bCs/>
          <w:color w:val="FFFFFF"/>
          <w:sz w:val="4"/>
          <w:szCs w:val="4"/>
          <w:rtl/>
        </w:rPr>
        <w:t>ו</w:t>
      </w:r>
    </w:p>
    <w:p w14:paraId="7A9F0E92" w14:textId="77777777" w:rsidR="00814E0E" w:rsidRDefault="00814E0E">
      <w:pPr>
        <w:ind w:left="720" w:hanging="720"/>
        <w:rPr>
          <w:rFonts w:hint="cs"/>
          <w:b/>
          <w:bCs/>
          <w:rtl/>
        </w:rPr>
      </w:pPr>
    </w:p>
    <w:p w14:paraId="42FEF67E" w14:textId="77777777" w:rsidR="00814E0E" w:rsidRDefault="00814E0E">
      <w:pPr>
        <w:ind w:left="720" w:hanging="720"/>
        <w:rPr>
          <w:rFonts w:hint="cs"/>
          <w:b/>
          <w:bCs/>
          <w:sz w:val="24"/>
          <w:rtl/>
        </w:rPr>
      </w:pPr>
      <w:r>
        <w:rPr>
          <w:rFonts w:hint="cs"/>
          <w:b/>
          <w:bCs/>
          <w:rtl/>
        </w:rPr>
        <w:tab/>
        <w:t>הנאשם אישר בחקירתו הנגדית כי בהיותם בשחמון ביקשה המתלוננת לצאת מהמשאית, אולם הוא לא נתן לה לרדת וכדבריו "</w:t>
      </w:r>
      <w:r>
        <w:rPr>
          <w:rFonts w:cs="Guttman Keren" w:hint="cs"/>
          <w:szCs w:val="20"/>
          <w:rtl/>
        </w:rPr>
        <w:t>היא רצתה אך לא נתתי לה לרדת, זה לא מרחק גדול יחסית ללכת אך למה שתלך לבד בערב הביתה?</w:t>
      </w:r>
      <w:r>
        <w:rPr>
          <w:rFonts w:hint="cs"/>
          <w:b/>
          <w:bCs/>
          <w:sz w:val="24"/>
          <w:rtl/>
        </w:rPr>
        <w:t>" [עמ' 14 שורה 17].</w:t>
      </w:r>
      <w:r>
        <w:rPr>
          <w:b/>
          <w:bCs/>
          <w:color w:val="FFFFFF"/>
          <w:sz w:val="4"/>
          <w:szCs w:val="4"/>
          <w:rtl/>
        </w:rPr>
        <w:t>נ</w:t>
      </w:r>
    </w:p>
    <w:p w14:paraId="4A431890" w14:textId="77777777" w:rsidR="00814E0E" w:rsidRDefault="00814E0E">
      <w:pPr>
        <w:ind w:left="720" w:hanging="720"/>
        <w:rPr>
          <w:rFonts w:cs="Guttman Keren" w:hint="cs"/>
          <w:szCs w:val="20"/>
          <w:rtl/>
        </w:rPr>
      </w:pPr>
      <w:r>
        <w:rPr>
          <w:rFonts w:hint="cs"/>
          <w:b/>
          <w:bCs/>
          <w:sz w:val="24"/>
          <w:rtl/>
        </w:rPr>
        <w:tab/>
        <w:t>ובתשובה לשאלה: "</w:t>
      </w:r>
      <w:r>
        <w:rPr>
          <w:rFonts w:cs="Guttman Keren" w:hint="cs"/>
          <w:szCs w:val="20"/>
          <w:rtl/>
        </w:rPr>
        <w:t xml:space="preserve">איך מנעת ממנה לרדת?" </w:t>
      </w:r>
      <w:r>
        <w:rPr>
          <w:rFonts w:hint="cs"/>
          <w:b/>
          <w:bCs/>
          <w:sz w:val="24"/>
          <w:rtl/>
        </w:rPr>
        <w:t>השיב:</w:t>
      </w:r>
      <w:r>
        <w:rPr>
          <w:rFonts w:cs="Guttman Keren" w:hint="cs"/>
          <w:szCs w:val="20"/>
          <w:rtl/>
        </w:rPr>
        <w:t xml:space="preserve"> "היא פתחה את הדלת, אני סגרתי לה את הדלת ונסעתי".</w:t>
      </w:r>
      <w:r>
        <w:rPr>
          <w:rFonts w:cs="Guttman Keren"/>
          <w:color w:val="FFFFFF"/>
          <w:sz w:val="4"/>
          <w:szCs w:val="4"/>
          <w:rtl/>
        </w:rPr>
        <w:t>ב</w:t>
      </w:r>
    </w:p>
    <w:p w14:paraId="0B122F85" w14:textId="77777777" w:rsidR="00814E0E" w:rsidRDefault="00814E0E">
      <w:pPr>
        <w:rPr>
          <w:rFonts w:hint="cs"/>
          <w:b/>
          <w:bCs/>
          <w:rtl/>
        </w:rPr>
      </w:pPr>
    </w:p>
    <w:p w14:paraId="53B5C7AC" w14:textId="77777777" w:rsidR="00814E0E" w:rsidRDefault="00814E0E">
      <w:pPr>
        <w:ind w:left="720" w:hanging="720"/>
        <w:rPr>
          <w:rFonts w:hint="cs"/>
          <w:b/>
          <w:bCs/>
          <w:rtl/>
        </w:rPr>
      </w:pPr>
      <w:r>
        <w:rPr>
          <w:rFonts w:hint="cs"/>
          <w:b/>
          <w:bCs/>
          <w:rtl/>
        </w:rPr>
        <w:t>6.</w:t>
      </w:r>
      <w:r>
        <w:rPr>
          <w:rFonts w:hint="cs"/>
          <w:b/>
          <w:bCs/>
          <w:rtl/>
        </w:rPr>
        <w:tab/>
        <w:t>בעדותו במשטרה, לאחר אזהרה, מסר הנאשם בכלליות את הגרסה אותה מסר בביהמ"ש. הוא לא יכול היה להסביר מדוע תטפול עליו המתלוננת האשמות שווא וייחס זאת לאישיותה, לעובדה שמדובר בצעירה שאינה עובדת, לא עבדה מעולם, מקבלת קצבה מביטוח לאומי ומקבלת עזרה, וכי, כדבריו, היא "</w:t>
      </w:r>
      <w:r>
        <w:rPr>
          <w:rFonts w:cs="Guttman Keren" w:hint="cs"/>
          <w:szCs w:val="20"/>
          <w:rtl/>
        </w:rPr>
        <w:t>אדם שיש לו קצת בעיות</w:t>
      </w:r>
      <w:r>
        <w:rPr>
          <w:rFonts w:hint="cs"/>
          <w:b/>
          <w:bCs/>
          <w:rtl/>
        </w:rPr>
        <w:t>".</w:t>
      </w:r>
      <w:r>
        <w:rPr>
          <w:b/>
          <w:bCs/>
          <w:color w:val="FFFFFF"/>
          <w:sz w:val="4"/>
          <w:szCs w:val="4"/>
          <w:rtl/>
        </w:rPr>
        <w:t>ו</w:t>
      </w:r>
    </w:p>
    <w:p w14:paraId="7FBA00D3" w14:textId="77777777" w:rsidR="00814E0E" w:rsidRDefault="00814E0E">
      <w:pPr>
        <w:rPr>
          <w:rFonts w:hint="cs"/>
          <w:b/>
          <w:bCs/>
          <w:rtl/>
        </w:rPr>
      </w:pPr>
    </w:p>
    <w:p w14:paraId="1DBE9BB6" w14:textId="77777777" w:rsidR="00814E0E" w:rsidRDefault="00814E0E">
      <w:pPr>
        <w:ind w:left="720" w:hanging="720"/>
        <w:rPr>
          <w:rFonts w:hint="cs"/>
          <w:b/>
          <w:bCs/>
          <w:rtl/>
        </w:rPr>
      </w:pPr>
      <w:r>
        <w:rPr>
          <w:rFonts w:hint="cs"/>
          <w:b/>
          <w:bCs/>
          <w:rtl/>
        </w:rPr>
        <w:t>7.</w:t>
      </w:r>
      <w:r>
        <w:rPr>
          <w:rFonts w:hint="cs"/>
          <w:b/>
          <w:bCs/>
          <w:rtl/>
        </w:rPr>
        <w:tab/>
        <w:t>לאחר ששמעתי את העדויות ועיינתי ביתר המסמכים שהוגשו לתיק, אני בוחר להעדיף את גרסתה של המתלוננת על זו של הנאשם.</w:t>
      </w:r>
      <w:r>
        <w:rPr>
          <w:b/>
          <w:bCs/>
          <w:color w:val="FFFFFF"/>
          <w:sz w:val="4"/>
          <w:szCs w:val="4"/>
          <w:rtl/>
        </w:rPr>
        <w:t>נ</w:t>
      </w:r>
    </w:p>
    <w:p w14:paraId="34684EBD" w14:textId="77777777" w:rsidR="00814E0E" w:rsidRDefault="00814E0E">
      <w:pPr>
        <w:rPr>
          <w:rFonts w:hint="cs"/>
          <w:b/>
          <w:bCs/>
          <w:rtl/>
        </w:rPr>
      </w:pPr>
    </w:p>
    <w:p w14:paraId="20A1764A" w14:textId="77777777" w:rsidR="00814E0E" w:rsidRDefault="00814E0E">
      <w:pPr>
        <w:ind w:left="720"/>
        <w:rPr>
          <w:rFonts w:hint="cs"/>
          <w:b/>
          <w:bCs/>
          <w:rtl/>
        </w:rPr>
      </w:pPr>
      <w:r>
        <w:rPr>
          <w:rFonts w:hint="cs"/>
          <w:b/>
          <w:bCs/>
          <w:rtl/>
        </w:rPr>
        <w:t>אכן, התרשמתי כי המתלוננת סובלת מבעיה כלשהיא והתנהגותה אף בעת מסירת העדות הייתה מוזרה משהו, ואולם, אף העובדה שלא הוכחשה על ידה, שהגיעה בהזדמנויות קודמות לביתם של שני שוטרים, לאחר שנשלחה אליהם על ידי בחורה כל שהיא, שם הראו לה סרטים כחולים וייתכן אף שנשא תוכן מיני מעבר לעצם הצפייה, אינו מפחית ממשקל עדותה ביחס לארוע עליו העידה בעניינו של הנאשם.</w:t>
      </w:r>
      <w:r>
        <w:rPr>
          <w:b/>
          <w:bCs/>
          <w:color w:val="FFFFFF"/>
          <w:sz w:val="4"/>
          <w:szCs w:val="4"/>
          <w:rtl/>
        </w:rPr>
        <w:t>ב</w:t>
      </w:r>
    </w:p>
    <w:p w14:paraId="6D43AF40" w14:textId="77777777" w:rsidR="00814E0E" w:rsidRDefault="00814E0E">
      <w:pPr>
        <w:rPr>
          <w:rFonts w:hint="cs"/>
          <w:b/>
          <w:bCs/>
          <w:rtl/>
        </w:rPr>
      </w:pPr>
    </w:p>
    <w:p w14:paraId="58A71732" w14:textId="77777777" w:rsidR="00814E0E" w:rsidRDefault="00814E0E">
      <w:pPr>
        <w:ind w:left="720"/>
        <w:rPr>
          <w:rFonts w:hint="cs"/>
          <w:b/>
          <w:bCs/>
          <w:rtl/>
        </w:rPr>
      </w:pPr>
      <w:r>
        <w:rPr>
          <w:rFonts w:hint="cs"/>
          <w:b/>
          <w:bCs/>
          <w:rtl/>
        </w:rPr>
        <w:t>ההיפך, עצם העובדה שהמתלוננת סיפרה לנאשם על ארועים אלה ואף על כך שביום המקרה, הייתה במחזור, עניינים אינטימיים, בעלי גוון מיני של המתלוננת, מחזקת ההסבר להתנהגותו של הנאשם כלפיה.</w:t>
      </w:r>
      <w:r>
        <w:rPr>
          <w:b/>
          <w:bCs/>
          <w:color w:val="FFFFFF"/>
          <w:sz w:val="4"/>
          <w:szCs w:val="4"/>
          <w:rtl/>
        </w:rPr>
        <w:t>ו</w:t>
      </w:r>
    </w:p>
    <w:p w14:paraId="1D31B734" w14:textId="77777777" w:rsidR="00814E0E" w:rsidRDefault="00814E0E">
      <w:pPr>
        <w:ind w:left="720"/>
        <w:rPr>
          <w:rFonts w:hint="cs"/>
          <w:b/>
          <w:bCs/>
          <w:rtl/>
        </w:rPr>
      </w:pPr>
    </w:p>
    <w:p w14:paraId="174DF7CC" w14:textId="77777777" w:rsidR="00814E0E" w:rsidRDefault="00814E0E">
      <w:pPr>
        <w:ind w:left="720"/>
        <w:rPr>
          <w:rFonts w:hint="cs"/>
          <w:b/>
          <w:bCs/>
          <w:rtl/>
        </w:rPr>
      </w:pPr>
      <w:r>
        <w:rPr>
          <w:rFonts w:hint="cs"/>
          <w:b/>
          <w:bCs/>
          <w:rtl/>
        </w:rPr>
        <w:t>מעבר לעדותה ביחס לארוע עצמו, התנהגותה לאחר המקרה, מחזקת את האוטנטיות של גרסתה. העובדה שסיפרה על הארוע לבני משפחתה מיד לאחר התרחשותו, תלונתה במשטרה עוד באותו לילה ואף ארוע נטילת הכדורים על ידה, בתגובה לכך שחברתה אינה תומכת בה, ומתרחקת ממנה עפ"י דרישת הוריה, בהתייחס למקרה, יש בכל אלה כאמור משום חיזוק הגרסה.</w:t>
      </w:r>
      <w:r>
        <w:rPr>
          <w:b/>
          <w:bCs/>
          <w:color w:val="FFFFFF"/>
          <w:sz w:val="4"/>
          <w:szCs w:val="4"/>
          <w:rtl/>
        </w:rPr>
        <w:t>נ</w:t>
      </w:r>
    </w:p>
    <w:p w14:paraId="2527FF8A" w14:textId="77777777" w:rsidR="00814E0E" w:rsidRDefault="00814E0E">
      <w:pPr>
        <w:ind w:left="720"/>
        <w:rPr>
          <w:rFonts w:hint="cs"/>
          <w:b/>
          <w:bCs/>
          <w:rtl/>
        </w:rPr>
      </w:pPr>
    </w:p>
    <w:p w14:paraId="0A830DFA" w14:textId="77777777" w:rsidR="00814E0E" w:rsidRDefault="00814E0E">
      <w:pPr>
        <w:ind w:left="720"/>
        <w:rPr>
          <w:rFonts w:hint="cs"/>
          <w:b/>
          <w:bCs/>
          <w:rtl/>
        </w:rPr>
      </w:pPr>
      <w:r>
        <w:rPr>
          <w:rFonts w:hint="cs"/>
          <w:b/>
          <w:bCs/>
          <w:rtl/>
        </w:rPr>
        <w:t>כל זאת ובנוסף, החזיה הפרומה והעובדה שלא הוכחשה על ידי הנאשם, כי היא דרשה לרדת מהמשאית במקום ביצוע העבירה והנאשם מנע זאת ממנה, מהווים כאמור חיזוק רב לגרסתה.</w:t>
      </w:r>
      <w:r>
        <w:rPr>
          <w:b/>
          <w:bCs/>
          <w:color w:val="FFFFFF"/>
          <w:sz w:val="4"/>
          <w:szCs w:val="4"/>
          <w:rtl/>
        </w:rPr>
        <w:t>ב</w:t>
      </w:r>
    </w:p>
    <w:p w14:paraId="60BBF62D" w14:textId="77777777" w:rsidR="00814E0E" w:rsidRDefault="00814E0E">
      <w:pPr>
        <w:ind w:left="720"/>
        <w:rPr>
          <w:rFonts w:hint="cs"/>
          <w:b/>
          <w:bCs/>
          <w:rtl/>
        </w:rPr>
      </w:pPr>
    </w:p>
    <w:p w14:paraId="25E00BB1" w14:textId="77777777" w:rsidR="00814E0E" w:rsidRDefault="00814E0E">
      <w:pPr>
        <w:ind w:left="720" w:hanging="720"/>
        <w:rPr>
          <w:rFonts w:hint="cs"/>
          <w:b/>
          <w:bCs/>
          <w:rtl/>
        </w:rPr>
      </w:pPr>
      <w:r>
        <w:rPr>
          <w:rFonts w:hint="cs"/>
          <w:b/>
          <w:bCs/>
          <w:rtl/>
        </w:rPr>
        <w:t>8.</w:t>
      </w:r>
      <w:r>
        <w:rPr>
          <w:rFonts w:hint="cs"/>
          <w:b/>
          <w:bCs/>
          <w:rtl/>
        </w:rPr>
        <w:tab/>
        <w:t>אשר על כן, אני קובע כי התביעה הוכיחה אשמת הנאשם ואני מרשיעו בעבירה שיוחסה לו בכתב האישום.</w:t>
      </w:r>
      <w:r>
        <w:rPr>
          <w:b/>
          <w:bCs/>
          <w:color w:val="FFFFFF"/>
          <w:sz w:val="4"/>
          <w:szCs w:val="4"/>
          <w:rtl/>
        </w:rPr>
        <w:t>ו</w:t>
      </w:r>
    </w:p>
    <w:p w14:paraId="1F2D5BFF" w14:textId="77777777" w:rsidR="00814E0E" w:rsidRDefault="00814E0E">
      <w:pPr>
        <w:pStyle w:val="1"/>
        <w:spacing w:line="360" w:lineRule="auto"/>
        <w:jc w:val="both"/>
        <w:rPr>
          <w:rFonts w:hint="cs"/>
          <w:b/>
          <w:bCs/>
          <w:rtl/>
        </w:rPr>
      </w:pPr>
    </w:p>
    <w:p w14:paraId="2A2EFF2F" w14:textId="77777777" w:rsidR="00814E0E" w:rsidRDefault="00814E0E">
      <w:pPr>
        <w:pStyle w:val="1"/>
        <w:spacing w:line="360" w:lineRule="auto"/>
        <w:rPr>
          <w:rFonts w:hint="cs"/>
          <w:b/>
          <w:bCs/>
          <w:rtl/>
        </w:rPr>
      </w:pPr>
      <w:r>
        <w:rPr>
          <w:rFonts w:hint="cs"/>
          <w:b/>
          <w:bCs/>
          <w:rtl/>
        </w:rPr>
        <w:t xml:space="preserve">ניתנה היום, א' ב אדר א, תשס"ה (10 בפברואר 2005), במעמד הנ"ל. </w:t>
      </w:r>
    </w:p>
    <w:p w14:paraId="680074BB" w14:textId="77777777" w:rsidR="00814E0E" w:rsidRDefault="00814E0E">
      <w:pPr>
        <w:pStyle w:val="1"/>
        <w:spacing w:line="360" w:lineRule="auto"/>
        <w:rPr>
          <w:rFonts w:hint="cs"/>
          <w:rtl/>
        </w:rPr>
      </w:pPr>
    </w:p>
    <w:tbl>
      <w:tblPr>
        <w:tblW w:w="0" w:type="auto"/>
        <w:tblInd w:w="6153" w:type="dxa"/>
        <w:tblBorders>
          <w:top w:val="single" w:sz="4" w:space="0" w:color="auto"/>
        </w:tblBorders>
        <w:tblLook w:val="0000" w:firstRow="0" w:lastRow="0" w:firstColumn="0" w:lastColumn="0" w:noHBand="0" w:noVBand="0"/>
      </w:tblPr>
      <w:tblGrid>
        <w:gridCol w:w="2369"/>
      </w:tblGrid>
      <w:tr w:rsidR="00814E0E" w14:paraId="15C32198" w14:textId="77777777">
        <w:tc>
          <w:tcPr>
            <w:tcW w:w="2376" w:type="dxa"/>
            <w:tcBorders>
              <w:top w:val="single" w:sz="4" w:space="0" w:color="auto"/>
              <w:left w:val="nil"/>
              <w:bottom w:val="nil"/>
              <w:right w:val="nil"/>
            </w:tcBorders>
          </w:tcPr>
          <w:p w14:paraId="748B0EC9" w14:textId="77777777" w:rsidR="00814E0E" w:rsidRDefault="00814E0E">
            <w:pPr>
              <w:jc w:val="center"/>
              <w:rPr>
                <w:b/>
                <w:bCs/>
              </w:rPr>
            </w:pPr>
            <w:r>
              <w:rPr>
                <w:rFonts w:hint="cs"/>
                <w:b/>
                <w:bCs/>
                <w:rtl/>
              </w:rPr>
              <w:t xml:space="preserve">ש. שטיין - שופט           </w:t>
            </w:r>
          </w:p>
        </w:tc>
      </w:tr>
    </w:tbl>
    <w:p w14:paraId="79EC7F55" w14:textId="77777777" w:rsidR="00814E0E" w:rsidRDefault="00814E0E">
      <w:pPr>
        <w:rPr>
          <w:rFonts w:hint="cs"/>
          <w:b/>
          <w:bCs/>
          <w:rtl/>
        </w:rPr>
      </w:pPr>
    </w:p>
    <w:p w14:paraId="00DDEC26" w14:textId="77777777" w:rsidR="00814E0E" w:rsidRDefault="00814E0E">
      <w:pPr>
        <w:rPr>
          <w:rFonts w:hint="cs"/>
          <w:b/>
          <w:bCs/>
          <w:sz w:val="28"/>
          <w:szCs w:val="28"/>
          <w:u w:val="single"/>
          <w:rtl/>
        </w:rPr>
      </w:pPr>
      <w:r>
        <w:rPr>
          <w:rFonts w:hint="cs"/>
          <w:b/>
          <w:bCs/>
          <w:sz w:val="28"/>
          <w:szCs w:val="28"/>
          <w:u w:val="single"/>
          <w:rtl/>
        </w:rPr>
        <w:t>ב"כ המאשימה:</w:t>
      </w:r>
    </w:p>
    <w:p w14:paraId="5CB9227A" w14:textId="77777777" w:rsidR="00814E0E" w:rsidRDefault="00814E0E">
      <w:pPr>
        <w:pStyle w:val="BodyText"/>
        <w:rPr>
          <w:rFonts w:hint="cs"/>
          <w:rtl/>
        </w:rPr>
      </w:pPr>
      <w:r>
        <w:rPr>
          <w:rFonts w:hint="cs"/>
          <w:rtl/>
        </w:rPr>
        <w:t>שמענו היום הכרעת הדין, אין ספק שהמדובר בעבירה חמורה, בנסיבות קשות, כך לעניין מיהותה של הנאשמת, ויסודות העבירה אשר בין היתר מקימים גם יסודות של כליאת שווא וכדומה, ברור שהעונש שצריך לקבל האיש הוא מאסר מוחשי, אך כיוון שהוא אינו מיוצג כעת, ובטרם טיעוניי, אמליץ לביהמ"ש לקבל עמדת הנאשם לעניין תסקיר שירות מבחן שיתייחס לשאלת העונש ואחר נראה איך נגיב.</w:t>
      </w:r>
      <w:r>
        <w:rPr>
          <w:color w:val="FFFFFF"/>
          <w:sz w:val="4"/>
          <w:szCs w:val="4"/>
          <w:rtl/>
        </w:rPr>
        <w:t>נ</w:t>
      </w:r>
    </w:p>
    <w:p w14:paraId="456C96C3" w14:textId="77777777" w:rsidR="00814E0E" w:rsidRDefault="00814E0E">
      <w:pPr>
        <w:pStyle w:val="BodyText"/>
        <w:rPr>
          <w:rFonts w:hint="cs"/>
          <w:rtl/>
        </w:rPr>
      </w:pPr>
    </w:p>
    <w:p w14:paraId="71E0801E" w14:textId="77777777" w:rsidR="00814E0E" w:rsidRDefault="00814E0E">
      <w:pPr>
        <w:rPr>
          <w:rFonts w:hint="cs"/>
          <w:b/>
          <w:bCs/>
          <w:sz w:val="28"/>
          <w:szCs w:val="28"/>
          <w:u w:val="single"/>
          <w:rtl/>
        </w:rPr>
      </w:pPr>
      <w:r>
        <w:rPr>
          <w:rFonts w:hint="cs"/>
          <w:b/>
          <w:bCs/>
          <w:sz w:val="28"/>
          <w:szCs w:val="28"/>
          <w:u w:val="single"/>
          <w:rtl/>
        </w:rPr>
        <w:t>הנאשם:</w:t>
      </w:r>
    </w:p>
    <w:p w14:paraId="4C9FF177" w14:textId="77777777" w:rsidR="00814E0E" w:rsidRDefault="00814E0E">
      <w:pPr>
        <w:pStyle w:val="BodyText"/>
        <w:rPr>
          <w:rFonts w:hint="cs"/>
          <w:rtl/>
        </w:rPr>
      </w:pPr>
      <w:r>
        <w:rPr>
          <w:rFonts w:hint="cs"/>
          <w:rtl/>
        </w:rPr>
        <w:t>עצם ההרשעה זה כבר, אני לדעתי אם היה לי כסף והייתי מביא עו"ד זה היה הפוך, זה שאין לי אפשרות ואני לא מומחה לכך, אני לא מאשים אף אחד, אני אומר את מה שאני חושב.</w:t>
      </w:r>
      <w:r>
        <w:rPr>
          <w:color w:val="FFFFFF"/>
          <w:sz w:val="4"/>
          <w:szCs w:val="4"/>
          <w:rtl/>
        </w:rPr>
        <w:t>ב</w:t>
      </w:r>
    </w:p>
    <w:p w14:paraId="2EFF31BB" w14:textId="77777777" w:rsidR="00814E0E" w:rsidRDefault="00814E0E">
      <w:pPr>
        <w:pStyle w:val="BodyText"/>
        <w:rPr>
          <w:rFonts w:hint="cs"/>
          <w:rtl/>
        </w:rPr>
      </w:pPr>
      <w:r>
        <w:rPr>
          <w:rFonts w:hint="cs"/>
          <w:rtl/>
        </w:rPr>
        <w:t>נכון שיש לי עבר פלילי אבל הוא מלפני 20 שנה כשהייתי צעיר.</w:t>
      </w:r>
      <w:r>
        <w:rPr>
          <w:color w:val="FFFFFF"/>
          <w:sz w:val="4"/>
          <w:szCs w:val="4"/>
          <w:rtl/>
        </w:rPr>
        <w:t>ו</w:t>
      </w:r>
    </w:p>
    <w:p w14:paraId="0F23A210" w14:textId="77777777" w:rsidR="00814E0E" w:rsidRDefault="00814E0E">
      <w:pPr>
        <w:pStyle w:val="BodyText"/>
        <w:rPr>
          <w:rFonts w:hint="cs"/>
          <w:rtl/>
        </w:rPr>
      </w:pPr>
    </w:p>
    <w:p w14:paraId="650CEC18" w14:textId="77777777" w:rsidR="00814E0E" w:rsidRDefault="00814E0E">
      <w:pPr>
        <w:rPr>
          <w:rFonts w:hint="cs"/>
          <w:b/>
          <w:bCs/>
          <w:sz w:val="28"/>
          <w:szCs w:val="28"/>
          <w:u w:val="single"/>
          <w:rtl/>
        </w:rPr>
      </w:pPr>
      <w:r>
        <w:rPr>
          <w:rFonts w:hint="cs"/>
          <w:b/>
          <w:bCs/>
          <w:sz w:val="28"/>
          <w:szCs w:val="28"/>
          <w:u w:val="single"/>
          <w:rtl/>
        </w:rPr>
        <w:t>ב"כ המאשימה:</w:t>
      </w:r>
    </w:p>
    <w:p w14:paraId="3BCA3BF8" w14:textId="77777777" w:rsidR="00814E0E" w:rsidRDefault="00814E0E">
      <w:pPr>
        <w:pStyle w:val="BodyText"/>
        <w:rPr>
          <w:rFonts w:hint="cs"/>
          <w:rtl/>
        </w:rPr>
      </w:pPr>
      <w:r>
        <w:rPr>
          <w:rFonts w:hint="cs"/>
          <w:rtl/>
        </w:rPr>
        <w:t>נוכח כך שאדוני שולח אותו לתסקיר שירות מבחן וזו שהות נוספת, אני חוזר וממליץ לנאשם שלדיון הנדחה יתייצב לסניגור, על אף שאני משוכנע שהכרעת הדין ניתנה כדין וללא קשר לשאלת ייצוגו, זאת כיוון שלהערכתנו צפוי הנאשם לעונש מאסר, ועדיף לו שיהא מיוצג על ידי עו"ד.</w:t>
      </w:r>
      <w:r>
        <w:rPr>
          <w:color w:val="FFFFFF"/>
          <w:sz w:val="4"/>
          <w:szCs w:val="4"/>
          <w:rtl/>
        </w:rPr>
        <w:t>נ</w:t>
      </w:r>
    </w:p>
    <w:p w14:paraId="586B7E78" w14:textId="77777777" w:rsidR="00814E0E" w:rsidRDefault="00814E0E">
      <w:pPr>
        <w:pStyle w:val="BodyText"/>
        <w:rPr>
          <w:rFonts w:hint="cs"/>
          <w:rtl/>
        </w:rPr>
      </w:pPr>
    </w:p>
    <w:p w14:paraId="2EDFB895" w14:textId="77777777" w:rsidR="00814E0E" w:rsidRDefault="00814E0E">
      <w:pPr>
        <w:pStyle w:val="Title"/>
        <w:spacing w:line="360" w:lineRule="auto"/>
        <w:rPr>
          <w:rFonts w:hint="cs"/>
          <w:color w:val="000000"/>
          <w:sz w:val="32"/>
          <w:szCs w:val="32"/>
          <w:u w:val="single"/>
          <w:rtl/>
        </w:rPr>
      </w:pPr>
      <w:bookmarkStart w:id="12" w:name="Decision1"/>
      <w:r>
        <w:rPr>
          <w:rFonts w:hint="cs"/>
          <w:color w:val="000000"/>
          <w:sz w:val="32"/>
          <w:szCs w:val="32"/>
          <w:u w:val="single"/>
          <w:rtl/>
        </w:rPr>
        <w:t>החלטה</w:t>
      </w:r>
    </w:p>
    <w:p w14:paraId="57B8F0B0" w14:textId="77777777" w:rsidR="00814E0E" w:rsidRDefault="00814E0E">
      <w:pPr>
        <w:ind w:left="720" w:hanging="720"/>
        <w:rPr>
          <w:rFonts w:hint="cs"/>
          <w:b/>
          <w:bCs/>
          <w:sz w:val="24"/>
          <w:rtl/>
        </w:rPr>
      </w:pPr>
      <w:r>
        <w:rPr>
          <w:rFonts w:hint="cs"/>
          <w:b/>
          <w:bCs/>
          <w:sz w:val="24"/>
          <w:rtl/>
        </w:rPr>
        <w:t>1.</w:t>
      </w:r>
      <w:r>
        <w:rPr>
          <w:rFonts w:hint="cs"/>
          <w:b/>
          <w:bCs/>
          <w:sz w:val="24"/>
          <w:rtl/>
        </w:rPr>
        <w:tab/>
        <w:t xml:space="preserve">קובע לדיון ליום 13.04.2005 בשעה 08:30. עד למועד זה יתן שירות המבחן תסקיר בעניינו של הנאשם אשר יתייחס לשאלת העונש. </w:t>
      </w:r>
    </w:p>
    <w:p w14:paraId="6CF6717E" w14:textId="77777777" w:rsidR="00814E0E" w:rsidRDefault="00814E0E">
      <w:pPr>
        <w:ind w:left="720" w:hanging="720"/>
        <w:rPr>
          <w:rFonts w:hint="cs"/>
          <w:b/>
          <w:bCs/>
          <w:sz w:val="24"/>
          <w:rtl/>
        </w:rPr>
      </w:pPr>
    </w:p>
    <w:p w14:paraId="456CDBA5" w14:textId="77777777" w:rsidR="00814E0E" w:rsidRDefault="00814E0E">
      <w:pPr>
        <w:ind w:left="720" w:hanging="720"/>
        <w:rPr>
          <w:rFonts w:hint="cs"/>
          <w:b/>
          <w:bCs/>
          <w:sz w:val="24"/>
          <w:rtl/>
        </w:rPr>
      </w:pPr>
      <w:r>
        <w:rPr>
          <w:rFonts w:hint="cs"/>
          <w:b/>
          <w:bCs/>
          <w:sz w:val="24"/>
          <w:rtl/>
        </w:rPr>
        <w:t>2.</w:t>
      </w:r>
      <w:r>
        <w:rPr>
          <w:rFonts w:hint="cs"/>
          <w:b/>
          <w:bCs/>
          <w:sz w:val="24"/>
          <w:rtl/>
        </w:rPr>
        <w:tab/>
        <w:t>לתשומת לב שירות המבחן, כתובתו העדכנית של הנאשם: 5111/9 באילת . טל': 6410200-052.</w:t>
      </w:r>
      <w:r>
        <w:rPr>
          <w:b/>
          <w:bCs/>
          <w:color w:val="FFFFFF"/>
          <w:sz w:val="4"/>
          <w:szCs w:val="4"/>
          <w:rtl/>
        </w:rPr>
        <w:t>ב</w:t>
      </w:r>
    </w:p>
    <w:p w14:paraId="7C331FEE" w14:textId="77777777" w:rsidR="00814E0E" w:rsidRDefault="00814E0E">
      <w:pPr>
        <w:pStyle w:val="Header"/>
        <w:tabs>
          <w:tab w:val="left" w:pos="720"/>
        </w:tabs>
        <w:rPr>
          <w:rFonts w:hint="cs"/>
          <w:rtl/>
        </w:rPr>
      </w:pPr>
    </w:p>
    <w:p w14:paraId="505CE93E" w14:textId="77777777" w:rsidR="00814E0E" w:rsidRDefault="00814E0E">
      <w:pPr>
        <w:pStyle w:val="1"/>
        <w:rPr>
          <w:rtl/>
        </w:rPr>
      </w:pPr>
      <w:r>
        <w:rPr>
          <w:rFonts w:hint="cs"/>
          <w:b/>
          <w:bCs/>
          <w:rtl/>
        </w:rPr>
        <w:t xml:space="preserve">ניתנה היום, א' ב אדר א, תשס"ה (10 בפברואר 2005), במעמד הנ"ל. </w:t>
      </w:r>
    </w:p>
    <w:tbl>
      <w:tblPr>
        <w:tblW w:w="0" w:type="auto"/>
        <w:tblInd w:w="6153" w:type="dxa"/>
        <w:tblBorders>
          <w:top w:val="single" w:sz="4" w:space="0" w:color="auto"/>
        </w:tblBorders>
        <w:tblLook w:val="0000" w:firstRow="0" w:lastRow="0" w:firstColumn="0" w:lastColumn="0" w:noHBand="0" w:noVBand="0"/>
      </w:tblPr>
      <w:tblGrid>
        <w:gridCol w:w="2369"/>
      </w:tblGrid>
      <w:tr w:rsidR="00814E0E" w14:paraId="43DD41CD" w14:textId="77777777">
        <w:tc>
          <w:tcPr>
            <w:tcW w:w="2376" w:type="dxa"/>
            <w:tcBorders>
              <w:top w:val="single" w:sz="4" w:space="0" w:color="auto"/>
              <w:left w:val="nil"/>
              <w:bottom w:val="nil"/>
              <w:right w:val="nil"/>
            </w:tcBorders>
          </w:tcPr>
          <w:p w14:paraId="176CCC10" w14:textId="77777777" w:rsidR="00814E0E" w:rsidRDefault="00814E0E">
            <w:pPr>
              <w:spacing w:line="240" w:lineRule="auto"/>
              <w:jc w:val="center"/>
              <w:rPr>
                <w:b/>
                <w:bCs/>
              </w:rPr>
            </w:pPr>
            <w:r>
              <w:rPr>
                <w:rFonts w:hint="cs"/>
                <w:b/>
                <w:bCs/>
                <w:rtl/>
              </w:rPr>
              <w:t xml:space="preserve">ש. שטיין - שופט           </w:t>
            </w:r>
          </w:p>
        </w:tc>
      </w:tr>
    </w:tbl>
    <w:p w14:paraId="1A3233F6" w14:textId="77777777" w:rsidR="00814E0E" w:rsidRDefault="00814E0E">
      <w:pPr>
        <w:spacing w:line="240" w:lineRule="auto"/>
        <w:rPr>
          <w:rFonts w:hint="cs"/>
          <w:b/>
          <w:bCs/>
          <w:rtl/>
        </w:rPr>
      </w:pPr>
      <w:r>
        <w:rPr>
          <w:rFonts w:hint="cs"/>
          <w:b/>
          <w:bCs/>
          <w:rtl/>
        </w:rPr>
        <w:t xml:space="preserve">עותק נמסר לצדדים הנוכחים. </w:t>
      </w:r>
    </w:p>
    <w:bookmarkEnd w:id="12"/>
    <w:p w14:paraId="130019B8" w14:textId="77777777" w:rsidR="00814E0E" w:rsidRDefault="00814E0E">
      <w:pPr>
        <w:spacing w:line="240" w:lineRule="auto"/>
        <w:rPr>
          <w:rFonts w:hint="cs"/>
          <w:rtl/>
        </w:rPr>
      </w:pPr>
      <w:r>
        <w:rPr>
          <w:rFonts w:hint="cs"/>
          <w:rtl/>
        </w:rPr>
        <w:t>001770/03פ  136 רונית אסייג</w:t>
      </w:r>
    </w:p>
    <w:p w14:paraId="05E767E9" w14:textId="77777777" w:rsidR="00814E0E" w:rsidRDefault="00814E0E">
      <w:pPr>
        <w:spacing w:line="240" w:lineRule="auto"/>
        <w:rPr>
          <w:rtl/>
        </w:rPr>
      </w:pPr>
      <w:r>
        <w:rPr>
          <w:rtl/>
        </w:rPr>
        <w:t>נוסח מסמך זה כפוף לשינויי ניסוח ועריכה</w:t>
      </w:r>
    </w:p>
    <w:sectPr w:rsidR="00814E0E">
      <w:headerReference w:type="even" r:id="rId10"/>
      <w:headerReference w:type="default" r:id="rId11"/>
      <w:footerReference w:type="even" r:id="rId12"/>
      <w:footerReference w:type="default" r:id="rId13"/>
      <w:headerReference w:type="first" r:id="rId14"/>
      <w:footerReference w:type="first" r:id="rId15"/>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A047" w14:textId="77777777" w:rsidR="00FA6724" w:rsidRDefault="00FA6724">
      <w:r>
        <w:separator/>
      </w:r>
    </w:p>
  </w:endnote>
  <w:endnote w:type="continuationSeparator" w:id="0">
    <w:p w14:paraId="36A8DE1B" w14:textId="77777777" w:rsidR="00FA6724" w:rsidRDefault="00FA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Guttman Keren">
    <w:altName w:val="Arial"/>
    <w:charset w:val="B1"/>
    <w:family w:val="auto"/>
    <w:pitch w:val="variable"/>
    <w:sig w:usb0="00001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1D1B1" w14:textId="77777777" w:rsidR="00FA6724" w:rsidRDefault="00FA672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66635FC" w14:textId="77777777" w:rsidR="00FA6724" w:rsidRDefault="00FA672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31F7B5" w14:textId="77777777" w:rsidR="00FA6724" w:rsidRDefault="00FA672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M:\00000000\05-03-16\ps-all\08 = 05-02-10-anat\OutDoc\s03001770-214.doc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00EA7" w14:textId="77777777" w:rsidR="00FA6724" w:rsidRDefault="00FA672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959E3">
      <w:rPr>
        <w:rFonts w:hAnsi="FrankRuehl" w:cs="FrankRuehl"/>
        <w:noProof/>
        <w:sz w:val="24"/>
        <w:rtl/>
      </w:rPr>
      <w:t>1</w:t>
    </w:r>
    <w:r>
      <w:rPr>
        <w:rFonts w:hAnsi="FrankRuehl" w:cs="FrankRuehl"/>
        <w:sz w:val="24"/>
        <w:rtl/>
      </w:rPr>
      <w:fldChar w:fldCharType="end"/>
    </w:r>
  </w:p>
  <w:p w14:paraId="793ED011" w14:textId="77777777" w:rsidR="00FA6724" w:rsidRDefault="00FA672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C10D3D" w14:textId="77777777" w:rsidR="00FA6724" w:rsidRDefault="00FA672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M:\00000000\05-03-16\ps-all\08 = 05-02-10-anat\OutDoc\s03001770-214.doc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2A51" w14:textId="77777777" w:rsidR="00FA6724" w:rsidRDefault="00FA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14BD" w14:textId="77777777" w:rsidR="00FA6724" w:rsidRDefault="00FA6724">
      <w:r>
        <w:separator/>
      </w:r>
    </w:p>
  </w:footnote>
  <w:footnote w:type="continuationSeparator" w:id="0">
    <w:p w14:paraId="79B4B643" w14:textId="77777777" w:rsidR="00FA6724" w:rsidRDefault="00FA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A2F4" w14:textId="77777777" w:rsidR="00FA6724" w:rsidRDefault="00FA672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1770/03</w:t>
    </w:r>
    <w:r>
      <w:rPr>
        <w:rFonts w:hAnsi="David"/>
        <w:color w:val="000000"/>
        <w:sz w:val="22"/>
        <w:szCs w:val="22"/>
        <w:rtl/>
      </w:rPr>
      <w:tab/>
      <w:t xml:space="preserve"> מדינת ישראל נ' שרון דן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19A9" w14:textId="77777777" w:rsidR="00FA6724" w:rsidRDefault="00FA672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1770/03</w:t>
    </w:r>
    <w:r>
      <w:rPr>
        <w:rFonts w:hAnsi="David"/>
        <w:color w:val="000000"/>
        <w:sz w:val="22"/>
        <w:szCs w:val="22"/>
        <w:rtl/>
      </w:rPr>
      <w:tab/>
      <w:t xml:space="preserve"> מדינת ישראל נ' שרון דן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C412" w14:textId="77777777" w:rsidR="00FA6724" w:rsidRDefault="00FA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67D98"/>
    <w:multiLevelType w:val="hybridMultilevel"/>
    <w:tmpl w:val="63FC283A"/>
    <w:lvl w:ilvl="0" w:tplc="A8AEC536">
      <w:start w:val="8"/>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873808926">
    <w:abstractNumId w:val="0"/>
  </w:num>
  <w:num w:numId="2" w16cid:durableId="1105418728">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14E0E"/>
    <w:rsid w:val="001B2FE9"/>
    <w:rsid w:val="00290FA7"/>
    <w:rsid w:val="00320387"/>
    <w:rsid w:val="006D2DF5"/>
    <w:rsid w:val="00744923"/>
    <w:rsid w:val="00814E0E"/>
    <w:rsid w:val="00A44054"/>
    <w:rsid w:val="00C008C8"/>
    <w:rsid w:val="00C959E3"/>
    <w:rsid w:val="00FA67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65D240"/>
  <w15:chartTrackingRefBased/>
  <w15:docId w15:val="{E73C919F-BF3E-48CC-9BE6-9952100D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sz w:val="40"/>
      <w:szCs w:val="40"/>
    </w:rPr>
  </w:style>
  <w:style w:type="paragraph" w:styleId="Heading5">
    <w:name w:val="heading 5"/>
    <w:basedOn w:val="Normal"/>
    <w:next w:val="Normal"/>
    <w:qFormat/>
    <w:pPr>
      <w:keepNext/>
      <w:spacing w:line="240" w:lineRule="auto"/>
      <w:outlineLvl w:val="4"/>
    </w:pPr>
    <w:rPr>
      <w:b/>
      <w:bCs/>
      <w:sz w:val="44"/>
      <w:szCs w:val="4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0"/>
      <w:szCs w:val="40"/>
    </w:rPr>
  </w:style>
  <w:style w:type="paragraph" w:styleId="BodyText">
    <w:name w:val="Body Text"/>
    <w:basedOn w:val="Normal"/>
  </w:style>
  <w:style w:type="paragraph" w:styleId="BodyTextIndent">
    <w:name w:val="Body Text Indent"/>
    <w:basedOn w:val="Normal"/>
    <w:pPr>
      <w:ind w:left="720" w:hanging="720"/>
    </w:pPr>
    <w:rPr>
      <w:b/>
      <w:bCs/>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290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6341</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7439</CharactersWithSpaces>
  <SharedDoc>false</SharedDoc>
  <HLinks>
    <vt:vector size="18" baseType="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2005-02-10T07:04:00Z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1770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שרון דן</vt:lpwstr>
  </property>
  <property fmtid="{D5CDD505-2E9C-101B-9397-08002B2CF9AE}" pid="9" name="LAWYER">
    <vt:lpwstr>ניוסטד</vt:lpwstr>
  </property>
  <property fmtid="{D5CDD505-2E9C-101B-9397-08002B2CF9AE}" pid="10" name="JUDGE">
    <vt:lpwstr>ש. שטיין</vt:lpwstr>
  </property>
  <property fmtid="{D5CDD505-2E9C-101B-9397-08002B2CF9AE}" pid="11" name="DATE">
    <vt:lpwstr>20050210</vt:lpwstr>
  </property>
  <property fmtid="{D5CDD505-2E9C-101B-9397-08002B2CF9AE}" pid="12" name="WORDNUMPAGES">
    <vt:lpwstr>5</vt:lpwstr>
  </property>
  <property fmtid="{D5CDD505-2E9C-101B-9397-08002B2CF9AE}" pid="13" name="ISABSTRACT">
    <vt:lpwstr>Y</vt:lpwstr>
  </property>
  <property fmtid="{D5CDD505-2E9C-101B-9397-08002B2CF9AE}" pid="14" name="CITY">
    <vt:lpwstr>אי'</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70301/348.c</vt:lpwstr>
  </property>
</Properties>
</file>