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37D1F" w14:textId="77777777" w:rsidR="00A000EA" w:rsidRDefault="00A000EA">
      <w:pPr>
        <w:jc w:val="center"/>
        <w:rPr>
          <w:rFonts w:hint="cs"/>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2"/>
        <w:gridCol w:w="822"/>
        <w:gridCol w:w="2092"/>
      </w:tblGrid>
      <w:tr w:rsidR="00A000EA" w14:paraId="579BB0D8" w14:textId="77777777">
        <w:trPr>
          <w:cantSplit/>
          <w:trHeight w:val="195"/>
        </w:trPr>
        <w:tc>
          <w:tcPr>
            <w:tcW w:w="5608" w:type="dxa"/>
            <w:gridSpan w:val="2"/>
            <w:vMerge w:val="restart"/>
            <w:tcBorders>
              <w:top w:val="single" w:sz="4" w:space="0" w:color="auto"/>
              <w:left w:val="single" w:sz="4" w:space="0" w:color="auto"/>
              <w:bottom w:val="single" w:sz="4" w:space="0" w:color="auto"/>
              <w:right w:val="single" w:sz="4" w:space="0" w:color="auto"/>
            </w:tcBorders>
          </w:tcPr>
          <w:p w14:paraId="5893DECF" w14:textId="77777777" w:rsidR="00A000EA" w:rsidRDefault="00A000EA">
            <w:pPr>
              <w:rPr>
                <w:b/>
                <w:bCs/>
                <w:sz w:val="26"/>
                <w:szCs w:val="26"/>
              </w:rPr>
            </w:pPr>
            <w:r>
              <w:rPr>
                <w:rFonts w:hint="cs"/>
                <w:b/>
                <w:bCs/>
                <w:sz w:val="26"/>
                <w:szCs w:val="26"/>
                <w:rtl/>
              </w:rPr>
              <w:t>בית משפט השלום באר שבע</w:t>
            </w:r>
          </w:p>
        </w:tc>
        <w:tc>
          <w:tcPr>
            <w:tcW w:w="2914" w:type="dxa"/>
            <w:gridSpan w:val="2"/>
            <w:tcBorders>
              <w:top w:val="single" w:sz="4" w:space="0" w:color="auto"/>
              <w:left w:val="single" w:sz="4" w:space="0" w:color="auto"/>
              <w:bottom w:val="single" w:sz="4" w:space="0" w:color="auto"/>
              <w:right w:val="single" w:sz="4" w:space="0" w:color="auto"/>
            </w:tcBorders>
          </w:tcPr>
          <w:p w14:paraId="3BD78F27" w14:textId="77777777" w:rsidR="00A000EA" w:rsidRDefault="00A000EA">
            <w:pPr>
              <w:rPr>
                <w:b/>
                <w:bCs/>
                <w:sz w:val="26"/>
                <w:szCs w:val="26"/>
              </w:rPr>
            </w:pPr>
            <w:r>
              <w:rPr>
                <w:rFonts w:hint="cs"/>
                <w:b/>
                <w:bCs/>
                <w:sz w:val="26"/>
                <w:szCs w:val="26"/>
                <w:rtl/>
              </w:rPr>
              <w:t>פ  001847/03</w:t>
            </w:r>
          </w:p>
        </w:tc>
      </w:tr>
      <w:tr w:rsidR="00A000EA" w14:paraId="46E084AD"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ADC3AF8" w14:textId="77777777" w:rsidR="00A000EA" w:rsidRDefault="00A000EA">
            <w:pPr>
              <w:bidi w:val="0"/>
              <w:spacing w:line="240" w:lineRule="auto"/>
              <w:jc w:val="left"/>
              <w:rPr>
                <w:b/>
                <w:bCs/>
                <w:sz w:val="26"/>
                <w:szCs w:val="26"/>
              </w:rPr>
            </w:pPr>
          </w:p>
        </w:tc>
        <w:tc>
          <w:tcPr>
            <w:tcW w:w="2914" w:type="dxa"/>
            <w:gridSpan w:val="2"/>
            <w:tcBorders>
              <w:top w:val="single" w:sz="4" w:space="0" w:color="auto"/>
              <w:left w:val="single" w:sz="4" w:space="0" w:color="auto"/>
              <w:bottom w:val="single" w:sz="4" w:space="0" w:color="auto"/>
              <w:right w:val="single" w:sz="4" w:space="0" w:color="auto"/>
            </w:tcBorders>
          </w:tcPr>
          <w:p w14:paraId="3DCEF02B" w14:textId="77777777" w:rsidR="00A000EA" w:rsidRDefault="00A000EA">
            <w:pPr>
              <w:rPr>
                <w:b/>
                <w:bCs/>
                <w:sz w:val="26"/>
                <w:szCs w:val="26"/>
              </w:rPr>
            </w:pPr>
          </w:p>
        </w:tc>
      </w:tr>
      <w:tr w:rsidR="00A000EA" w14:paraId="7F2F0EE3"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2E4EBFA2" w14:textId="77777777" w:rsidR="00A000EA" w:rsidRDefault="00A000EA">
            <w:pPr>
              <w:rPr>
                <w:b/>
                <w:bCs/>
                <w:sz w:val="26"/>
                <w:szCs w:val="26"/>
              </w:rPr>
            </w:pPr>
            <w:r>
              <w:rPr>
                <w:rFonts w:hint="cs"/>
                <w:b/>
                <w:bCs/>
                <w:sz w:val="26"/>
                <w:szCs w:val="26"/>
                <w:rtl/>
              </w:rPr>
              <w:t>בפני:</w:t>
            </w:r>
          </w:p>
        </w:tc>
        <w:tc>
          <w:tcPr>
            <w:tcW w:w="4842" w:type="dxa"/>
            <w:tcBorders>
              <w:top w:val="single" w:sz="4" w:space="0" w:color="auto"/>
              <w:left w:val="single" w:sz="4" w:space="0" w:color="auto"/>
              <w:bottom w:val="single" w:sz="4" w:space="0" w:color="auto"/>
              <w:right w:val="single" w:sz="4" w:space="0" w:color="auto"/>
            </w:tcBorders>
          </w:tcPr>
          <w:p w14:paraId="1E1A7B14" w14:textId="77777777" w:rsidR="00A000EA" w:rsidRDefault="00A000EA">
            <w:pPr>
              <w:rPr>
                <w:b/>
                <w:bCs/>
                <w:sz w:val="26"/>
                <w:szCs w:val="26"/>
              </w:rPr>
            </w:pPr>
            <w:r>
              <w:rPr>
                <w:rFonts w:hint="cs"/>
                <w:b/>
                <w:bCs/>
                <w:sz w:val="26"/>
                <w:szCs w:val="26"/>
                <w:rtl/>
              </w:rPr>
              <w:t>השופט יעקב שפסר</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8F05DD8" w14:textId="77777777" w:rsidR="00A000EA" w:rsidRDefault="00A000EA">
            <w:pPr>
              <w:rPr>
                <w:b/>
                <w:bCs/>
                <w:sz w:val="26"/>
                <w:szCs w:val="26"/>
              </w:rPr>
            </w:pPr>
            <w:r>
              <w:rPr>
                <w:rFonts w:hint="cs"/>
                <w:b/>
                <w:bCs/>
                <w:sz w:val="26"/>
                <w:szCs w:val="26"/>
                <w:rtl/>
              </w:rPr>
              <w:t>תאריך:</w:t>
            </w:r>
          </w:p>
        </w:tc>
        <w:tc>
          <w:tcPr>
            <w:tcW w:w="2092" w:type="dxa"/>
            <w:tcBorders>
              <w:top w:val="single" w:sz="4" w:space="0" w:color="auto"/>
              <w:left w:val="single" w:sz="4" w:space="0" w:color="auto"/>
              <w:bottom w:val="single" w:sz="4" w:space="0" w:color="auto"/>
              <w:right w:val="single" w:sz="4" w:space="0" w:color="auto"/>
            </w:tcBorders>
          </w:tcPr>
          <w:p w14:paraId="384D0E6C" w14:textId="77777777" w:rsidR="00A000EA" w:rsidRDefault="00A000EA">
            <w:pPr>
              <w:rPr>
                <w:b/>
                <w:bCs/>
                <w:sz w:val="26"/>
                <w:szCs w:val="26"/>
              </w:rPr>
            </w:pPr>
            <w:r>
              <w:rPr>
                <w:rFonts w:hint="cs"/>
                <w:b/>
                <w:bCs/>
                <w:sz w:val="26"/>
                <w:szCs w:val="26"/>
                <w:rtl/>
              </w:rPr>
              <w:t>30/01/2005</w:t>
            </w:r>
          </w:p>
        </w:tc>
      </w:tr>
    </w:tbl>
    <w:p w14:paraId="4B5B0982" w14:textId="77777777" w:rsidR="00A000EA" w:rsidRDefault="00A000EA">
      <w:pPr>
        <w:pStyle w:val="Header"/>
        <w:jc w:val="left"/>
        <w:rPr>
          <w:rFonts w:hint="cs"/>
          <w:szCs w:val="20"/>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A000EA" w14:paraId="190D99F4" w14:textId="77777777">
        <w:tc>
          <w:tcPr>
            <w:tcW w:w="1418" w:type="dxa"/>
          </w:tcPr>
          <w:p w14:paraId="7E88A18E" w14:textId="77777777" w:rsidR="00A000EA" w:rsidRDefault="00A000EA">
            <w:pPr>
              <w:spacing w:after="80" w:line="320" w:lineRule="exact"/>
              <w:rPr>
                <w:b/>
                <w:bCs/>
                <w:szCs w:val="26"/>
              </w:rPr>
            </w:pPr>
            <w:bookmarkStart w:id="1" w:name="FirstAppellant"/>
            <w:r>
              <w:rPr>
                <w:rFonts w:hint="cs"/>
                <w:b/>
                <w:bCs/>
                <w:rtl/>
              </w:rPr>
              <w:t>בעניין:</w:t>
            </w:r>
          </w:p>
        </w:tc>
        <w:tc>
          <w:tcPr>
            <w:tcW w:w="4820" w:type="dxa"/>
            <w:gridSpan w:val="2"/>
          </w:tcPr>
          <w:p w14:paraId="5AAAC2EA" w14:textId="77777777" w:rsidR="00A000EA" w:rsidRDefault="00A000EA">
            <w:pPr>
              <w:spacing w:after="80" w:line="320" w:lineRule="exact"/>
              <w:rPr>
                <w:b/>
                <w:bCs/>
              </w:rPr>
            </w:pPr>
            <w:r>
              <w:rPr>
                <w:rFonts w:hint="cs"/>
                <w:b/>
                <w:bCs/>
                <w:rtl/>
              </w:rPr>
              <w:t>מדינת ישראל</w:t>
            </w:r>
          </w:p>
        </w:tc>
        <w:tc>
          <w:tcPr>
            <w:tcW w:w="2409" w:type="dxa"/>
          </w:tcPr>
          <w:p w14:paraId="64046E70" w14:textId="77777777" w:rsidR="00A000EA" w:rsidRDefault="00A000EA">
            <w:pPr>
              <w:spacing w:after="80" w:line="320" w:lineRule="exact"/>
              <w:rPr>
                <w:b/>
                <w:bCs/>
              </w:rPr>
            </w:pPr>
          </w:p>
        </w:tc>
      </w:tr>
      <w:tr w:rsidR="00A000EA" w14:paraId="5D4E4535" w14:textId="77777777">
        <w:tc>
          <w:tcPr>
            <w:tcW w:w="1418" w:type="dxa"/>
          </w:tcPr>
          <w:p w14:paraId="39D7E242" w14:textId="77777777" w:rsidR="00A000EA" w:rsidRDefault="00A000EA">
            <w:pPr>
              <w:spacing w:after="80" w:line="320" w:lineRule="exact"/>
              <w:rPr>
                <w:b/>
                <w:bCs/>
                <w:szCs w:val="26"/>
              </w:rPr>
            </w:pPr>
            <w:bookmarkStart w:id="2" w:name="בא_כוח_א" w:colFirst="2" w:colLast="2"/>
            <w:bookmarkStart w:id="3" w:name="FirstLawyer"/>
            <w:bookmarkEnd w:id="1"/>
          </w:p>
        </w:tc>
        <w:tc>
          <w:tcPr>
            <w:tcW w:w="1757" w:type="dxa"/>
          </w:tcPr>
          <w:p w14:paraId="2A0FD5CB" w14:textId="77777777" w:rsidR="00A000EA" w:rsidRDefault="00A000EA">
            <w:pPr>
              <w:spacing w:after="80" w:line="320" w:lineRule="exact"/>
              <w:rPr>
                <w:b/>
                <w:bCs/>
              </w:rPr>
            </w:pPr>
            <w:r>
              <w:rPr>
                <w:rFonts w:hint="cs"/>
                <w:b/>
                <w:bCs/>
                <w:rtl/>
              </w:rPr>
              <w:t>ע"י ב"כ עוה"ד</w:t>
            </w:r>
          </w:p>
        </w:tc>
        <w:tc>
          <w:tcPr>
            <w:tcW w:w="3063" w:type="dxa"/>
          </w:tcPr>
          <w:p w14:paraId="3C89A217" w14:textId="77777777" w:rsidR="00A000EA" w:rsidRDefault="00A000EA">
            <w:pPr>
              <w:spacing w:after="80" w:line="320" w:lineRule="exact"/>
              <w:rPr>
                <w:b/>
                <w:bCs/>
              </w:rPr>
            </w:pPr>
            <w:r>
              <w:rPr>
                <w:rFonts w:hint="cs"/>
                <w:b/>
                <w:bCs/>
                <w:rtl/>
              </w:rPr>
              <w:t>שלומי פצ'בסקי</w:t>
            </w:r>
          </w:p>
        </w:tc>
        <w:tc>
          <w:tcPr>
            <w:tcW w:w="2409" w:type="dxa"/>
          </w:tcPr>
          <w:p w14:paraId="071C21ED" w14:textId="77777777" w:rsidR="00A000EA" w:rsidRDefault="00A000EA">
            <w:pPr>
              <w:pStyle w:val="Heading3"/>
              <w:keepNext w:val="0"/>
              <w:spacing w:after="80" w:line="320" w:lineRule="exact"/>
              <w:rPr>
                <w:u w:val="none"/>
              </w:rPr>
            </w:pPr>
            <w:r>
              <w:rPr>
                <w:rFonts w:hint="cs"/>
                <w:u w:val="none"/>
                <w:rtl/>
              </w:rPr>
              <w:t>המאשימה</w:t>
            </w:r>
          </w:p>
        </w:tc>
      </w:tr>
      <w:bookmarkEnd w:id="2"/>
      <w:bookmarkEnd w:id="3"/>
      <w:tr w:rsidR="00A000EA" w14:paraId="27AF23A1" w14:textId="77777777">
        <w:tc>
          <w:tcPr>
            <w:tcW w:w="1418" w:type="dxa"/>
          </w:tcPr>
          <w:p w14:paraId="1EC1E05E" w14:textId="77777777" w:rsidR="00A000EA" w:rsidRDefault="00A000EA">
            <w:pPr>
              <w:spacing w:after="80" w:line="320" w:lineRule="exact"/>
              <w:rPr>
                <w:b/>
                <w:bCs/>
              </w:rPr>
            </w:pPr>
          </w:p>
        </w:tc>
        <w:tc>
          <w:tcPr>
            <w:tcW w:w="4820" w:type="dxa"/>
            <w:gridSpan w:val="2"/>
          </w:tcPr>
          <w:p w14:paraId="0EC92F06" w14:textId="77777777" w:rsidR="00A000EA" w:rsidRDefault="00A000EA">
            <w:pPr>
              <w:pStyle w:val="Heading4"/>
              <w:keepNext w:val="0"/>
              <w:spacing w:after="80" w:line="320" w:lineRule="exact"/>
              <w:jc w:val="both"/>
              <w:rPr>
                <w:b w:val="0"/>
                <w:bCs w:val="0"/>
              </w:rPr>
            </w:pPr>
            <w:r>
              <w:rPr>
                <w:rFonts w:hint="cs"/>
                <w:rtl/>
              </w:rPr>
              <w:t>נגד</w:t>
            </w:r>
          </w:p>
        </w:tc>
        <w:tc>
          <w:tcPr>
            <w:tcW w:w="2409" w:type="dxa"/>
          </w:tcPr>
          <w:p w14:paraId="571DA77C" w14:textId="77777777" w:rsidR="00A000EA" w:rsidRDefault="00A000EA">
            <w:pPr>
              <w:spacing w:after="80" w:line="320" w:lineRule="exact"/>
              <w:rPr>
                <w:b/>
                <w:bCs/>
              </w:rPr>
            </w:pPr>
          </w:p>
        </w:tc>
      </w:tr>
      <w:tr w:rsidR="00A000EA" w14:paraId="4D4023FE" w14:textId="77777777">
        <w:tc>
          <w:tcPr>
            <w:tcW w:w="1418" w:type="dxa"/>
          </w:tcPr>
          <w:p w14:paraId="04F69A54" w14:textId="77777777" w:rsidR="00A000EA" w:rsidRDefault="00A000EA">
            <w:pPr>
              <w:spacing w:after="80" w:line="320" w:lineRule="exact"/>
              <w:rPr>
                <w:b/>
                <w:bCs/>
                <w:szCs w:val="26"/>
              </w:rPr>
            </w:pPr>
            <w:bookmarkStart w:id="4" w:name="שם_ב" w:colFirst="1" w:colLast="1"/>
          </w:p>
        </w:tc>
        <w:tc>
          <w:tcPr>
            <w:tcW w:w="4820" w:type="dxa"/>
            <w:gridSpan w:val="2"/>
          </w:tcPr>
          <w:p w14:paraId="038B3CE5" w14:textId="77777777" w:rsidR="00A000EA" w:rsidRDefault="00A000EA">
            <w:pPr>
              <w:spacing w:after="80" w:line="320" w:lineRule="exact"/>
              <w:rPr>
                <w:b/>
                <w:bCs/>
              </w:rPr>
            </w:pPr>
            <w:r>
              <w:rPr>
                <w:rFonts w:hint="cs"/>
                <w:b/>
                <w:bCs/>
                <w:rtl/>
              </w:rPr>
              <w:t>צואלחי מראד</w:t>
            </w:r>
          </w:p>
        </w:tc>
        <w:tc>
          <w:tcPr>
            <w:tcW w:w="2409" w:type="dxa"/>
          </w:tcPr>
          <w:p w14:paraId="0FABCF66" w14:textId="77777777" w:rsidR="00A000EA" w:rsidRDefault="00A000EA">
            <w:pPr>
              <w:spacing w:after="80" w:line="320" w:lineRule="exact"/>
              <w:rPr>
                <w:b/>
                <w:bCs/>
              </w:rPr>
            </w:pPr>
          </w:p>
        </w:tc>
      </w:tr>
      <w:tr w:rsidR="00A000EA" w14:paraId="4D9B9652" w14:textId="77777777">
        <w:tc>
          <w:tcPr>
            <w:tcW w:w="1418" w:type="dxa"/>
          </w:tcPr>
          <w:p w14:paraId="30B199FF" w14:textId="77777777" w:rsidR="00A000EA" w:rsidRDefault="00A000EA">
            <w:pPr>
              <w:spacing w:after="80" w:line="320" w:lineRule="exact"/>
              <w:rPr>
                <w:b/>
                <w:bCs/>
                <w:szCs w:val="26"/>
              </w:rPr>
            </w:pPr>
            <w:bookmarkStart w:id="5" w:name="בא_כוח_ב" w:colFirst="2" w:colLast="2"/>
            <w:bookmarkEnd w:id="4"/>
          </w:p>
        </w:tc>
        <w:tc>
          <w:tcPr>
            <w:tcW w:w="1757" w:type="dxa"/>
          </w:tcPr>
          <w:p w14:paraId="286D937F" w14:textId="77777777" w:rsidR="00A000EA" w:rsidRDefault="00A000EA">
            <w:pPr>
              <w:spacing w:after="80" w:line="320" w:lineRule="exact"/>
              <w:rPr>
                <w:b/>
                <w:bCs/>
              </w:rPr>
            </w:pPr>
            <w:r>
              <w:rPr>
                <w:rFonts w:hint="cs"/>
                <w:b/>
                <w:bCs/>
                <w:rtl/>
              </w:rPr>
              <w:t>ע"י ב"כ עוה"ד</w:t>
            </w:r>
          </w:p>
        </w:tc>
        <w:tc>
          <w:tcPr>
            <w:tcW w:w="3063" w:type="dxa"/>
          </w:tcPr>
          <w:p w14:paraId="0EC02A09" w14:textId="77777777" w:rsidR="00A000EA" w:rsidRDefault="00A000EA">
            <w:pPr>
              <w:spacing w:after="80" w:line="320" w:lineRule="exact"/>
              <w:rPr>
                <w:b/>
                <w:bCs/>
              </w:rPr>
            </w:pPr>
            <w:r>
              <w:rPr>
                <w:rFonts w:hint="cs"/>
                <w:b/>
                <w:bCs/>
                <w:rtl/>
              </w:rPr>
              <w:t>ירון הוד</w:t>
            </w:r>
          </w:p>
        </w:tc>
        <w:tc>
          <w:tcPr>
            <w:tcW w:w="2409" w:type="dxa"/>
          </w:tcPr>
          <w:p w14:paraId="7D1945E6" w14:textId="77777777" w:rsidR="00A000EA" w:rsidRDefault="00A000EA">
            <w:pPr>
              <w:pStyle w:val="Heading5"/>
              <w:keepNext w:val="0"/>
              <w:spacing w:after="80" w:line="320" w:lineRule="exact"/>
              <w:rPr>
                <w:u w:val="none"/>
              </w:rPr>
            </w:pPr>
            <w:r>
              <w:rPr>
                <w:rFonts w:hint="cs"/>
                <w:u w:val="none"/>
                <w:rtl/>
              </w:rPr>
              <w:t>הנאשם</w:t>
            </w:r>
          </w:p>
        </w:tc>
      </w:tr>
      <w:bookmarkEnd w:id="5"/>
    </w:tbl>
    <w:p w14:paraId="64E294BD" w14:textId="77777777" w:rsidR="00A000EA" w:rsidRDefault="00A000EA">
      <w:pPr>
        <w:spacing w:line="240" w:lineRule="auto"/>
        <w:rPr>
          <w:rtl/>
        </w:rPr>
      </w:pPr>
    </w:p>
    <w:p w14:paraId="63710567" w14:textId="77777777" w:rsidR="00D32D08" w:rsidRDefault="00A000EA">
      <w:pPr>
        <w:pBdr>
          <w:top w:val="single" w:sz="4" w:space="0" w:color="auto"/>
          <w:left w:val="single" w:sz="4" w:space="0" w:color="auto"/>
          <w:bottom w:val="single" w:sz="4" w:space="0" w:color="auto"/>
          <w:right w:val="single" w:sz="4" w:space="0" w:color="auto"/>
        </w:pBdr>
        <w:spacing w:after="120" w:line="240" w:lineRule="exact"/>
        <w:ind w:left="283" w:hanging="283"/>
        <w:rPr>
          <w:rFonts w:hAnsi="FrankRuehl" w:cs="FrankRuehl"/>
          <w:sz w:val="24"/>
          <w:rtl/>
        </w:rPr>
      </w:pPr>
      <w:r>
        <w:rPr>
          <w:rFonts w:hAnsi="FrankRuehl" w:cs="FrankRuehl"/>
          <w:sz w:val="24"/>
          <w:rtl/>
        </w:rPr>
        <w:t>ל</w:t>
      </w:r>
      <w:r>
        <w:rPr>
          <w:rFonts w:hAnsi="FrankRuehl" w:cs="FrankRuehl" w:hint="cs"/>
          <w:sz w:val="24"/>
          <w:rtl/>
        </w:rPr>
        <w:t>ערעור</w:t>
      </w:r>
      <w:r>
        <w:rPr>
          <w:rFonts w:hAnsi="FrankRuehl" w:cs="FrankRuehl"/>
          <w:sz w:val="24"/>
          <w:rtl/>
        </w:rPr>
        <w:t xml:space="preserve"> במחוזי (</w:t>
      </w:r>
      <w:r>
        <w:rPr>
          <w:rFonts w:hAnsi="FrankRuehl" w:cs="FrankRuehl" w:hint="cs"/>
          <w:sz w:val="24"/>
          <w:rtl/>
        </w:rPr>
        <w:t xml:space="preserve">התקבל, </w:t>
      </w:r>
      <w:r>
        <w:rPr>
          <w:rFonts w:hAnsi="FrankRuehl" w:cs="FrankRuehl"/>
          <w:sz w:val="24"/>
          <w:rtl/>
        </w:rPr>
        <w:t xml:space="preserve">2007-03-28): </w:t>
      </w:r>
      <w:hyperlink r:id="rId7" w:history="1">
        <w:r w:rsidR="003B1A02" w:rsidRPr="003B1A02">
          <w:rPr>
            <w:rStyle w:val="Hyperlink"/>
            <w:rFonts w:hAnsi="FrankRuehl" w:cs="FrankRuehl"/>
            <w:sz w:val="24"/>
            <w:rtl/>
          </w:rPr>
          <w:t>עפ 7137/06</w:t>
        </w:r>
      </w:hyperlink>
      <w:r w:rsidRPr="00296E77">
        <w:rPr>
          <w:rFonts w:hAnsi="FrankRuehl" w:cs="FrankRuehl"/>
          <w:color w:val="000000"/>
          <w:sz w:val="24"/>
          <w:rtl/>
        </w:rPr>
        <w:t xml:space="preserve"> צואלחי מראד נ' מדינת ישראל</w:t>
      </w:r>
      <w:r>
        <w:rPr>
          <w:rFonts w:hAnsi="FrankRuehl" w:cs="FrankRuehl"/>
          <w:sz w:val="24"/>
          <w:rtl/>
        </w:rPr>
        <w:t xml:space="preserve"> שופטים: י. פלפל, נ. הנדל, י. אלון עו"ד: ירון הוד, חנה מגד</w:t>
      </w:r>
      <w:bookmarkStart w:id="6" w:name="LawTable"/>
      <w:bookmarkEnd w:id="6"/>
    </w:p>
    <w:p w14:paraId="01E92C18" w14:textId="77777777" w:rsidR="00D32D08" w:rsidRPr="00D32D08" w:rsidRDefault="00D32D08" w:rsidP="00D32D08">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p>
    <w:p w14:paraId="694D48DE" w14:textId="77777777" w:rsidR="00D32D08" w:rsidRPr="00D32D08" w:rsidRDefault="00D32D08" w:rsidP="00D32D08">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r w:rsidRPr="00D32D08">
        <w:rPr>
          <w:rFonts w:ascii="FrankRuehl" w:hAnsi="FrankRuehl" w:cs="FrankRuehl"/>
          <w:sz w:val="24"/>
          <w:rtl/>
        </w:rPr>
        <w:t xml:space="preserve">חקיקה שאוזכרה: </w:t>
      </w:r>
    </w:p>
    <w:p w14:paraId="54F156AC" w14:textId="77777777" w:rsidR="00D32D08" w:rsidRPr="00D32D08" w:rsidRDefault="00D32D08" w:rsidP="00D32D08">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color w:val="0000FF"/>
          <w:sz w:val="24"/>
          <w:u w:val="single"/>
          <w:rtl/>
        </w:rPr>
      </w:pPr>
      <w:hyperlink r:id="rId8" w:history="1">
        <w:r w:rsidRPr="00D32D08">
          <w:rPr>
            <w:rStyle w:val="Hyperlink"/>
            <w:rFonts w:ascii="FrankRuehl" w:hAnsi="FrankRuehl" w:cs="FrankRuehl"/>
            <w:sz w:val="24"/>
            <w:rtl/>
          </w:rPr>
          <w:t>חוק העונשין, תשל"ז-1977</w:t>
        </w:r>
      </w:hyperlink>
      <w:r w:rsidRPr="00D32D08">
        <w:rPr>
          <w:rFonts w:ascii="FrankRuehl" w:hAnsi="FrankRuehl" w:cs="FrankRuehl"/>
          <w:color w:val="0000FF"/>
          <w:sz w:val="24"/>
          <w:u w:val="single"/>
          <w:rtl/>
        </w:rPr>
        <w:t xml:space="preserve">: סע'  </w:t>
      </w:r>
      <w:hyperlink r:id="rId9" w:history="1">
        <w:r w:rsidRPr="00D32D08">
          <w:rPr>
            <w:rStyle w:val="Hyperlink"/>
            <w:rFonts w:ascii="FrankRuehl" w:hAnsi="FrankRuehl" w:cs="FrankRuehl"/>
            <w:sz w:val="24"/>
          </w:rPr>
          <w:t>349(</w:t>
        </w:r>
        <w:r w:rsidRPr="00D32D08">
          <w:rPr>
            <w:rStyle w:val="Hyperlink"/>
            <w:rFonts w:ascii="FrankRuehl" w:hAnsi="FrankRuehl" w:cs="FrankRuehl"/>
            <w:sz w:val="24"/>
            <w:rtl/>
          </w:rPr>
          <w:t>א</w:t>
        </w:r>
        <w:r w:rsidRPr="00D32D08">
          <w:rPr>
            <w:rStyle w:val="Hyperlink"/>
            <w:rFonts w:ascii="FrankRuehl" w:hAnsi="FrankRuehl" w:cs="FrankRuehl"/>
            <w:sz w:val="24"/>
          </w:rPr>
          <w:t>)</w:t>
        </w:r>
      </w:hyperlink>
    </w:p>
    <w:p w14:paraId="4996F626" w14:textId="77777777" w:rsidR="00D32D08" w:rsidRPr="00D32D08" w:rsidRDefault="00D32D08" w:rsidP="00D32D08">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p>
    <w:p w14:paraId="3F6DFEB3" w14:textId="77777777" w:rsidR="00D32D08" w:rsidRPr="00D32D08" w:rsidRDefault="00D32D08">
      <w:pPr>
        <w:pBdr>
          <w:top w:val="single" w:sz="4" w:space="0" w:color="auto"/>
          <w:left w:val="single" w:sz="4" w:space="0" w:color="auto"/>
          <w:bottom w:val="single" w:sz="4" w:space="0" w:color="auto"/>
          <w:right w:val="single" w:sz="4" w:space="0" w:color="auto"/>
        </w:pBdr>
        <w:spacing w:after="120" w:line="240" w:lineRule="exact"/>
        <w:ind w:left="283" w:hanging="283"/>
        <w:rPr>
          <w:rFonts w:hAnsi="FrankRuehl" w:cs="FrankRuehl"/>
          <w:sz w:val="24"/>
          <w:rtl/>
        </w:rPr>
      </w:pPr>
      <w:bookmarkStart w:id="7" w:name="LawTable_End"/>
      <w:bookmarkEnd w:id="7"/>
    </w:p>
    <w:p w14:paraId="79D0EC45" w14:textId="77777777" w:rsidR="00D32D08" w:rsidRPr="00D32D08" w:rsidRDefault="00D32D08">
      <w:pPr>
        <w:pBdr>
          <w:top w:val="single" w:sz="4" w:space="0" w:color="auto"/>
          <w:left w:val="single" w:sz="4" w:space="0" w:color="auto"/>
          <w:bottom w:val="single" w:sz="4" w:space="0" w:color="auto"/>
          <w:right w:val="single" w:sz="4" w:space="0" w:color="auto"/>
        </w:pBdr>
        <w:spacing w:after="120" w:line="240" w:lineRule="exact"/>
        <w:ind w:left="283" w:hanging="283"/>
        <w:rPr>
          <w:rFonts w:hAnsi="FrankRuehl" w:cs="FrankRuehl"/>
          <w:sz w:val="24"/>
          <w:rtl/>
        </w:rPr>
      </w:pPr>
    </w:p>
    <w:p w14:paraId="5F050BB3" w14:textId="77777777" w:rsidR="0083350C" w:rsidRPr="0083350C" w:rsidRDefault="00A000EA">
      <w:pPr>
        <w:pBdr>
          <w:top w:val="single" w:sz="4" w:space="0" w:color="auto"/>
          <w:left w:val="single" w:sz="4" w:space="0" w:color="auto"/>
          <w:bottom w:val="single" w:sz="4" w:space="0" w:color="auto"/>
          <w:right w:val="single" w:sz="4" w:space="0" w:color="auto"/>
        </w:pBdr>
        <w:spacing w:after="120" w:line="240" w:lineRule="exact"/>
        <w:ind w:left="283" w:hanging="283"/>
        <w:rPr>
          <w:rFonts w:hAnsi="FrankRuehl" w:cs="FrankRuehl"/>
          <w:sz w:val="24"/>
          <w:rtl/>
        </w:rPr>
      </w:pPr>
      <w:r w:rsidRPr="00D32D08">
        <w:rPr>
          <w:rFonts w:hAnsi="FrankRuehl" w:cs="FrankRuehl"/>
          <w:sz w:val="24"/>
          <w:rtl/>
        </w:rPr>
        <w:t xml:space="preserve"> </w:t>
      </w:r>
    </w:p>
    <w:p w14:paraId="5F9EBCF3" w14:textId="77777777" w:rsidR="0083350C" w:rsidRPr="0083350C" w:rsidRDefault="0083350C">
      <w:pPr>
        <w:pBdr>
          <w:top w:val="single" w:sz="4" w:space="0" w:color="auto"/>
          <w:left w:val="single" w:sz="4" w:space="0" w:color="auto"/>
          <w:bottom w:val="single" w:sz="4" w:space="0" w:color="auto"/>
          <w:right w:val="single" w:sz="4" w:space="0" w:color="auto"/>
        </w:pBdr>
        <w:spacing w:after="120" w:line="240" w:lineRule="exact"/>
        <w:ind w:left="283" w:hanging="283"/>
        <w:rPr>
          <w:rFonts w:hAnsi="FrankRuehl" w:cs="FrankRuehl"/>
          <w:sz w:val="24"/>
          <w:rtl/>
        </w:rPr>
      </w:pPr>
    </w:p>
    <w:p w14:paraId="67C397D5" w14:textId="77777777" w:rsidR="00A000EA" w:rsidRPr="0083350C" w:rsidRDefault="00A000EA">
      <w:pPr>
        <w:pBdr>
          <w:top w:val="single" w:sz="4" w:space="0" w:color="auto"/>
          <w:left w:val="single" w:sz="4" w:space="0" w:color="auto"/>
          <w:bottom w:val="single" w:sz="4" w:space="0" w:color="auto"/>
          <w:right w:val="single" w:sz="4" w:space="0" w:color="auto"/>
        </w:pBdr>
        <w:spacing w:after="120" w:line="240" w:lineRule="exact"/>
        <w:ind w:left="283" w:hanging="283"/>
        <w:rPr>
          <w:rFonts w:hAnsi="FrankRuehl" w:cs="FrankRuehl"/>
          <w:sz w:val="24"/>
          <w:rtl/>
        </w:rPr>
      </w:pPr>
    </w:p>
    <w:p w14:paraId="55A4B340" w14:textId="77777777" w:rsidR="0083350C" w:rsidRPr="0083350C" w:rsidRDefault="0083350C">
      <w:pPr>
        <w:spacing w:line="240" w:lineRule="auto"/>
        <w:rPr>
          <w:rtl/>
        </w:rPr>
      </w:pPr>
    </w:p>
    <w:p w14:paraId="2A7D752B" w14:textId="77777777" w:rsidR="0083350C" w:rsidRPr="0083350C" w:rsidRDefault="0083350C">
      <w:pPr>
        <w:spacing w:line="240" w:lineRule="auto"/>
        <w:rPr>
          <w:rtl/>
        </w:rPr>
      </w:pPr>
    </w:p>
    <w:p w14:paraId="2A04C113" w14:textId="77777777" w:rsidR="00A000EA" w:rsidRPr="0083350C" w:rsidRDefault="00A000EA">
      <w:pPr>
        <w:spacing w:line="240" w:lineRule="auto"/>
        <w:rPr>
          <w:rtl/>
        </w:rPr>
      </w:pPr>
    </w:p>
    <w:p w14:paraId="136FB033" w14:textId="77777777" w:rsidR="003B1A02" w:rsidRPr="003B1A02" w:rsidRDefault="003B1A02">
      <w:pPr>
        <w:spacing w:line="240" w:lineRule="auto"/>
        <w:rPr>
          <w:rtl/>
        </w:rPr>
      </w:pPr>
    </w:p>
    <w:p w14:paraId="3EC75424" w14:textId="77777777" w:rsidR="003B1A02" w:rsidRPr="003B1A02" w:rsidRDefault="003B1A02">
      <w:pPr>
        <w:spacing w:line="240" w:lineRule="auto"/>
        <w:rPr>
          <w:b/>
          <w:bCs/>
          <w:rtl/>
        </w:rPr>
      </w:pPr>
    </w:p>
    <w:p w14:paraId="7FF3CB15" w14:textId="77777777" w:rsidR="00A000EA" w:rsidRPr="003B1A02" w:rsidRDefault="00A000EA">
      <w:pPr>
        <w:spacing w:line="240" w:lineRule="auto"/>
        <w:rPr>
          <w:b/>
          <w:bCs/>
          <w:rtl/>
        </w:rPr>
      </w:pPr>
    </w:p>
    <w:p w14:paraId="46C2D4F2" w14:textId="77777777" w:rsidR="00A000EA" w:rsidRDefault="00A000EA">
      <w:pPr>
        <w:pStyle w:val="Subtitle"/>
        <w:jc w:val="center"/>
        <w:rPr>
          <w:rFonts w:eastAsia="Times New Roman"/>
          <w:sz w:val="32"/>
          <w:szCs w:val="32"/>
          <w:u w:val="single"/>
          <w:rtl/>
        </w:rPr>
      </w:pPr>
      <w:bookmarkStart w:id="8" w:name="סוג_מסמך"/>
      <w:bookmarkStart w:id="9" w:name="PsakDin"/>
      <w:bookmarkEnd w:id="0"/>
      <w:bookmarkEnd w:id="8"/>
      <w:r>
        <w:rPr>
          <w:rFonts w:eastAsia="Times New Roman"/>
          <w:sz w:val="32"/>
          <w:szCs w:val="32"/>
          <w:u w:val="single"/>
          <w:rtl/>
        </w:rPr>
        <w:t>הכרעת דין</w:t>
      </w:r>
    </w:p>
    <w:bookmarkEnd w:id="9"/>
    <w:p w14:paraId="3B702C8B" w14:textId="77777777" w:rsidR="00A000EA" w:rsidRDefault="00A000EA">
      <w:pPr>
        <w:pStyle w:val="Subtitle"/>
        <w:numPr>
          <w:ilvl w:val="0"/>
          <w:numId w:val="6"/>
        </w:numPr>
        <w:ind w:right="0"/>
        <w:rPr>
          <w:rFonts w:hint="cs"/>
          <w:u w:val="single"/>
          <w:rtl/>
        </w:rPr>
      </w:pPr>
      <w:r>
        <w:rPr>
          <w:rFonts w:hint="cs"/>
          <w:u w:val="single"/>
          <w:rtl/>
        </w:rPr>
        <w:t>כללי</w:t>
      </w:r>
    </w:p>
    <w:p w14:paraId="5969A829" w14:textId="77777777" w:rsidR="00A000EA" w:rsidRDefault="00A000EA">
      <w:pPr>
        <w:rPr>
          <w:rFonts w:hint="cs"/>
          <w:rtl/>
        </w:rPr>
      </w:pPr>
      <w:bookmarkStart w:id="10" w:name="ABSTRACT_START"/>
      <w:bookmarkEnd w:id="10"/>
      <w:r>
        <w:rPr>
          <w:rFonts w:hint="cs"/>
          <w:rtl/>
        </w:rPr>
        <w:t xml:space="preserve">כתב האישום מייחס לנאשם כי ביצע מעשה מגונה בפומבי, עבירה לפי </w:t>
      </w:r>
      <w:hyperlink r:id="rId10" w:history="1">
        <w:r w:rsidR="0083350C" w:rsidRPr="0083350C">
          <w:rPr>
            <w:rStyle w:val="Hyperlink"/>
            <w:rFonts w:hint="eastAsia"/>
            <w:rtl/>
          </w:rPr>
          <w:t>סעיף</w:t>
        </w:r>
        <w:r w:rsidR="0083350C" w:rsidRPr="0083350C">
          <w:rPr>
            <w:rStyle w:val="Hyperlink"/>
            <w:rtl/>
          </w:rPr>
          <w:t xml:space="preserve"> 349(א)</w:t>
        </w:r>
      </w:hyperlink>
      <w:r>
        <w:rPr>
          <w:rFonts w:hint="cs"/>
          <w:rtl/>
        </w:rPr>
        <w:t xml:space="preserve"> ל</w:t>
      </w:r>
      <w:r w:rsidR="003B1A02" w:rsidRPr="0083350C">
        <w:rPr>
          <w:rFonts w:hint="eastAsia"/>
          <w:b/>
          <w:bCs/>
          <w:rtl/>
        </w:rPr>
        <w:t>חוק</w:t>
      </w:r>
      <w:r w:rsidR="003B1A02" w:rsidRPr="0083350C">
        <w:rPr>
          <w:b/>
          <w:bCs/>
          <w:rtl/>
        </w:rPr>
        <w:t xml:space="preserve"> העונשין</w:t>
      </w:r>
      <w:r>
        <w:rPr>
          <w:rFonts w:hint="cs"/>
          <w:b/>
          <w:bCs/>
          <w:rtl/>
        </w:rPr>
        <w:t>, תשל"ז-1977</w:t>
      </w:r>
      <w:r>
        <w:rPr>
          <w:rFonts w:hint="cs"/>
          <w:rtl/>
        </w:rPr>
        <w:t>. נסיבות העבירה כפי שתוארו, הן כי הנאשם הוריד מכנסיו ותחתוניו, חשף את איבר מינו בפני המתלוננת, ואמר לה: "עכשיו אני אזיין אותך בתחת".</w:t>
      </w:r>
      <w:bookmarkStart w:id="11" w:name="ABSTRACT_END"/>
      <w:bookmarkEnd w:id="11"/>
    </w:p>
    <w:p w14:paraId="45651AAA" w14:textId="77777777" w:rsidR="00A000EA" w:rsidRDefault="00A000EA">
      <w:pPr>
        <w:rPr>
          <w:rFonts w:hint="cs"/>
          <w:rtl/>
        </w:rPr>
      </w:pPr>
    </w:p>
    <w:p w14:paraId="52BCC991" w14:textId="77777777" w:rsidR="00A000EA" w:rsidRDefault="00A000EA">
      <w:pPr>
        <w:pStyle w:val="Heading1"/>
        <w:numPr>
          <w:ilvl w:val="0"/>
          <w:numId w:val="6"/>
        </w:numPr>
        <w:ind w:right="0"/>
        <w:jc w:val="both"/>
        <w:rPr>
          <w:rFonts w:hint="cs"/>
          <w:sz w:val="28"/>
          <w:szCs w:val="28"/>
          <w:rtl/>
        </w:rPr>
      </w:pPr>
      <w:r>
        <w:rPr>
          <w:rFonts w:hint="cs"/>
          <w:sz w:val="28"/>
          <w:szCs w:val="28"/>
          <w:rtl/>
        </w:rPr>
        <w:t>ראיות הצדדים</w:t>
      </w:r>
    </w:p>
    <w:p w14:paraId="2F8DA967" w14:textId="77777777" w:rsidR="00A000EA" w:rsidRDefault="00A000EA">
      <w:pPr>
        <w:rPr>
          <w:rFonts w:hint="cs"/>
          <w:color w:val="FFFFFF"/>
          <w:sz w:val="4"/>
          <w:szCs w:val="4"/>
          <w:rtl/>
        </w:rPr>
      </w:pPr>
    </w:p>
    <w:p w14:paraId="68A89335" w14:textId="77777777" w:rsidR="00A000EA" w:rsidRDefault="00A000EA">
      <w:pPr>
        <w:rPr>
          <w:rFonts w:hint="cs"/>
          <w:rtl/>
        </w:rPr>
      </w:pPr>
      <w:r>
        <w:rPr>
          <w:color w:val="FFFFFF"/>
          <w:sz w:val="4"/>
          <w:szCs w:val="4"/>
          <w:rtl/>
        </w:rPr>
        <w:t>5129371</w:t>
      </w:r>
      <w:r>
        <w:rPr>
          <w:rFonts w:hint="cs"/>
          <w:rtl/>
        </w:rPr>
        <w:t xml:space="preserve">שלושה עדים נשמעו בתיק זה: המתלוננת מטעם המאשימה והנאשם ומר ברוך – ע"ה 2 מטעם ההגנה. כן הוגשו אמרות הצדדים ודו"ח עיכוב של הנאשם. </w:t>
      </w:r>
    </w:p>
    <w:p w14:paraId="26243A56" w14:textId="77777777" w:rsidR="00A000EA" w:rsidRDefault="00A000EA">
      <w:pPr>
        <w:rPr>
          <w:rFonts w:hint="cs"/>
          <w:rtl/>
        </w:rPr>
      </w:pPr>
    </w:p>
    <w:p w14:paraId="56DEC62A" w14:textId="77777777" w:rsidR="00A000EA" w:rsidRDefault="00A000EA">
      <w:pPr>
        <w:pStyle w:val="Heading2"/>
        <w:jc w:val="both"/>
        <w:rPr>
          <w:rFonts w:hint="cs"/>
          <w:rtl/>
        </w:rPr>
      </w:pPr>
      <w:r>
        <w:rPr>
          <w:rFonts w:hint="cs"/>
          <w:u w:val="none"/>
          <w:rtl/>
        </w:rPr>
        <w:lastRenderedPageBreak/>
        <w:t>1</w:t>
      </w:r>
      <w:r>
        <w:rPr>
          <w:rFonts w:hint="cs"/>
          <w:sz w:val="26"/>
          <w:szCs w:val="26"/>
          <w:u w:val="none"/>
          <w:rtl/>
        </w:rPr>
        <w:t xml:space="preserve">. </w:t>
      </w:r>
      <w:r>
        <w:rPr>
          <w:rFonts w:hint="cs"/>
          <w:sz w:val="26"/>
          <w:szCs w:val="26"/>
          <w:rtl/>
        </w:rPr>
        <w:t>עדות המתלוננת</w:t>
      </w:r>
    </w:p>
    <w:p w14:paraId="3B6519B1" w14:textId="77777777" w:rsidR="00A000EA" w:rsidRDefault="00A000EA">
      <w:pPr>
        <w:rPr>
          <w:rFonts w:hint="cs"/>
          <w:rtl/>
        </w:rPr>
      </w:pPr>
      <w:r>
        <w:rPr>
          <w:rFonts w:hint="cs"/>
          <w:rtl/>
        </w:rPr>
        <w:t>המתלוננת סיפרה, כי לאחר ויכוח עם אמו של הנאשם, סביב רעש שבקע מדירת משפחת הנאשם שבעקבותיו הפעילה אף היא מוזיקה בקולי קולות, ירד זה מביתו, צעק עליה ואמר לה כי היא לא יכולה לעשות לאמו דבר, הפשיל מכנסיו וחשף את איבר מינו ואמר את שאמר. כן, אמרה כי אחיו של המתלונן סטר לה פעמיים בפניה. או אז, הזמינה היא ניידת משטרה והגישה את התלונה נשוא תיק זה.</w:t>
      </w:r>
      <w:r>
        <w:rPr>
          <w:color w:val="FFFFFF"/>
          <w:sz w:val="4"/>
          <w:szCs w:val="4"/>
          <w:rtl/>
        </w:rPr>
        <w:t>נ</w:t>
      </w:r>
    </w:p>
    <w:p w14:paraId="30976C60" w14:textId="77777777" w:rsidR="00A000EA" w:rsidRDefault="00A000EA">
      <w:pPr>
        <w:rPr>
          <w:rFonts w:hint="cs"/>
          <w:rtl/>
        </w:rPr>
      </w:pPr>
    </w:p>
    <w:p w14:paraId="3C2566E2" w14:textId="77777777" w:rsidR="00A000EA" w:rsidRDefault="00A000EA">
      <w:pPr>
        <w:pStyle w:val="BodyText"/>
        <w:rPr>
          <w:rFonts w:hint="cs"/>
          <w:rtl/>
        </w:rPr>
      </w:pPr>
      <w:r>
        <w:rPr>
          <w:rFonts w:hint="cs"/>
          <w:rtl/>
        </w:rPr>
        <w:t>בהודעתה שנגבתה, כך נראה, כחצי שעה לאחר הויכוח המדובר, נאמרו דברים זהים לאלה שעלו במסגרת עדותה (שורות 10-15 לנ/1).</w:t>
      </w:r>
      <w:r>
        <w:rPr>
          <w:color w:val="FFFFFF"/>
          <w:sz w:val="4"/>
          <w:szCs w:val="4"/>
          <w:rtl/>
        </w:rPr>
        <w:t>ב</w:t>
      </w:r>
    </w:p>
    <w:p w14:paraId="01E8B4F0" w14:textId="77777777" w:rsidR="00A000EA" w:rsidRDefault="00A000EA">
      <w:pPr>
        <w:rPr>
          <w:rFonts w:hint="cs"/>
          <w:rtl/>
        </w:rPr>
      </w:pPr>
    </w:p>
    <w:p w14:paraId="5771FD94" w14:textId="77777777" w:rsidR="00A000EA" w:rsidRDefault="00A000EA">
      <w:pPr>
        <w:rPr>
          <w:rFonts w:hint="cs"/>
          <w:rtl/>
        </w:rPr>
      </w:pPr>
      <w:r>
        <w:rPr>
          <w:rFonts w:hint="cs"/>
          <w:rtl/>
        </w:rPr>
        <w:t>עוד הוסיפה בעדותה, כי כל מי שהיה שם, כולל מר ברוך (ע"ה/2), יוכל לאשר כי זה מה שהיה, למרות שכולם נגדה. מאז אותו יום מציקים לה, מלגלגים לה ומזכירים לה את אותו ארוע  (עמוד 4, שורות 13-15 לפרוטוקול).</w:t>
      </w:r>
      <w:r>
        <w:rPr>
          <w:color w:val="FFFFFF"/>
          <w:sz w:val="4"/>
          <w:szCs w:val="4"/>
          <w:rtl/>
        </w:rPr>
        <w:t>ו</w:t>
      </w:r>
    </w:p>
    <w:p w14:paraId="4B19FEEB" w14:textId="77777777" w:rsidR="00A000EA" w:rsidRDefault="00A000EA">
      <w:pPr>
        <w:rPr>
          <w:rFonts w:hint="cs"/>
          <w:rtl/>
        </w:rPr>
      </w:pPr>
    </w:p>
    <w:p w14:paraId="3F555A48" w14:textId="77777777" w:rsidR="00A000EA" w:rsidRDefault="00A000EA">
      <w:pPr>
        <w:pStyle w:val="Heading2"/>
        <w:jc w:val="both"/>
        <w:rPr>
          <w:rFonts w:hint="cs"/>
          <w:b w:val="0"/>
          <w:bCs w:val="0"/>
          <w:szCs w:val="24"/>
          <w:u w:val="none"/>
          <w:rtl/>
        </w:rPr>
      </w:pPr>
      <w:r>
        <w:rPr>
          <w:rFonts w:hint="cs"/>
          <w:b w:val="0"/>
          <w:bCs w:val="0"/>
          <w:szCs w:val="24"/>
          <w:u w:val="none"/>
          <w:rtl/>
        </w:rPr>
        <w:t>בחקירתה הנגדית ציינה המתלוננת, כי היא זו שהזמינה את המשטרה ולא מר ברוך. עוד שללה שהיא זו שערכה מסיבה אצלה, וכי לא היה אותו רגע אף אחד, כולל אדם בשם דוד ביטון. כן, התכחשה לכך שאמרה במשטרה כי הנאשם אמר - "שיזיין אותה בתחת".</w:t>
      </w:r>
      <w:r>
        <w:rPr>
          <w:b w:val="0"/>
          <w:bCs w:val="0"/>
          <w:color w:val="FFFFFF"/>
          <w:sz w:val="4"/>
          <w:szCs w:val="4"/>
          <w:u w:val="none"/>
          <w:rtl/>
        </w:rPr>
        <w:t>נ</w:t>
      </w:r>
    </w:p>
    <w:p w14:paraId="48755EFD" w14:textId="77777777" w:rsidR="00A000EA" w:rsidRDefault="00A000EA">
      <w:pPr>
        <w:rPr>
          <w:rFonts w:hint="cs"/>
          <w:rtl/>
        </w:rPr>
      </w:pPr>
    </w:p>
    <w:p w14:paraId="59C9D9CA" w14:textId="77777777" w:rsidR="00A000EA" w:rsidRDefault="00A000EA">
      <w:pPr>
        <w:pStyle w:val="Heading2"/>
        <w:jc w:val="both"/>
        <w:rPr>
          <w:rFonts w:hint="cs"/>
          <w:rtl/>
        </w:rPr>
      </w:pPr>
      <w:r>
        <w:rPr>
          <w:rFonts w:hint="cs"/>
          <w:u w:val="none"/>
          <w:rtl/>
        </w:rPr>
        <w:t>2.</w:t>
      </w:r>
      <w:r>
        <w:rPr>
          <w:rFonts w:hint="cs"/>
          <w:rtl/>
        </w:rPr>
        <w:t xml:space="preserve"> אמרת הנאשם וחקירתו הנגדית</w:t>
      </w:r>
    </w:p>
    <w:p w14:paraId="2FB4F7F8" w14:textId="77777777" w:rsidR="00A000EA" w:rsidRDefault="00A000EA">
      <w:pPr>
        <w:rPr>
          <w:rFonts w:hint="cs"/>
          <w:rtl/>
        </w:rPr>
      </w:pPr>
      <w:r>
        <w:rPr>
          <w:rFonts w:hint="cs"/>
          <w:rtl/>
        </w:rPr>
        <w:t xml:space="preserve">הנאשם ציין כי גרסתו כפי שהובאה בעדותו לא זהה להודעתו, מכיוון שלא נשאל לכלל פרטי האירוע. כמו כן אמר כי על אף שראה את כל המשפחה שלו מתווכחת עם הנאשמת, לא התערב, בשל הוראת אמו כי יעלה לבית חזרה. עניין זה לא נזכר בת/1. </w:t>
      </w:r>
    </w:p>
    <w:p w14:paraId="4C99B9EA" w14:textId="77777777" w:rsidR="00A000EA" w:rsidRDefault="00A000EA">
      <w:pPr>
        <w:rPr>
          <w:rFonts w:hint="cs"/>
          <w:rtl/>
        </w:rPr>
      </w:pPr>
    </w:p>
    <w:p w14:paraId="407E1129" w14:textId="77777777" w:rsidR="00A000EA" w:rsidRDefault="00A000EA">
      <w:pPr>
        <w:rPr>
          <w:rFonts w:hint="cs"/>
          <w:rtl/>
        </w:rPr>
      </w:pPr>
      <w:r>
        <w:rPr>
          <w:rFonts w:hint="cs"/>
          <w:rtl/>
        </w:rPr>
        <w:t xml:space="preserve">בהודעתו (ת/1), אישר כי המתלוננת ואמו התווכחו, ואולם הכחיש כי ביצע את אשר יוחס לו, מאחר: </w:t>
      </w:r>
    </w:p>
    <w:p w14:paraId="3F6532DA" w14:textId="77777777" w:rsidR="00A000EA" w:rsidRDefault="00A000EA">
      <w:pPr>
        <w:rPr>
          <w:rFonts w:hint="cs"/>
          <w:b/>
          <w:bCs/>
          <w:rtl/>
        </w:rPr>
      </w:pPr>
    </w:p>
    <w:p w14:paraId="285CB0AF" w14:textId="77777777" w:rsidR="00A000EA" w:rsidRDefault="00A000EA">
      <w:pPr>
        <w:ind w:left="720" w:right="540"/>
        <w:rPr>
          <w:rFonts w:hint="cs"/>
          <w:b/>
          <w:bCs/>
          <w:rtl/>
        </w:rPr>
      </w:pPr>
      <w:r>
        <w:rPr>
          <w:rFonts w:hint="cs"/>
          <w:b/>
          <w:bCs/>
          <w:rtl/>
        </w:rPr>
        <w:t>"גם בגלל שההורים שלי היו למטה. אני לא הייתי עושה דבר כזה כי אני נותן כבוד להורים שלי וזהו.</w:t>
      </w:r>
      <w:r>
        <w:rPr>
          <w:b/>
          <w:bCs/>
          <w:color w:val="FFFFFF"/>
          <w:sz w:val="4"/>
          <w:szCs w:val="4"/>
          <w:rtl/>
        </w:rPr>
        <w:t>ב</w:t>
      </w:r>
    </w:p>
    <w:p w14:paraId="06F2FB1A" w14:textId="77777777" w:rsidR="00A000EA" w:rsidRDefault="00A000EA">
      <w:pPr>
        <w:ind w:left="720" w:right="540"/>
        <w:rPr>
          <w:rFonts w:hint="cs"/>
          <w:b/>
          <w:bCs/>
          <w:rtl/>
        </w:rPr>
      </w:pPr>
      <w:r>
        <w:rPr>
          <w:rFonts w:hint="cs"/>
          <w:b/>
          <w:bCs/>
          <w:rtl/>
        </w:rPr>
        <w:t>...</w:t>
      </w:r>
      <w:r>
        <w:rPr>
          <w:b/>
          <w:bCs/>
          <w:color w:val="FFFFFF"/>
          <w:sz w:val="4"/>
          <w:szCs w:val="4"/>
          <w:rtl/>
        </w:rPr>
        <w:t>ו</w:t>
      </w:r>
    </w:p>
    <w:p w14:paraId="3297B989" w14:textId="77777777" w:rsidR="00A000EA" w:rsidRDefault="00A000EA">
      <w:pPr>
        <w:ind w:left="720" w:right="540"/>
        <w:rPr>
          <w:rFonts w:hint="cs"/>
          <w:b/>
          <w:bCs/>
          <w:rtl/>
        </w:rPr>
      </w:pPr>
      <w:r>
        <w:rPr>
          <w:rFonts w:hint="cs"/>
          <w:b/>
          <w:bCs/>
          <w:rtl/>
        </w:rPr>
        <w:t>אני ראיתי ושמעתי את הצעקות שלהם ועליתי למעלה לא התערבתי בכלל אם זה היה גבר אולי הייתי מתערב אבל זאת בחורה ואין לי מה להתערב..."</w:t>
      </w:r>
    </w:p>
    <w:p w14:paraId="01B5933E" w14:textId="77777777" w:rsidR="00A000EA" w:rsidRDefault="00A000EA">
      <w:pPr>
        <w:ind w:left="720" w:right="540"/>
        <w:rPr>
          <w:rFonts w:hint="cs"/>
          <w:rtl/>
        </w:rPr>
      </w:pPr>
      <w:r>
        <w:rPr>
          <w:rFonts w:hint="cs"/>
          <w:rtl/>
        </w:rPr>
        <w:t>(שורות 18-20 ו-23-25 לת/1)</w:t>
      </w:r>
    </w:p>
    <w:p w14:paraId="2DDE562A" w14:textId="77777777" w:rsidR="00A000EA" w:rsidRDefault="00A000EA">
      <w:pPr>
        <w:rPr>
          <w:rFonts w:hint="cs"/>
          <w:rtl/>
        </w:rPr>
      </w:pPr>
    </w:p>
    <w:p w14:paraId="459C5C48" w14:textId="77777777" w:rsidR="00A000EA" w:rsidRDefault="00A000EA">
      <w:pPr>
        <w:rPr>
          <w:rFonts w:hint="cs"/>
          <w:rtl/>
        </w:rPr>
      </w:pPr>
      <w:r>
        <w:rPr>
          <w:rFonts w:hint="cs"/>
          <w:rtl/>
        </w:rPr>
        <w:t xml:space="preserve">הנאשם אמר בעדותו כי באותו יום המתלוננת ערכה מסיבה בביתה. עניין זה הפריע לאחיו לישון ואמו ירדה לדבר עם המתלוננת. ברגע שירד, אמו שלחה אותו לבית בחזרה כי זה עניין של נשים. </w:t>
      </w:r>
      <w:r>
        <w:rPr>
          <w:rFonts w:hint="cs"/>
          <w:rtl/>
        </w:rPr>
        <w:lastRenderedPageBreak/>
        <w:t>הנאשם חזר ואמר כי לא הוציא את איבר מינו בשום שלב. באשר ליחסיו כלפי המתלוננת, אמר כי היא עושה הרבה בעיות בשכונה, ולכן רצה שהיא תעבור דירה –</w:t>
      </w:r>
    </w:p>
    <w:p w14:paraId="1A8D0A87" w14:textId="77777777" w:rsidR="00A000EA" w:rsidRDefault="00A000EA">
      <w:pPr>
        <w:pStyle w:val="Heading2"/>
        <w:ind w:left="720" w:right="540"/>
        <w:rPr>
          <w:rFonts w:hint="cs"/>
          <w:b w:val="0"/>
          <w:bCs w:val="0"/>
          <w:rtl/>
        </w:rPr>
      </w:pPr>
    </w:p>
    <w:p w14:paraId="2FD9A4C0" w14:textId="77777777" w:rsidR="00A000EA" w:rsidRDefault="00A000EA">
      <w:pPr>
        <w:pStyle w:val="Heading2"/>
        <w:ind w:left="720" w:right="540"/>
        <w:jc w:val="both"/>
        <w:rPr>
          <w:rFonts w:hint="cs"/>
          <w:szCs w:val="24"/>
          <w:u w:val="none"/>
          <w:rtl/>
        </w:rPr>
      </w:pPr>
      <w:r>
        <w:rPr>
          <w:rFonts w:hint="cs"/>
          <w:szCs w:val="24"/>
          <w:u w:val="none"/>
          <w:rtl/>
        </w:rPr>
        <w:t>"ת. ...מבחינה זו שיש לי 5 אחיות קטנות ואינן צריכות לראות משך 24 שעות שנכנסים לדירה הזו 20 גברים וכשהיא יוצאת לשטוף את החלק של המדרגות שלה היא יוצאת עם תחתונים.</w:t>
      </w:r>
      <w:r>
        <w:rPr>
          <w:color w:val="FFFFFF"/>
          <w:sz w:val="4"/>
          <w:szCs w:val="4"/>
          <w:u w:val="none"/>
          <w:rtl/>
        </w:rPr>
        <w:t>נ</w:t>
      </w:r>
    </w:p>
    <w:p w14:paraId="4B922D12" w14:textId="77777777" w:rsidR="00A000EA" w:rsidRDefault="00A000EA">
      <w:pPr>
        <w:ind w:left="720" w:right="540"/>
        <w:rPr>
          <w:rFonts w:eastAsia="MS Song" w:hint="cs"/>
          <w:b/>
          <w:bCs/>
          <w:rtl/>
        </w:rPr>
      </w:pPr>
      <w:r>
        <w:rPr>
          <w:rFonts w:eastAsia="MS Song" w:hint="cs"/>
          <w:b/>
          <w:bCs/>
          <w:rtl/>
        </w:rPr>
        <w:t>...</w:t>
      </w:r>
      <w:r>
        <w:rPr>
          <w:rFonts w:eastAsia="MS Song"/>
          <w:b/>
          <w:bCs/>
          <w:color w:val="FFFFFF"/>
          <w:sz w:val="4"/>
          <w:szCs w:val="4"/>
          <w:rtl/>
        </w:rPr>
        <w:t>ב</w:t>
      </w:r>
    </w:p>
    <w:p w14:paraId="41D7E4C7" w14:textId="77777777" w:rsidR="00A000EA" w:rsidRDefault="00A000EA">
      <w:pPr>
        <w:ind w:firstLine="720"/>
        <w:rPr>
          <w:rFonts w:hint="cs"/>
          <w:rtl/>
        </w:rPr>
      </w:pPr>
      <w:r>
        <w:rPr>
          <w:rFonts w:eastAsia="MS Song" w:hint="cs"/>
          <w:rtl/>
        </w:rPr>
        <w:t xml:space="preserve"> (עמוד 14 לפרוטוקול, שורות 10-12)</w:t>
      </w:r>
    </w:p>
    <w:p w14:paraId="12708CF3" w14:textId="77777777" w:rsidR="00A000EA" w:rsidRDefault="00A000EA">
      <w:pPr>
        <w:rPr>
          <w:rFonts w:hint="cs"/>
          <w:rtl/>
        </w:rPr>
      </w:pPr>
    </w:p>
    <w:p w14:paraId="02DBF3EA" w14:textId="77777777" w:rsidR="00A000EA" w:rsidRDefault="00A000EA">
      <w:pPr>
        <w:rPr>
          <w:rFonts w:hint="cs"/>
          <w:rtl/>
        </w:rPr>
      </w:pPr>
      <w:r>
        <w:rPr>
          <w:rFonts w:hint="cs"/>
          <w:rtl/>
        </w:rPr>
        <w:t xml:space="preserve"> בסיום חקירתו הנגדית, אמר –</w:t>
      </w:r>
    </w:p>
    <w:p w14:paraId="4B28FCDF" w14:textId="77777777" w:rsidR="00A000EA" w:rsidRDefault="00A000EA">
      <w:pPr>
        <w:ind w:left="720" w:right="540"/>
        <w:rPr>
          <w:rFonts w:hint="cs"/>
          <w:rtl/>
        </w:rPr>
      </w:pPr>
    </w:p>
    <w:p w14:paraId="7E79DEF0" w14:textId="77777777" w:rsidR="00A000EA" w:rsidRDefault="00A000EA">
      <w:pPr>
        <w:ind w:left="720" w:right="540"/>
        <w:rPr>
          <w:rFonts w:hint="cs"/>
          <w:b/>
          <w:bCs/>
          <w:rtl/>
        </w:rPr>
      </w:pPr>
      <w:r>
        <w:rPr>
          <w:rFonts w:hint="cs"/>
          <w:b/>
          <w:bCs/>
          <w:rtl/>
        </w:rPr>
        <w:t>"ת. ...אמרתי בחקירה שאפילו אם ביהמ"ש יחליט להרשיע אותי, אני ממשיך עם התיק הזה בתלונה ואני עושה מה שאני צריך לעשות. אני לא מוכן להיות מואשם בדבר כזה, שאדם חושף את איבר מינו בפני המשפחה שלו ואישה שבגיל של אמא שלו. אני בן אדם נשוי.</w:t>
      </w:r>
      <w:r>
        <w:rPr>
          <w:b/>
          <w:bCs/>
          <w:color w:val="FFFFFF"/>
          <w:sz w:val="4"/>
          <w:szCs w:val="4"/>
          <w:rtl/>
        </w:rPr>
        <w:t>ו</w:t>
      </w:r>
    </w:p>
    <w:p w14:paraId="246A8B8F" w14:textId="77777777" w:rsidR="00A000EA" w:rsidRDefault="00A000EA">
      <w:pPr>
        <w:ind w:right="540" w:firstLine="720"/>
        <w:rPr>
          <w:rFonts w:hint="cs"/>
          <w:rtl/>
        </w:rPr>
      </w:pPr>
      <w:r>
        <w:rPr>
          <w:rFonts w:hint="cs"/>
          <w:rtl/>
        </w:rPr>
        <w:t xml:space="preserve"> (עמוד 14, שורות 22-26 לפרוטוקול)</w:t>
      </w:r>
    </w:p>
    <w:p w14:paraId="2678B5DB" w14:textId="77777777" w:rsidR="00A000EA" w:rsidRDefault="00A000EA">
      <w:pPr>
        <w:rPr>
          <w:rFonts w:hint="cs"/>
          <w:rtl/>
        </w:rPr>
      </w:pPr>
    </w:p>
    <w:p w14:paraId="7FE56247" w14:textId="77777777" w:rsidR="00A000EA" w:rsidRDefault="00A000EA">
      <w:pPr>
        <w:pStyle w:val="Heading2"/>
        <w:jc w:val="both"/>
        <w:rPr>
          <w:rFonts w:hint="cs"/>
          <w:sz w:val="26"/>
          <w:szCs w:val="26"/>
          <w:rtl/>
        </w:rPr>
      </w:pPr>
      <w:r>
        <w:rPr>
          <w:rFonts w:hint="cs"/>
          <w:u w:val="none"/>
          <w:rtl/>
        </w:rPr>
        <w:t>3</w:t>
      </w:r>
      <w:r>
        <w:rPr>
          <w:rFonts w:hint="cs"/>
          <w:sz w:val="26"/>
          <w:szCs w:val="26"/>
          <w:u w:val="none"/>
          <w:rtl/>
        </w:rPr>
        <w:t xml:space="preserve">. </w:t>
      </w:r>
      <w:r>
        <w:rPr>
          <w:rFonts w:hint="cs"/>
          <w:sz w:val="26"/>
          <w:szCs w:val="26"/>
          <w:rtl/>
        </w:rPr>
        <w:t>עדותו של ע"ה/2 מר ברוך</w:t>
      </w:r>
    </w:p>
    <w:p w14:paraId="1DF84830" w14:textId="77777777" w:rsidR="00A000EA" w:rsidRDefault="00A000EA">
      <w:pPr>
        <w:rPr>
          <w:rFonts w:hint="cs"/>
          <w:rtl/>
        </w:rPr>
      </w:pPr>
    </w:p>
    <w:p w14:paraId="58F61FCB" w14:textId="77777777" w:rsidR="00A000EA" w:rsidRDefault="00A000EA">
      <w:pPr>
        <w:rPr>
          <w:rFonts w:hint="cs"/>
          <w:rtl/>
        </w:rPr>
      </w:pPr>
      <w:r>
        <w:rPr>
          <w:rFonts w:hint="cs"/>
          <w:rtl/>
        </w:rPr>
        <w:t xml:space="preserve">עד זה הובא כאמור כעד הגנה ואישר עקרונית את עדות הנאשם, בדבר מסיבה שעשתה המתלוננת (בניגוד לגרסתה), וירידתו של הנאשם מהבית. הוא העיד כי שמע רעש של מוזיקה הבוקע מדירת המתלוננת, וכי להערכתו היה המדובר במסיבת יום הולדת. הוא תיאר כי ראה אנשים יושבים ושותים בירות וודקה. המתלוננת סירבה להחליש את המוזיקה, ואמו של הנאשם ירדה לדבר איתה לענין המעשה המגונה ציין העד כי לא ראה או שמע מה היה בדיוק ליד הדלת. </w:t>
      </w:r>
    </w:p>
    <w:p w14:paraId="752E9E16" w14:textId="77777777" w:rsidR="00A000EA" w:rsidRDefault="00A000EA">
      <w:pPr>
        <w:rPr>
          <w:rFonts w:hint="cs"/>
          <w:rtl/>
        </w:rPr>
      </w:pPr>
    </w:p>
    <w:p w14:paraId="1873AF0D" w14:textId="77777777" w:rsidR="00A000EA" w:rsidRDefault="00A000EA">
      <w:pPr>
        <w:rPr>
          <w:rFonts w:hint="cs"/>
          <w:rtl/>
        </w:rPr>
      </w:pPr>
      <w:r>
        <w:rPr>
          <w:rFonts w:hint="cs"/>
          <w:rtl/>
        </w:rPr>
        <w:t>העד אף הוסיף ואמר כי המתלוננת אינה אהודה בשכונה, בעקבות אורח חייה.</w:t>
      </w:r>
      <w:r>
        <w:rPr>
          <w:color w:val="FFFFFF"/>
          <w:sz w:val="4"/>
          <w:szCs w:val="4"/>
          <w:rtl/>
        </w:rPr>
        <w:t>נ</w:t>
      </w:r>
    </w:p>
    <w:p w14:paraId="290F3F58" w14:textId="77777777" w:rsidR="00A000EA" w:rsidRDefault="00A000EA">
      <w:pPr>
        <w:rPr>
          <w:rFonts w:hint="cs"/>
          <w:rtl/>
        </w:rPr>
      </w:pPr>
    </w:p>
    <w:p w14:paraId="48FDE098" w14:textId="77777777" w:rsidR="00A000EA" w:rsidRDefault="00A000EA">
      <w:pPr>
        <w:rPr>
          <w:rFonts w:hint="cs"/>
          <w:rtl/>
        </w:rPr>
      </w:pPr>
      <w:r>
        <w:rPr>
          <w:rFonts w:hint="cs"/>
          <w:rtl/>
        </w:rPr>
        <w:t>בחקירתו הנגדית נשאל מר ברוך ביחס לתלונות שהוגשו כנגדו בעבר. העד התקשה לזכור ארועי עבר הנוגעים לו ואף ביחס לחקירה שהתנהלה כנגדו בשנת 2004 בנוגע לתקיפה, נדרשו שאלות רבות על מנת שהעד ייזכר בארוע. בתחילה אמר לא היה ולא נברא, ורק מאוחר יותר אישר כי גיסו הגיש נגדו תלונה. כמו כן, ביחס לדבריו כי המתלוננת מזניחה את בנה, אמר כי לא ידע זאת מעצמו אלא שמע מאחרים. באופן כללי, אישר העד את חוסר האהדה שלו למתלוננת, בין היתר בגלל – "</w:t>
      </w:r>
      <w:r>
        <w:rPr>
          <w:rFonts w:hint="cs"/>
          <w:b/>
          <w:bCs/>
          <w:rtl/>
        </w:rPr>
        <w:t>המראה החיצוני, הדיבור שלה, איך שהיא דיברה עם אשתי בקללות ומילים גסות."</w:t>
      </w:r>
      <w:r>
        <w:rPr>
          <w:rFonts w:hint="cs"/>
          <w:rtl/>
        </w:rPr>
        <w:t xml:space="preserve"> (עמוד 20 לפרוטוקול, שורה 23).</w:t>
      </w:r>
      <w:r>
        <w:rPr>
          <w:color w:val="FFFFFF"/>
          <w:sz w:val="4"/>
          <w:szCs w:val="4"/>
          <w:rtl/>
        </w:rPr>
        <w:t>ב</w:t>
      </w:r>
    </w:p>
    <w:p w14:paraId="4E9E07F3" w14:textId="77777777" w:rsidR="00A000EA" w:rsidRDefault="00A000EA">
      <w:pPr>
        <w:rPr>
          <w:rFonts w:hint="cs"/>
          <w:rtl/>
        </w:rPr>
      </w:pPr>
    </w:p>
    <w:p w14:paraId="1FA3E23A" w14:textId="77777777" w:rsidR="00A000EA" w:rsidRDefault="00A000EA">
      <w:pPr>
        <w:rPr>
          <w:rFonts w:hint="cs"/>
          <w:rtl/>
        </w:rPr>
      </w:pPr>
      <w:r>
        <w:rPr>
          <w:rFonts w:hint="cs"/>
          <w:rtl/>
        </w:rPr>
        <w:lastRenderedPageBreak/>
        <w:t xml:space="preserve">כאמור לעניין "לב" כתב האישום - המעשה המגונה, אמר העד כי לא ראה או שמע מה היה בדיוק ליד הדלת ועל כן ובשקלול כולל של נתוני עדותו – לא ניתן לייחס לה משקל משמעותי. </w:t>
      </w:r>
    </w:p>
    <w:p w14:paraId="6D2A8297" w14:textId="77777777" w:rsidR="00A000EA" w:rsidRDefault="00A000EA">
      <w:pPr>
        <w:rPr>
          <w:rFonts w:hint="cs"/>
          <w:rtl/>
        </w:rPr>
      </w:pPr>
    </w:p>
    <w:p w14:paraId="12E0CB8D" w14:textId="77777777" w:rsidR="00A000EA" w:rsidRDefault="00A000EA">
      <w:pPr>
        <w:pStyle w:val="Heading2"/>
        <w:numPr>
          <w:ilvl w:val="0"/>
          <w:numId w:val="6"/>
        </w:numPr>
        <w:ind w:right="0"/>
        <w:jc w:val="both"/>
        <w:rPr>
          <w:rFonts w:hint="cs"/>
          <w:sz w:val="28"/>
          <w:rtl/>
        </w:rPr>
      </w:pPr>
      <w:r>
        <w:rPr>
          <w:rFonts w:hint="cs"/>
          <w:sz w:val="28"/>
          <w:rtl/>
        </w:rPr>
        <w:t>דיון</w:t>
      </w:r>
    </w:p>
    <w:p w14:paraId="54ED9AE4" w14:textId="77777777" w:rsidR="00A000EA" w:rsidRDefault="00A000EA">
      <w:pPr>
        <w:rPr>
          <w:rFonts w:hint="cs"/>
          <w:rtl/>
        </w:rPr>
      </w:pPr>
      <w:r>
        <w:rPr>
          <w:rFonts w:hint="cs"/>
          <w:rtl/>
        </w:rPr>
        <w:t>בראשית הדברים, אציין כי  המתלוננת איננה נאשמת, וכל אורחות חייה הם עניינה הפרטי על כל ההיבטים שפורטו לעיל ובמסגרת הדיונים השונים.</w:t>
      </w:r>
      <w:r>
        <w:rPr>
          <w:color w:val="FFFFFF"/>
          <w:sz w:val="4"/>
          <w:szCs w:val="4"/>
          <w:rtl/>
        </w:rPr>
        <w:t>ו</w:t>
      </w:r>
    </w:p>
    <w:p w14:paraId="3A5BFF49" w14:textId="77777777" w:rsidR="00A000EA" w:rsidRDefault="00A000EA">
      <w:pPr>
        <w:rPr>
          <w:rFonts w:hint="cs"/>
          <w:rtl/>
        </w:rPr>
      </w:pPr>
    </w:p>
    <w:p w14:paraId="765D60EB" w14:textId="77777777" w:rsidR="00A000EA" w:rsidRDefault="00A000EA">
      <w:pPr>
        <w:rPr>
          <w:rFonts w:hint="cs"/>
          <w:rtl/>
        </w:rPr>
      </w:pPr>
      <w:r>
        <w:rPr>
          <w:rFonts w:hint="cs"/>
          <w:rtl/>
        </w:rPr>
        <w:t>תמים דעים אני עם הסניגור, כי עניין לנו ב"גרסה מול גרסה". במצב דברים זה, יש לבחון מהי הגרסה המסתברת יותר, לאמור האם גרסת המתלוננת יש בה כדי להרים את נטל ההוכחה הנדרש, או שמא יש בגרסת הנאשם כדי להקים ספק סביר, שיביא לזיכויו. כללים בדבר הכרעת הדין במצב דברים מעין זה, הופיעו ב</w:t>
      </w:r>
      <w:hyperlink r:id="rId11" w:history="1">
        <w:r w:rsidR="0083350C" w:rsidRPr="0083350C">
          <w:rPr>
            <w:rStyle w:val="Hyperlink"/>
            <w:rtl/>
          </w:rPr>
          <w:t>ע"</w:t>
        </w:r>
        <w:r w:rsidR="0083350C" w:rsidRPr="0083350C">
          <w:rPr>
            <w:rStyle w:val="Hyperlink"/>
            <w:rtl/>
          </w:rPr>
          <w:t>פ</w:t>
        </w:r>
        <w:r w:rsidR="0083350C" w:rsidRPr="0083350C">
          <w:rPr>
            <w:rStyle w:val="Hyperlink"/>
            <w:rtl/>
          </w:rPr>
          <w:t xml:space="preserve"> 6251/94 סימון בן ארי נ' מדינת ישראל</w:t>
        </w:r>
      </w:hyperlink>
      <w:r w:rsidR="003B1A02" w:rsidRPr="0083350C">
        <w:rPr>
          <w:rtl/>
        </w:rPr>
        <w:t>, פ"ד מט</w:t>
      </w:r>
      <w:r>
        <w:rPr>
          <w:rFonts w:hint="cs"/>
          <w:rtl/>
        </w:rPr>
        <w:t>(3), 45, וב</w:t>
      </w:r>
      <w:hyperlink r:id="rId12" w:history="1">
        <w:r w:rsidR="0083350C" w:rsidRPr="0083350C">
          <w:rPr>
            <w:rStyle w:val="Hyperlink"/>
            <w:rtl/>
          </w:rPr>
          <w:t>ע"פ 20/51 פודמסקי נ'</w:t>
        </w:r>
        <w:r w:rsidR="0083350C" w:rsidRPr="0083350C">
          <w:rPr>
            <w:rStyle w:val="Hyperlink"/>
            <w:rtl/>
          </w:rPr>
          <w:t xml:space="preserve"> </w:t>
        </w:r>
        <w:r w:rsidR="0083350C" w:rsidRPr="0083350C">
          <w:rPr>
            <w:rStyle w:val="Hyperlink"/>
            <w:rtl/>
          </w:rPr>
          <w:t>היועץ המשפטי</w:t>
        </w:r>
      </w:hyperlink>
      <w:r w:rsidR="003B1A02" w:rsidRPr="0083350C">
        <w:rPr>
          <w:rtl/>
        </w:rPr>
        <w:t>, פ"ד ה</w:t>
      </w:r>
      <w:r>
        <w:rPr>
          <w:rFonts w:hint="cs"/>
          <w:rtl/>
        </w:rPr>
        <w:t xml:space="preserve"> 1187 ואלה עיקרם :</w:t>
      </w:r>
    </w:p>
    <w:p w14:paraId="775C098F" w14:textId="77777777" w:rsidR="00A000EA" w:rsidRDefault="00A000EA">
      <w:pPr>
        <w:rPr>
          <w:rFonts w:hint="cs"/>
          <w:rtl/>
        </w:rPr>
      </w:pPr>
    </w:p>
    <w:p w14:paraId="20E7AC43" w14:textId="77777777" w:rsidR="00A000EA" w:rsidRDefault="00A000EA">
      <w:pPr>
        <w:ind w:left="720" w:right="720"/>
        <w:rPr>
          <w:b/>
          <w:bCs/>
          <w:rtl/>
        </w:rPr>
      </w:pPr>
      <w:r>
        <w:rPr>
          <w:rFonts w:hint="cs"/>
          <w:b/>
          <w:bCs/>
          <w:rtl/>
        </w:rPr>
        <w:t>"הביאה הקטיגוריה דברי הוכחה אשר יש בהם, לכאורה, כדי להעלות את ההנחה, כי הנאשם עבר את העבירה המיוחסת אליו, עוברת לשכמו של הנאשם החובה להמשיך בהבאת דברי הוכחה מצידו הוא. בשלב זה - ואף לא בשום שלב אחר - אין עליו להוכיח את חפותו מפשע; כל מה שמוטל עליו הוא: לתת דברי הסבר להנחה אשר עלתה מתוך הוכחותיה של הקטיגוריה.</w:t>
      </w:r>
      <w:r>
        <w:rPr>
          <w:b/>
          <w:bCs/>
          <w:color w:val="FFFFFF"/>
          <w:sz w:val="4"/>
          <w:szCs w:val="4"/>
          <w:rtl/>
        </w:rPr>
        <w:t>נ</w:t>
      </w:r>
    </w:p>
    <w:p w14:paraId="72C83CCF" w14:textId="77777777" w:rsidR="00A000EA" w:rsidRDefault="00A000EA">
      <w:pPr>
        <w:ind w:right="720" w:firstLine="720"/>
        <w:rPr>
          <w:b/>
          <w:bCs/>
          <w:rtl/>
        </w:rPr>
      </w:pPr>
      <w:r>
        <w:rPr>
          <w:rFonts w:hint="cs"/>
          <w:b/>
          <w:bCs/>
          <w:rtl/>
        </w:rPr>
        <w:t>נתן הסבר המתקבל על הדעת, והשופט מקבל הסבר זה, עליו לזכותו.</w:t>
      </w:r>
      <w:r>
        <w:rPr>
          <w:b/>
          <w:bCs/>
          <w:color w:val="FFFFFF"/>
          <w:sz w:val="4"/>
          <w:szCs w:val="4"/>
          <w:rtl/>
        </w:rPr>
        <w:t>ב</w:t>
      </w:r>
    </w:p>
    <w:p w14:paraId="06D1D36E" w14:textId="77777777" w:rsidR="00A000EA" w:rsidRDefault="00A000EA">
      <w:pPr>
        <w:ind w:left="720" w:right="720"/>
        <w:rPr>
          <w:b/>
          <w:bCs/>
          <w:rtl/>
        </w:rPr>
      </w:pPr>
      <w:r>
        <w:rPr>
          <w:rFonts w:hint="cs"/>
          <w:b/>
          <w:bCs/>
          <w:rtl/>
        </w:rPr>
        <w:t>נתן הסבר המתקבל על הדעת, אך השופט אין בידו להחליט אם יקבל דברי הסבר אלה או ידחם - כלומר: אינו מוכן להכריע אם דברים אלה נכונים הם או לא - עליו לזכותו מפני הספק.</w:t>
      </w:r>
      <w:r>
        <w:rPr>
          <w:b/>
          <w:bCs/>
          <w:color w:val="FFFFFF"/>
          <w:sz w:val="4"/>
          <w:szCs w:val="4"/>
          <w:rtl/>
        </w:rPr>
        <w:t>ו</w:t>
      </w:r>
    </w:p>
    <w:p w14:paraId="3AA8CAC0" w14:textId="77777777" w:rsidR="00A000EA" w:rsidRDefault="00A000EA">
      <w:pPr>
        <w:ind w:left="720" w:right="540"/>
        <w:rPr>
          <w:rtl/>
        </w:rPr>
      </w:pPr>
      <w:r>
        <w:rPr>
          <w:rFonts w:hint="cs"/>
          <w:b/>
          <w:bCs/>
          <w:rtl/>
        </w:rPr>
        <w:t>נתן הנאשם הסבר מתקבל על הדעת, אך השופט אינו מאמין בדברי הסברו, או הסברו אינו מתקבל על הדעת, או לא נתן כל הסבר, שוקל השופט את כל המסיבות ואת כל דברי ההוכחה - בשוותו לנגד עיניו תמיד את הכלל היסודי והראשי, היינו: כי חובת ההוכחה רובצת על שכמה של הקטיגוריה עד סוף כל הסופות - ואז הוא רשאי - אך אינו מצווה - לחייב את הנאשם בדין"</w:t>
      </w:r>
    </w:p>
    <w:p w14:paraId="7876EC88" w14:textId="77777777" w:rsidR="00A000EA" w:rsidRDefault="00A000EA">
      <w:pPr>
        <w:rPr>
          <w:rFonts w:hint="cs"/>
          <w:rtl/>
        </w:rPr>
      </w:pPr>
    </w:p>
    <w:p w14:paraId="055D13DF" w14:textId="77777777" w:rsidR="00A000EA" w:rsidRDefault="00A000EA">
      <w:pPr>
        <w:rPr>
          <w:rFonts w:hint="cs"/>
          <w:rtl/>
        </w:rPr>
      </w:pPr>
      <w:r>
        <w:rPr>
          <w:rFonts w:hint="cs"/>
          <w:rtl/>
        </w:rPr>
        <w:t>עוד לעניין זה ראה ב</w:t>
      </w:r>
      <w:hyperlink r:id="rId13" w:history="1">
        <w:r w:rsidR="0083350C" w:rsidRPr="0083350C">
          <w:rPr>
            <w:rStyle w:val="Hyperlink"/>
            <w:rFonts w:hint="eastAsia"/>
            <w:rtl/>
          </w:rPr>
          <w:t>ע</w:t>
        </w:r>
        <w:r w:rsidR="0083350C" w:rsidRPr="0083350C">
          <w:rPr>
            <w:rStyle w:val="Hyperlink"/>
            <w:rtl/>
          </w:rPr>
          <w:t>"פ 993/00 אורי שלמה נ' מדינת ישראל</w:t>
        </w:r>
      </w:hyperlink>
      <w:r>
        <w:rPr>
          <w:rFonts w:hint="cs"/>
          <w:rtl/>
        </w:rPr>
        <w:t xml:space="preserve">, תק-על 2002(3), 1111, </w:t>
      </w:r>
      <w:hyperlink r:id="rId14" w:history="1">
        <w:r w:rsidR="0083350C" w:rsidRPr="0083350C">
          <w:rPr>
            <w:rStyle w:val="Hyperlink"/>
            <w:rtl/>
          </w:rPr>
          <w:t>ע"פ 524/77 רפא</w:t>
        </w:r>
        <w:r w:rsidR="0083350C" w:rsidRPr="0083350C">
          <w:rPr>
            <w:rStyle w:val="Hyperlink"/>
            <w:rtl/>
          </w:rPr>
          <w:t>ל</w:t>
        </w:r>
        <w:r w:rsidR="0083350C" w:rsidRPr="0083350C">
          <w:rPr>
            <w:rStyle w:val="Hyperlink"/>
            <w:rtl/>
          </w:rPr>
          <w:t xml:space="preserve"> מזרחי ואח' נ' מדינת ישראל</w:t>
        </w:r>
      </w:hyperlink>
      <w:r w:rsidR="003B1A02" w:rsidRPr="0083350C">
        <w:rPr>
          <w:rtl/>
        </w:rPr>
        <w:t>, פ"ד לב</w:t>
      </w:r>
      <w:r>
        <w:rPr>
          <w:rFonts w:hint="cs"/>
          <w:rtl/>
        </w:rPr>
        <w:t>(2), 682.</w:t>
      </w:r>
      <w:r>
        <w:rPr>
          <w:color w:val="FFFFFF"/>
          <w:sz w:val="4"/>
          <w:szCs w:val="4"/>
          <w:rtl/>
        </w:rPr>
        <w:t>נ</w:t>
      </w:r>
    </w:p>
    <w:p w14:paraId="5ED00C3B" w14:textId="77777777" w:rsidR="00A000EA" w:rsidRDefault="00A000EA">
      <w:pPr>
        <w:rPr>
          <w:rFonts w:hint="cs"/>
          <w:rtl/>
        </w:rPr>
      </w:pPr>
    </w:p>
    <w:p w14:paraId="6E721271" w14:textId="77777777" w:rsidR="00A000EA" w:rsidRDefault="00A000EA">
      <w:pPr>
        <w:rPr>
          <w:rFonts w:hint="cs"/>
          <w:rtl/>
        </w:rPr>
      </w:pPr>
      <w:r>
        <w:rPr>
          <w:rFonts w:hint="cs"/>
          <w:rtl/>
        </w:rPr>
        <w:t>המתלוננת, מסרה גרסה, אשר הבסיס לה הוא כי בסופו של דבר, בין באם ערכה מסיבה אם לאו, בין אם התנהגותה ביום יום תקינה לדעת שכניה אם לאו, הפשיל הנאשם מכנסיו לפניה, חשף את איבר מינו ואמר את שאמר.</w:t>
      </w:r>
      <w:r>
        <w:rPr>
          <w:color w:val="FFFFFF"/>
          <w:sz w:val="4"/>
          <w:szCs w:val="4"/>
          <w:rtl/>
        </w:rPr>
        <w:t>ב</w:t>
      </w:r>
    </w:p>
    <w:p w14:paraId="293A5F2E" w14:textId="77777777" w:rsidR="00A000EA" w:rsidRDefault="00A000EA">
      <w:pPr>
        <w:rPr>
          <w:rFonts w:hint="cs"/>
          <w:rtl/>
        </w:rPr>
      </w:pPr>
    </w:p>
    <w:p w14:paraId="3F62315E" w14:textId="77777777" w:rsidR="00A000EA" w:rsidRDefault="00A000EA">
      <w:pPr>
        <w:rPr>
          <w:rFonts w:hint="cs"/>
          <w:rtl/>
        </w:rPr>
      </w:pPr>
      <w:r>
        <w:rPr>
          <w:rFonts w:hint="cs"/>
          <w:rtl/>
        </w:rPr>
        <w:t>חקירתה הנגדית לא הסיטה אותה מגרסתה, והמחלוקת היחידה שנותרה מדבריה היא ביחס לתחילת האירוע, היינו האם ערכה המתלוננת מסיבה או שמא הרעש היה רעש תגובה לרעש שבקע מדירת אם הנאשם, וכן ביחס לסיפת דברי הנאשם.</w:t>
      </w:r>
      <w:r>
        <w:rPr>
          <w:color w:val="FFFFFF"/>
          <w:sz w:val="4"/>
          <w:szCs w:val="4"/>
          <w:rtl/>
        </w:rPr>
        <w:t>ו</w:t>
      </w:r>
    </w:p>
    <w:p w14:paraId="350CABD4" w14:textId="77777777" w:rsidR="00A000EA" w:rsidRDefault="00A000EA">
      <w:pPr>
        <w:rPr>
          <w:rFonts w:hint="cs"/>
          <w:rtl/>
        </w:rPr>
      </w:pPr>
    </w:p>
    <w:p w14:paraId="4228C533" w14:textId="77777777" w:rsidR="00A000EA" w:rsidRDefault="00A000EA">
      <w:pPr>
        <w:rPr>
          <w:rFonts w:hint="cs"/>
          <w:rtl/>
        </w:rPr>
      </w:pPr>
      <w:r>
        <w:rPr>
          <w:rFonts w:hint="cs"/>
          <w:rtl/>
        </w:rPr>
        <w:t>מנגד, גם גרסת הנאשם, לא סטתה מאשר אמר הוא במסגרת ת/1. הנאשם עמד על כך, כי על פי מצוות אמו, לא התערב בויכוח עם המתלוננת, ומיד עלה בחזרה לביתו. אמנם, הנאשם מציין כי התנהגותה של המתלוננת הרגיזה אותו, אך אין בכך כדי לעמוד לחיזוק גרסת המתלוננת.</w:t>
      </w:r>
      <w:r>
        <w:rPr>
          <w:color w:val="FFFFFF"/>
          <w:sz w:val="4"/>
          <w:szCs w:val="4"/>
          <w:rtl/>
        </w:rPr>
        <w:t>נ</w:t>
      </w:r>
    </w:p>
    <w:p w14:paraId="3121FF8F" w14:textId="77777777" w:rsidR="00A000EA" w:rsidRDefault="00A000EA">
      <w:pPr>
        <w:rPr>
          <w:rFonts w:hint="cs"/>
          <w:rtl/>
        </w:rPr>
      </w:pPr>
    </w:p>
    <w:p w14:paraId="0055D61D" w14:textId="77777777" w:rsidR="00A000EA" w:rsidRDefault="00A000EA">
      <w:pPr>
        <w:rPr>
          <w:rFonts w:hint="cs"/>
          <w:rtl/>
        </w:rPr>
      </w:pPr>
      <w:r>
        <w:rPr>
          <w:rFonts w:hint="cs"/>
          <w:rtl/>
        </w:rPr>
        <w:t>לא מצאתי את עדותו של מר ברוך, כמהימנה דיה כדי שתתמוך בעדות הנאשם או לחילופין שתגדע את בסיס עדות המתלוננת. תמוה בעיניי כיצד התקשה זה להיזכר בחקירה מתחילת 2004, ורק לאחר שאלות והכוונות רבות, הצליח לעשות כך, ומנגד זכר את כלל פרטי האירוע נשוא ענייננו, שעה שהיה צופה בו בלבד. כמו כן, ריבוי השמועות מהן ניזון – דוגמת האירוע שהיה אצל המתלוננת, ככל שהיה, כמו גם דבריו ביחס לבנה של המתלוננת, יחוס ידיעותיו השונות, תוך ביסוסן על שמועות בלבד, יש בו כדי לטעת ספק גדול באשר למהימנותו. גרסתו ביחס לסיפור המעשה והשתלשלותו, אינה אמינה בעיניי. לבסוף, אומר מר ברוך בעצמו, כי לא ראה או שמע מה היה בדיוק ליד הדלת. לכן, לא אייחס משקל כאמור ואף לא רלוונטיות לעדותו.</w:t>
      </w:r>
      <w:r>
        <w:rPr>
          <w:color w:val="FFFFFF"/>
          <w:sz w:val="4"/>
          <w:szCs w:val="4"/>
          <w:rtl/>
        </w:rPr>
        <w:t>ב</w:t>
      </w:r>
    </w:p>
    <w:p w14:paraId="7803BCBF" w14:textId="77777777" w:rsidR="00A000EA" w:rsidRDefault="00A000EA">
      <w:pPr>
        <w:rPr>
          <w:rFonts w:hint="cs"/>
          <w:rtl/>
        </w:rPr>
      </w:pPr>
    </w:p>
    <w:p w14:paraId="426CDDA7" w14:textId="77777777" w:rsidR="00A000EA" w:rsidRDefault="00A000EA">
      <w:pPr>
        <w:rPr>
          <w:rFonts w:hint="cs"/>
          <w:rtl/>
        </w:rPr>
      </w:pPr>
      <w:r>
        <w:rPr>
          <w:rFonts w:hint="cs"/>
          <w:rtl/>
        </w:rPr>
        <w:t xml:space="preserve">כפי שציינתי לעיל, ניצבים אנו במצב של גרסה מול גרסה ויש להכריע מי עדיפה בינותן. נראה לי, כי למתלוננת לא היה כל אינטרס להפליל את הנאשם דווקא, בעבירה מיוחדת כפי שבענייננו, שהרי, אין כל מחלוקת כי היה ויכוח בין המתלוננת לאמו של הנאשם. כמו כן אין מחלוקת כי הנאשם ירד מביתו לפתח ביתה של המתלוננת. אינני רואה כל סיבה למה תבחר המתלוננת לטפול אשמות דווקא על הנאשם, ולא על אמו, אשר איתה היה מרכז האירוע אותו יום. כמו כן, אינני רואה למה תבחר המתלוננת דווקא סוג אירוע כמו שמתואר לעיל ולא תקיפה או איומים, שעניננו רגיל יותר ופשוט יותר לעדות. </w:t>
      </w:r>
    </w:p>
    <w:p w14:paraId="6580380B" w14:textId="77777777" w:rsidR="00A000EA" w:rsidRDefault="00A000EA">
      <w:pPr>
        <w:rPr>
          <w:rFonts w:hint="cs"/>
          <w:rtl/>
        </w:rPr>
      </w:pPr>
    </w:p>
    <w:p w14:paraId="02F2D8D0" w14:textId="77777777" w:rsidR="00A000EA" w:rsidRDefault="00A000EA">
      <w:pPr>
        <w:rPr>
          <w:rFonts w:hint="cs"/>
          <w:rtl/>
        </w:rPr>
      </w:pPr>
      <w:r>
        <w:rPr>
          <w:rFonts w:hint="cs"/>
          <w:rtl/>
        </w:rPr>
        <w:t xml:space="preserve">יתרה מכך, לו היתה רוצה המתלוננת להפליל את הנאשם, לא היתה מתכחשת לאמירה שנרשמה במשטרה ולפיה אמר לה הנאשם ש"יזיין אותה בתחת". העובדה שנמנעה במפגיע מלאשר זאת, תורמת לדעתי, בבחינת "מיגו" לאמינותה. </w:t>
      </w:r>
    </w:p>
    <w:p w14:paraId="39745CBC" w14:textId="77777777" w:rsidR="00A000EA" w:rsidRDefault="00A000EA">
      <w:pPr>
        <w:rPr>
          <w:rFonts w:hint="cs"/>
          <w:rtl/>
        </w:rPr>
      </w:pPr>
    </w:p>
    <w:p w14:paraId="4016627B" w14:textId="77777777" w:rsidR="00A000EA" w:rsidRDefault="00A000EA">
      <w:pPr>
        <w:rPr>
          <w:rFonts w:hint="cs"/>
          <w:rtl/>
        </w:rPr>
      </w:pPr>
      <w:r>
        <w:rPr>
          <w:rFonts w:hint="cs"/>
          <w:rtl/>
        </w:rPr>
        <w:t xml:space="preserve">לכל האמור יש להוסיף את אופן מסירת עדותה, בהתרגשות ואף תוך כדי שפרצה בבכי, וניכר היה כי נסיבות הארוע טבועים בה עד מאד. </w:t>
      </w:r>
    </w:p>
    <w:p w14:paraId="35CCCC6B" w14:textId="77777777" w:rsidR="00A000EA" w:rsidRDefault="00A000EA">
      <w:pPr>
        <w:rPr>
          <w:rFonts w:hint="cs"/>
          <w:rtl/>
        </w:rPr>
      </w:pPr>
    </w:p>
    <w:p w14:paraId="0CCB0682" w14:textId="77777777" w:rsidR="00A000EA" w:rsidRDefault="00A000EA">
      <w:pPr>
        <w:rPr>
          <w:rFonts w:hint="cs"/>
          <w:rtl/>
        </w:rPr>
      </w:pPr>
      <w:r>
        <w:rPr>
          <w:rFonts w:hint="cs"/>
          <w:rtl/>
        </w:rPr>
        <w:t xml:space="preserve">מנגד, לא הובא לדעתי חיזוק די לדברי הנאשם, כזה שיקים ספק סביר ביחס לאשמתו.  בעדותו קיימות אי בהירויות כגון העובדה שרץ מיד למטה, כשהתעורר משנתו ואולם לא עשה כן בכעס, ובכלל הסבר מה היה פשר מעשיו במקום. גם גרסת העד מטעמו לפיה שהה הנאשם במקום כ 5 – 10 דקות, אינה מתיישבת עם גרסת הנאשם שירד, אמו ביקשה שיעלה ועלה מיד. </w:t>
      </w:r>
    </w:p>
    <w:p w14:paraId="63C55056" w14:textId="77777777" w:rsidR="00A000EA" w:rsidRDefault="00A000EA">
      <w:pPr>
        <w:rPr>
          <w:rFonts w:hint="cs"/>
          <w:rtl/>
        </w:rPr>
      </w:pPr>
    </w:p>
    <w:p w14:paraId="23A7EC67" w14:textId="77777777" w:rsidR="00A000EA" w:rsidRDefault="00A000EA">
      <w:pPr>
        <w:pStyle w:val="Heading2"/>
        <w:numPr>
          <w:ilvl w:val="0"/>
          <w:numId w:val="6"/>
        </w:numPr>
        <w:ind w:right="0"/>
        <w:jc w:val="both"/>
        <w:rPr>
          <w:rFonts w:hint="cs"/>
          <w:sz w:val="28"/>
          <w:rtl/>
        </w:rPr>
      </w:pPr>
      <w:r>
        <w:rPr>
          <w:rFonts w:hint="cs"/>
          <w:sz w:val="28"/>
          <w:rtl/>
        </w:rPr>
        <w:t>סוף דבר</w:t>
      </w:r>
    </w:p>
    <w:p w14:paraId="7C24FA3D" w14:textId="77777777" w:rsidR="00A000EA" w:rsidRDefault="00A000EA">
      <w:pPr>
        <w:rPr>
          <w:rFonts w:hint="cs"/>
          <w:rtl/>
        </w:rPr>
      </w:pPr>
      <w:r>
        <w:rPr>
          <w:rFonts w:hint="cs"/>
          <w:rtl/>
        </w:rPr>
        <w:t>בשקלול העדויות שנשמעו בפני, נראית בעיניי גרסת המתלוננת מהימנה יותר מגרסת הנאשם. עדותה במשטרה, נכתבה כחצי שעה לאחר האירוע, עת היו הדברים חקוקים היטב בזיכרונה ולא נראה לי כי היה די זמן בו תבדה מליבה את כלל פרטי האירוע. בנוסף, כאמור, ניכר היה בעדותה, שנסיבות האירוע טבועים בה עד מאוד ולאחר ששקלתי איפוא את מכלול הראיות, החלטתי להעדיף את גרסת המתלוננת ולהרשיע את הנאשם במיוחס לו בכתב האישום.</w:t>
      </w:r>
      <w:r>
        <w:rPr>
          <w:color w:val="FFFFFF"/>
          <w:sz w:val="4"/>
          <w:szCs w:val="4"/>
          <w:rtl/>
        </w:rPr>
        <w:t>ו</w:t>
      </w:r>
    </w:p>
    <w:p w14:paraId="31A0F9A9" w14:textId="77777777" w:rsidR="00A000EA" w:rsidRDefault="00A000EA">
      <w:pPr>
        <w:rPr>
          <w:rFonts w:hint="cs"/>
          <w:rtl/>
        </w:rPr>
      </w:pPr>
    </w:p>
    <w:p w14:paraId="079699D8" w14:textId="77777777" w:rsidR="00A000EA" w:rsidRDefault="00A000EA">
      <w:pPr>
        <w:rPr>
          <w:rFonts w:hint="cs"/>
          <w:rtl/>
        </w:rPr>
      </w:pPr>
    </w:p>
    <w:p w14:paraId="3798B7F4" w14:textId="77777777" w:rsidR="00A000EA" w:rsidRDefault="00A000EA">
      <w:pPr>
        <w:suppressLineNumbers/>
        <w:rPr>
          <w:rFonts w:hint="cs"/>
          <w:b/>
          <w:bCs/>
          <w:rtl/>
        </w:rPr>
      </w:pPr>
      <w:bookmarkStart w:id="12" w:name="Decision1"/>
      <w:r>
        <w:rPr>
          <w:rFonts w:hint="cs"/>
          <w:b/>
          <w:bCs/>
          <w:rtl/>
        </w:rPr>
        <w:t>ניתנה היום כ' בשבט, תשס"ה (30 בינואר 2005) במעמד הנאשם וב"כ הצדדים.</w:t>
      </w:r>
    </w:p>
    <w:p w14:paraId="78D5E63A" w14:textId="77777777" w:rsidR="00A000EA" w:rsidRDefault="00A000EA">
      <w:pPr>
        <w:suppressLineNumbers/>
        <w:rPr>
          <w:rFonts w:hint="cs"/>
          <w:rtl/>
        </w:rPr>
      </w:pPr>
    </w:p>
    <w:p w14:paraId="40EE3010" w14:textId="77777777" w:rsidR="00A000EA" w:rsidRDefault="00A000EA">
      <w:pPr>
        <w:suppressLineNumbers/>
        <w:rPr>
          <w:rFonts w:hint="cs"/>
          <w:rtl/>
        </w:rPr>
      </w:pPr>
      <w:r>
        <w:rPr>
          <w:rFonts w:hint="cs"/>
          <w:rtl/>
        </w:rPr>
        <w:t xml:space="preserve">                                                                               </w:t>
      </w:r>
    </w:p>
    <w:tbl>
      <w:tblPr>
        <w:tblW w:w="0" w:type="auto"/>
        <w:tblInd w:w="5869" w:type="dxa"/>
        <w:tblBorders>
          <w:top w:val="single" w:sz="4" w:space="0" w:color="auto"/>
        </w:tblBorders>
        <w:tblLook w:val="0000" w:firstRow="0" w:lastRow="0" w:firstColumn="0" w:lastColumn="0" w:noHBand="0" w:noVBand="0"/>
      </w:tblPr>
      <w:tblGrid>
        <w:gridCol w:w="2653"/>
      </w:tblGrid>
      <w:tr w:rsidR="00A000EA" w14:paraId="56FEF107" w14:textId="77777777">
        <w:tc>
          <w:tcPr>
            <w:tcW w:w="2660" w:type="dxa"/>
            <w:tcBorders>
              <w:top w:val="single" w:sz="4" w:space="0" w:color="auto"/>
              <w:left w:val="nil"/>
              <w:bottom w:val="nil"/>
              <w:right w:val="nil"/>
            </w:tcBorders>
          </w:tcPr>
          <w:p w14:paraId="0CB6AC5C" w14:textId="77777777" w:rsidR="00A000EA" w:rsidRDefault="00A000EA">
            <w:pPr>
              <w:jc w:val="center"/>
              <w:rPr>
                <w:b/>
                <w:bCs/>
                <w:sz w:val="24"/>
                <w:szCs w:val="26"/>
              </w:rPr>
            </w:pPr>
            <w:r>
              <w:rPr>
                <w:rFonts w:hint="cs"/>
                <w:b/>
                <w:bCs/>
                <w:sz w:val="24"/>
                <w:szCs w:val="26"/>
                <w:rtl/>
              </w:rPr>
              <w:t>יעקב שפסר, שופט</w:t>
            </w:r>
          </w:p>
        </w:tc>
      </w:tr>
      <w:bookmarkEnd w:id="12"/>
    </w:tbl>
    <w:p w14:paraId="0D718ECF" w14:textId="77777777" w:rsidR="00A000EA" w:rsidRDefault="00A000EA">
      <w:pPr>
        <w:rPr>
          <w:rFonts w:hint="cs"/>
          <w:rtl/>
        </w:rPr>
      </w:pPr>
    </w:p>
    <w:p w14:paraId="588058F0" w14:textId="77777777" w:rsidR="00A000EA" w:rsidRDefault="00A000EA">
      <w:pPr>
        <w:rPr>
          <w:rFonts w:hint="cs"/>
          <w:b/>
          <w:bCs/>
          <w:u w:val="single"/>
          <w:rtl/>
        </w:rPr>
      </w:pPr>
      <w:r>
        <w:rPr>
          <w:rFonts w:hint="cs"/>
          <w:b/>
          <w:bCs/>
          <w:u w:val="single"/>
          <w:rtl/>
        </w:rPr>
        <w:t>ב"כ הנאשם:</w:t>
      </w:r>
    </w:p>
    <w:p w14:paraId="4EE0E2CD" w14:textId="77777777" w:rsidR="00A000EA" w:rsidRDefault="00A000EA">
      <w:pPr>
        <w:rPr>
          <w:rFonts w:hint="cs"/>
          <w:rtl/>
        </w:rPr>
      </w:pPr>
      <w:r>
        <w:rPr>
          <w:rFonts w:hint="cs"/>
          <w:rtl/>
        </w:rPr>
        <w:t>הואיל והנאשם הוא מתחת לגיל 21 שנה, אנו נבקש כי יתקבל תסקיר שרות המבחן בעניינו אשר יבחן גם את שאלת אי ההרשעה היינו, ביטולה.</w:t>
      </w:r>
    </w:p>
    <w:p w14:paraId="2469B6BB" w14:textId="77777777" w:rsidR="00A000EA" w:rsidRDefault="00A000EA">
      <w:pPr>
        <w:rPr>
          <w:rFonts w:hint="cs"/>
          <w:rtl/>
        </w:rPr>
      </w:pPr>
      <w:r>
        <w:rPr>
          <w:rFonts w:hint="cs"/>
          <w:rtl/>
        </w:rPr>
        <w:t xml:space="preserve">אנו מבקשים משרות המבחן ליתן תסקיר אודות הנאשם, נסיבותיו ואף התייחסות לענין העונש וזאת מבלי להתייחס לשאלת האם הוא מודה או לא מודה, וזאת על כפירתו במיוחס לו בכתב האישום. </w:t>
      </w:r>
      <w:bookmarkStart w:id="13" w:name="Decision2"/>
    </w:p>
    <w:p w14:paraId="0693D8C3" w14:textId="77777777" w:rsidR="00A000EA" w:rsidRDefault="00A000EA">
      <w:pPr>
        <w:pStyle w:val="Heading1"/>
        <w:rPr>
          <w:rFonts w:hint="cs"/>
          <w:sz w:val="26"/>
          <w:rtl/>
        </w:rPr>
      </w:pPr>
      <w:r>
        <w:rPr>
          <w:rFonts w:hint="cs"/>
          <w:sz w:val="26"/>
          <w:rtl/>
        </w:rPr>
        <w:t>החלטה</w:t>
      </w:r>
    </w:p>
    <w:p w14:paraId="70EF667C" w14:textId="77777777" w:rsidR="00A000EA" w:rsidRDefault="00A000EA">
      <w:pPr>
        <w:pStyle w:val="BodyText"/>
        <w:rPr>
          <w:rFonts w:hint="cs"/>
          <w:sz w:val="26"/>
          <w:rtl/>
        </w:rPr>
      </w:pPr>
    </w:p>
    <w:p w14:paraId="2B3BA559" w14:textId="77777777" w:rsidR="00A000EA" w:rsidRDefault="00A000EA">
      <w:pPr>
        <w:pStyle w:val="BodyText"/>
        <w:rPr>
          <w:rFonts w:hint="cs"/>
          <w:sz w:val="26"/>
          <w:rtl/>
        </w:rPr>
      </w:pPr>
      <w:r>
        <w:rPr>
          <w:rFonts w:hint="cs"/>
          <w:sz w:val="26"/>
          <w:rtl/>
        </w:rPr>
        <w:t>קובע לקבלת תסקיר ולטיעונים לגזר דין ליום 14.9.05 שעה 09:30. המועד תואם על דעת הצדדים וכן תואם לבקשת שרות המבחן בדבר מועדים אפשריים להגשת תסקיר.</w:t>
      </w:r>
    </w:p>
    <w:p w14:paraId="2A431C61" w14:textId="77777777" w:rsidR="00A000EA" w:rsidRDefault="00A000EA">
      <w:pPr>
        <w:pStyle w:val="BodyText"/>
        <w:rPr>
          <w:rFonts w:hint="cs"/>
          <w:sz w:val="26"/>
          <w:rtl/>
        </w:rPr>
      </w:pPr>
    </w:p>
    <w:p w14:paraId="6BA46EEE" w14:textId="77777777" w:rsidR="00A000EA" w:rsidRDefault="00A000EA">
      <w:pPr>
        <w:pStyle w:val="BodyText"/>
        <w:rPr>
          <w:rFonts w:hint="cs"/>
          <w:sz w:val="26"/>
          <w:rtl/>
        </w:rPr>
      </w:pPr>
      <w:r>
        <w:rPr>
          <w:rFonts w:hint="cs"/>
          <w:sz w:val="26"/>
          <w:rtl/>
        </w:rPr>
        <w:t>שירות המבחן מתבקש להגיש תסקיר בעניינו של הנאשם (ובו יתייחס לשאלת ההרשעה כמבוקש ע"י ב"כ הנאשם) עד למועד הנ"ל.</w:t>
      </w:r>
    </w:p>
    <w:p w14:paraId="1E409B6C" w14:textId="77777777" w:rsidR="00A000EA" w:rsidRDefault="00A000EA">
      <w:pPr>
        <w:pStyle w:val="BodyText"/>
        <w:rPr>
          <w:rFonts w:hint="cs"/>
          <w:sz w:val="26"/>
          <w:rtl/>
        </w:rPr>
      </w:pPr>
    </w:p>
    <w:p w14:paraId="2F97348F" w14:textId="77777777" w:rsidR="00A000EA" w:rsidRDefault="00A000EA">
      <w:pPr>
        <w:pStyle w:val="BodyText"/>
        <w:rPr>
          <w:rFonts w:hint="cs"/>
          <w:sz w:val="26"/>
          <w:rtl/>
        </w:rPr>
      </w:pPr>
      <w:r>
        <w:rPr>
          <w:rFonts w:hint="cs"/>
          <w:sz w:val="26"/>
          <w:rtl/>
        </w:rPr>
        <w:t xml:space="preserve">תשומת לב שירות המבחן כי ניתן להשיג את הנאשם בכתובת: רח' יוני 1/4אופקים טל' 089965476. </w:t>
      </w:r>
    </w:p>
    <w:p w14:paraId="56C81FE0" w14:textId="77777777" w:rsidR="00A000EA" w:rsidRDefault="00A000EA">
      <w:pPr>
        <w:rPr>
          <w:rFonts w:hint="cs"/>
          <w:sz w:val="26"/>
          <w:szCs w:val="26"/>
          <w:rtl/>
        </w:rPr>
      </w:pPr>
    </w:p>
    <w:p w14:paraId="567BAA9E" w14:textId="77777777" w:rsidR="00A000EA" w:rsidRDefault="00A000EA">
      <w:pPr>
        <w:rPr>
          <w:rFonts w:hint="cs"/>
          <w:sz w:val="24"/>
          <w:rtl/>
        </w:rPr>
      </w:pPr>
      <w:r>
        <w:rPr>
          <w:rFonts w:hint="cs"/>
          <w:sz w:val="24"/>
          <w:rtl/>
        </w:rPr>
        <w:t>מוצע לנאשם כי ככל שלא יקבל זימון משירות המבחן בתוך 30 יום, יצור הוא קשר עם שירות המבחן ברח' שז"ר 21 בית נועם, באר שבע. טל': 6252444-08 וזאת לצורך קידום עניינו.</w:t>
      </w:r>
    </w:p>
    <w:p w14:paraId="614D4BDC" w14:textId="77777777" w:rsidR="00A000EA" w:rsidRDefault="00A000EA">
      <w:pPr>
        <w:rPr>
          <w:rFonts w:hint="cs"/>
          <w:sz w:val="24"/>
          <w:rtl/>
        </w:rPr>
      </w:pPr>
    </w:p>
    <w:p w14:paraId="6D64164E" w14:textId="77777777" w:rsidR="00A000EA" w:rsidRDefault="00A000EA">
      <w:pPr>
        <w:rPr>
          <w:rFonts w:hint="cs"/>
          <w:sz w:val="24"/>
          <w:rtl/>
        </w:rPr>
      </w:pPr>
      <w:r>
        <w:rPr>
          <w:rFonts w:hint="cs"/>
          <w:sz w:val="24"/>
          <w:rtl/>
        </w:rPr>
        <w:t>מובהרת לנאשם חשיבות שיתוף הפעולה עם שירות המבחן.</w:t>
      </w:r>
    </w:p>
    <w:p w14:paraId="33B890F1" w14:textId="77777777" w:rsidR="00A000EA" w:rsidRDefault="00A000EA">
      <w:pPr>
        <w:rPr>
          <w:rFonts w:hint="cs"/>
          <w:sz w:val="24"/>
          <w:rtl/>
        </w:rPr>
      </w:pPr>
    </w:p>
    <w:p w14:paraId="4A9D48E3" w14:textId="77777777" w:rsidR="00A000EA" w:rsidRDefault="00A000EA">
      <w:pPr>
        <w:rPr>
          <w:rFonts w:hint="cs"/>
          <w:sz w:val="24"/>
          <w:rtl/>
        </w:rPr>
      </w:pPr>
      <w:r>
        <w:rPr>
          <w:rFonts w:hint="cs"/>
          <w:sz w:val="24"/>
          <w:rtl/>
        </w:rPr>
        <w:t xml:space="preserve">הנאשם מוזהר כי לא יקבל הזמנה נוספת ובמידה ולא יתייצב לדיון יכול וביהמ"ש ידון בהעדרו או יוציא צו הבאה כנגדו. </w:t>
      </w:r>
    </w:p>
    <w:p w14:paraId="0F02166B" w14:textId="77777777" w:rsidR="00A000EA" w:rsidRDefault="00A000EA">
      <w:pPr>
        <w:rPr>
          <w:rFonts w:hint="cs"/>
          <w:sz w:val="26"/>
          <w:szCs w:val="26"/>
          <w:rtl/>
        </w:rPr>
      </w:pPr>
    </w:p>
    <w:p w14:paraId="5E22B434" w14:textId="77777777" w:rsidR="00A000EA" w:rsidRDefault="00A000EA">
      <w:pPr>
        <w:rPr>
          <w:rFonts w:hint="cs"/>
          <w:b/>
          <w:bCs/>
          <w:sz w:val="26"/>
          <w:szCs w:val="26"/>
          <w:u w:val="single"/>
          <w:rtl/>
        </w:rPr>
      </w:pPr>
      <w:r>
        <w:rPr>
          <w:rFonts w:hint="cs"/>
          <w:b/>
          <w:bCs/>
          <w:sz w:val="26"/>
          <w:szCs w:val="26"/>
          <w:u w:val="single"/>
          <w:rtl/>
        </w:rPr>
        <w:t>המזכירות תעביר עותק החלטה זו לשירות המבחן.</w:t>
      </w:r>
    </w:p>
    <w:p w14:paraId="7468049B" w14:textId="77777777" w:rsidR="00A000EA" w:rsidRDefault="00A000EA">
      <w:pPr>
        <w:rPr>
          <w:rFonts w:hint="cs"/>
          <w:b/>
          <w:bCs/>
          <w:rtl/>
        </w:rPr>
      </w:pPr>
      <w:r>
        <w:rPr>
          <w:rFonts w:hint="cs"/>
          <w:b/>
          <w:bCs/>
          <w:rtl/>
        </w:rPr>
        <w:t xml:space="preserve">ניתנה היום 30 בינואר, 2005 (כ' בשבט תשס"ה) במעמד הצדדים. </w:t>
      </w:r>
    </w:p>
    <w:tbl>
      <w:tblPr>
        <w:tblW w:w="0" w:type="auto"/>
        <w:tblInd w:w="5869" w:type="dxa"/>
        <w:tblBorders>
          <w:top w:val="single" w:sz="4" w:space="0" w:color="auto"/>
        </w:tblBorders>
        <w:tblLook w:val="0000" w:firstRow="0" w:lastRow="0" w:firstColumn="0" w:lastColumn="0" w:noHBand="0" w:noVBand="0"/>
      </w:tblPr>
      <w:tblGrid>
        <w:gridCol w:w="2653"/>
      </w:tblGrid>
      <w:tr w:rsidR="00A000EA" w14:paraId="0359B6CA" w14:textId="77777777">
        <w:tc>
          <w:tcPr>
            <w:tcW w:w="2660" w:type="dxa"/>
            <w:tcBorders>
              <w:top w:val="single" w:sz="4" w:space="0" w:color="auto"/>
              <w:left w:val="nil"/>
              <w:bottom w:val="nil"/>
              <w:right w:val="nil"/>
            </w:tcBorders>
          </w:tcPr>
          <w:p w14:paraId="5585A6B8" w14:textId="77777777" w:rsidR="00A000EA" w:rsidRDefault="00A000EA">
            <w:pPr>
              <w:jc w:val="center"/>
              <w:rPr>
                <w:b/>
                <w:bCs/>
                <w:sz w:val="24"/>
                <w:szCs w:val="26"/>
              </w:rPr>
            </w:pPr>
            <w:r>
              <w:rPr>
                <w:rFonts w:hint="cs"/>
                <w:b/>
                <w:bCs/>
                <w:sz w:val="24"/>
                <w:szCs w:val="26"/>
                <w:rtl/>
              </w:rPr>
              <w:t>יעקב שפסר, שופט</w:t>
            </w:r>
          </w:p>
        </w:tc>
      </w:tr>
    </w:tbl>
    <w:bookmarkEnd w:id="13"/>
    <w:p w14:paraId="23C623F9" w14:textId="77777777" w:rsidR="00A000EA" w:rsidRDefault="00A000EA">
      <w:pPr>
        <w:rPr>
          <w:rFonts w:hint="cs"/>
          <w:rtl/>
        </w:rPr>
      </w:pPr>
      <w:r>
        <w:rPr>
          <w:rtl/>
        </w:rPr>
        <w:t>נוסח מסמך זה כפוף לשינויי ניסוח ועריכה</w:t>
      </w:r>
    </w:p>
    <w:sectPr w:rsidR="00A000EA">
      <w:headerReference w:type="even" r:id="rId15"/>
      <w:headerReference w:type="default" r:id="rId16"/>
      <w:footerReference w:type="even" r:id="rId17"/>
      <w:footerReference w:type="default" r:id="rId18"/>
      <w:headerReference w:type="first" r:id="rId19"/>
      <w:footerReference w:type="first" r:id="rId20"/>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86B4D" w14:textId="77777777" w:rsidR="00FF5D87" w:rsidRDefault="00FF5D87">
      <w:r>
        <w:separator/>
      </w:r>
    </w:p>
  </w:endnote>
  <w:endnote w:type="continuationSeparator" w:id="0">
    <w:p w14:paraId="63F806DD" w14:textId="77777777" w:rsidR="00FF5D87" w:rsidRDefault="00FF5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ankRuehl">
    <w:panose1 w:val="020E0503060101010101"/>
    <w:charset w:val="00"/>
    <w:family w:val="swiss"/>
    <w:pitch w:val="variable"/>
    <w:sig w:usb0="00000803" w:usb1="00000000" w:usb2="00000000" w:usb3="00000000" w:csb0="00000021" w:csb1="00000000"/>
  </w:font>
  <w:font w:name="MS Song">
    <w:charset w:val="86"/>
    <w:family w:val="modern"/>
    <w:pitch w:val="fixed"/>
    <w:sig w:usb0="00000001" w:usb1="080E0000" w:usb2="00000010" w:usb3="00000000" w:csb0="00040000"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79B6" w14:textId="77777777" w:rsidR="00FF5D87" w:rsidRDefault="00FF5D8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6</w:t>
    </w:r>
    <w:r>
      <w:rPr>
        <w:rFonts w:hAnsi="FrankRuehl" w:cs="FrankRuehl"/>
        <w:sz w:val="24"/>
        <w:rtl/>
      </w:rPr>
      <w:fldChar w:fldCharType="end"/>
    </w:r>
  </w:p>
  <w:p w14:paraId="547501C6" w14:textId="77777777" w:rsidR="00FF5D87" w:rsidRDefault="00FF5D8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7D1EDC9" w14:textId="77777777" w:rsidR="00FF5D87" w:rsidRDefault="00FF5D8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C:\nevo\nevo</w:t>
    </w:r>
    <w:r>
      <w:rPr>
        <w:rFonts w:cs="TopType Jerushalmi"/>
        <w:color w:val="000000"/>
        <w:sz w:val="14"/>
        <w:szCs w:val="14"/>
        <w:rtl/>
      </w:rPr>
      <w:t>\קישורים\2007-10-09\14\</w:t>
    </w:r>
    <w:r>
      <w:rPr>
        <w:rFonts w:cs="TopType Jerushalmi"/>
        <w:color w:val="000000"/>
        <w:sz w:val="14"/>
        <w:szCs w:val="14"/>
      </w:rPr>
      <w:t>OutDoc\s03001847-49.doc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4D87A" w14:textId="77777777" w:rsidR="00FF5D87" w:rsidRDefault="00FF5D8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4B1DEE">
      <w:rPr>
        <w:rFonts w:hAnsi="FrankRuehl" w:cs="FrankRuehl"/>
        <w:noProof/>
        <w:sz w:val="24"/>
        <w:rtl/>
      </w:rPr>
      <w:t>1</w:t>
    </w:r>
    <w:r>
      <w:rPr>
        <w:rFonts w:hAnsi="FrankRuehl" w:cs="FrankRuehl"/>
        <w:sz w:val="24"/>
        <w:rtl/>
      </w:rPr>
      <w:fldChar w:fldCharType="end"/>
    </w:r>
  </w:p>
  <w:p w14:paraId="1FA19F42" w14:textId="77777777" w:rsidR="00FF5D87" w:rsidRDefault="00FF5D8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6675FC6" w14:textId="77777777" w:rsidR="00FF5D87" w:rsidRDefault="00FF5D8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C:\nevo\nevo</w:t>
    </w:r>
    <w:r>
      <w:rPr>
        <w:rFonts w:cs="TopType Jerushalmi"/>
        <w:color w:val="000000"/>
        <w:sz w:val="14"/>
        <w:szCs w:val="14"/>
        <w:rtl/>
      </w:rPr>
      <w:t>\קישורים\2007-10-09\14\</w:t>
    </w:r>
    <w:r>
      <w:rPr>
        <w:rFonts w:cs="TopType Jerushalmi"/>
        <w:color w:val="000000"/>
        <w:sz w:val="14"/>
        <w:szCs w:val="14"/>
      </w:rPr>
      <w:t>OutDoc\s03001847-49.doc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58E9A" w14:textId="77777777" w:rsidR="00FF5D87" w:rsidRDefault="00FF5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ED0F7" w14:textId="77777777" w:rsidR="00FF5D87" w:rsidRDefault="00FF5D87">
      <w:r>
        <w:separator/>
      </w:r>
    </w:p>
  </w:footnote>
  <w:footnote w:type="continuationSeparator" w:id="0">
    <w:p w14:paraId="33666162" w14:textId="77777777" w:rsidR="00FF5D87" w:rsidRDefault="00FF5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357F" w14:textId="77777777" w:rsidR="00FF5D87" w:rsidRDefault="00FF5D8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1847/03</w:t>
    </w:r>
    <w:r>
      <w:rPr>
        <w:rFonts w:hAnsi="David"/>
        <w:color w:val="000000"/>
        <w:sz w:val="22"/>
        <w:szCs w:val="22"/>
        <w:rtl/>
      </w:rPr>
      <w:tab/>
      <w:t xml:space="preserve"> מדינת ישראל נ' צואלחי מראד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54E93" w14:textId="77777777" w:rsidR="00FF5D87" w:rsidRDefault="00FF5D87">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1847/03</w:t>
    </w:r>
    <w:r>
      <w:rPr>
        <w:rFonts w:hAnsi="David"/>
        <w:color w:val="000000"/>
        <w:sz w:val="22"/>
        <w:szCs w:val="22"/>
        <w:rtl/>
      </w:rPr>
      <w:tab/>
      <w:t xml:space="preserve"> מדינת ישראל נ' צואלחי מראד</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59431" w14:textId="77777777" w:rsidR="00FF5D87" w:rsidRDefault="00FF5D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13E36"/>
    <w:multiLevelType w:val="hybridMultilevel"/>
    <w:tmpl w:val="AD24D7F2"/>
    <w:lvl w:ilvl="0" w:tplc="32F09B16">
      <w:start w:val="1"/>
      <w:numFmt w:val="bullet"/>
      <w:pStyle w:val="a"/>
      <w:lvlText w:val="ש"/>
      <w:lvlJc w:val="left"/>
      <w:pPr>
        <w:tabs>
          <w:tab w:val="num" w:pos="720"/>
        </w:tabs>
        <w:ind w:left="720" w:right="720" w:hanging="360"/>
      </w:pPr>
      <w:rPr>
        <w:rFonts w:ascii="Symbol" w:hAnsi="Symbol" w:hint="default"/>
      </w:rPr>
    </w:lvl>
    <w:lvl w:ilvl="1" w:tplc="040D0003">
      <w:start w:val="1"/>
      <w:numFmt w:val="decimal"/>
      <w:lvlText w:val="%2."/>
      <w:lvlJc w:val="left"/>
      <w:pPr>
        <w:tabs>
          <w:tab w:val="num" w:pos="1440"/>
        </w:tabs>
        <w:ind w:left="1440" w:right="1440" w:hanging="360"/>
      </w:pPr>
    </w:lvl>
    <w:lvl w:ilvl="2" w:tplc="040D0005">
      <w:start w:val="1"/>
      <w:numFmt w:val="decimal"/>
      <w:lvlText w:val="%3."/>
      <w:lvlJc w:val="left"/>
      <w:pPr>
        <w:tabs>
          <w:tab w:val="num" w:pos="2160"/>
        </w:tabs>
        <w:ind w:left="2160" w:right="2160" w:hanging="360"/>
      </w:pPr>
    </w:lvl>
    <w:lvl w:ilvl="3" w:tplc="040D0001">
      <w:start w:val="1"/>
      <w:numFmt w:val="decimal"/>
      <w:lvlText w:val="%4."/>
      <w:lvlJc w:val="left"/>
      <w:pPr>
        <w:tabs>
          <w:tab w:val="num" w:pos="2880"/>
        </w:tabs>
        <w:ind w:left="2880" w:right="2880" w:hanging="360"/>
      </w:pPr>
    </w:lvl>
    <w:lvl w:ilvl="4" w:tplc="040D0003">
      <w:start w:val="1"/>
      <w:numFmt w:val="decimal"/>
      <w:lvlText w:val="%5."/>
      <w:lvlJc w:val="left"/>
      <w:pPr>
        <w:tabs>
          <w:tab w:val="num" w:pos="3600"/>
        </w:tabs>
        <w:ind w:left="3600" w:right="3600" w:hanging="360"/>
      </w:pPr>
    </w:lvl>
    <w:lvl w:ilvl="5" w:tplc="040D0005">
      <w:start w:val="1"/>
      <w:numFmt w:val="decimal"/>
      <w:lvlText w:val="%6."/>
      <w:lvlJc w:val="left"/>
      <w:pPr>
        <w:tabs>
          <w:tab w:val="num" w:pos="4320"/>
        </w:tabs>
        <w:ind w:left="4320" w:right="4320" w:hanging="360"/>
      </w:pPr>
    </w:lvl>
    <w:lvl w:ilvl="6" w:tplc="040D0001">
      <w:start w:val="1"/>
      <w:numFmt w:val="decimal"/>
      <w:lvlText w:val="%7."/>
      <w:lvlJc w:val="left"/>
      <w:pPr>
        <w:tabs>
          <w:tab w:val="num" w:pos="5040"/>
        </w:tabs>
        <w:ind w:left="5040" w:right="5040" w:hanging="360"/>
      </w:pPr>
    </w:lvl>
    <w:lvl w:ilvl="7" w:tplc="040D0003">
      <w:start w:val="1"/>
      <w:numFmt w:val="decimal"/>
      <w:lvlText w:val="%8."/>
      <w:lvlJc w:val="left"/>
      <w:pPr>
        <w:tabs>
          <w:tab w:val="num" w:pos="5760"/>
        </w:tabs>
        <w:ind w:left="5760" w:right="5760" w:hanging="360"/>
      </w:pPr>
    </w:lvl>
    <w:lvl w:ilvl="8" w:tplc="040D0005">
      <w:start w:val="1"/>
      <w:numFmt w:val="decimal"/>
      <w:lvlText w:val="%9."/>
      <w:lvlJc w:val="left"/>
      <w:pPr>
        <w:tabs>
          <w:tab w:val="num" w:pos="6480"/>
        </w:tabs>
        <w:ind w:left="6480" w:right="6480" w:hanging="360"/>
      </w:pPr>
    </w:lvl>
  </w:abstractNum>
  <w:abstractNum w:abstractNumId="1" w15:restartNumberingAfterBreak="0">
    <w:nsid w:val="29473A8F"/>
    <w:multiLevelType w:val="hybridMultilevel"/>
    <w:tmpl w:val="840C2BBA"/>
    <w:lvl w:ilvl="0" w:tplc="8BF24960">
      <w:start w:val="1"/>
      <w:numFmt w:val="bullet"/>
      <w:pStyle w:val="a0"/>
      <w:lvlText w:val="ת"/>
      <w:lvlJc w:val="left"/>
      <w:pPr>
        <w:tabs>
          <w:tab w:val="num" w:pos="720"/>
        </w:tabs>
        <w:ind w:left="720" w:right="720" w:hanging="720"/>
      </w:pPr>
      <w:rPr>
        <w:rFonts w:ascii="Symbol" w:hAnsi="Symbol" w:hint="default"/>
      </w:rPr>
    </w:lvl>
    <w:lvl w:ilvl="1" w:tplc="040D0003">
      <w:start w:val="1"/>
      <w:numFmt w:val="decimal"/>
      <w:lvlText w:val="%2."/>
      <w:lvlJc w:val="left"/>
      <w:pPr>
        <w:tabs>
          <w:tab w:val="num" w:pos="1440"/>
        </w:tabs>
        <w:ind w:left="1440" w:right="1440" w:hanging="360"/>
      </w:pPr>
    </w:lvl>
    <w:lvl w:ilvl="2" w:tplc="040D0005">
      <w:start w:val="1"/>
      <w:numFmt w:val="decimal"/>
      <w:lvlText w:val="%3."/>
      <w:lvlJc w:val="left"/>
      <w:pPr>
        <w:tabs>
          <w:tab w:val="num" w:pos="2160"/>
        </w:tabs>
        <w:ind w:left="2160" w:right="2160" w:hanging="360"/>
      </w:pPr>
    </w:lvl>
    <w:lvl w:ilvl="3" w:tplc="040D0001">
      <w:start w:val="1"/>
      <w:numFmt w:val="decimal"/>
      <w:lvlText w:val="%4."/>
      <w:lvlJc w:val="left"/>
      <w:pPr>
        <w:tabs>
          <w:tab w:val="num" w:pos="2880"/>
        </w:tabs>
        <w:ind w:left="2880" w:right="2880" w:hanging="360"/>
      </w:pPr>
    </w:lvl>
    <w:lvl w:ilvl="4" w:tplc="040D0003">
      <w:start w:val="1"/>
      <w:numFmt w:val="decimal"/>
      <w:lvlText w:val="%5."/>
      <w:lvlJc w:val="left"/>
      <w:pPr>
        <w:tabs>
          <w:tab w:val="num" w:pos="3600"/>
        </w:tabs>
        <w:ind w:left="3600" w:right="3600" w:hanging="360"/>
      </w:pPr>
    </w:lvl>
    <w:lvl w:ilvl="5" w:tplc="040D0005">
      <w:start w:val="1"/>
      <w:numFmt w:val="decimal"/>
      <w:lvlText w:val="%6."/>
      <w:lvlJc w:val="left"/>
      <w:pPr>
        <w:tabs>
          <w:tab w:val="num" w:pos="4320"/>
        </w:tabs>
        <w:ind w:left="4320" w:right="4320" w:hanging="360"/>
      </w:pPr>
    </w:lvl>
    <w:lvl w:ilvl="6" w:tplc="040D0001">
      <w:start w:val="1"/>
      <w:numFmt w:val="decimal"/>
      <w:lvlText w:val="%7."/>
      <w:lvlJc w:val="left"/>
      <w:pPr>
        <w:tabs>
          <w:tab w:val="num" w:pos="5040"/>
        </w:tabs>
        <w:ind w:left="5040" w:right="5040" w:hanging="360"/>
      </w:pPr>
    </w:lvl>
    <w:lvl w:ilvl="7" w:tplc="040D0003">
      <w:start w:val="1"/>
      <w:numFmt w:val="decimal"/>
      <w:lvlText w:val="%8."/>
      <w:lvlJc w:val="left"/>
      <w:pPr>
        <w:tabs>
          <w:tab w:val="num" w:pos="5760"/>
        </w:tabs>
        <w:ind w:left="5760" w:right="5760" w:hanging="360"/>
      </w:pPr>
    </w:lvl>
    <w:lvl w:ilvl="8" w:tplc="040D0005">
      <w:start w:val="1"/>
      <w:numFmt w:val="decimal"/>
      <w:lvlText w:val="%9."/>
      <w:lvlJc w:val="left"/>
      <w:pPr>
        <w:tabs>
          <w:tab w:val="num" w:pos="6480"/>
        </w:tabs>
        <w:ind w:left="6480" w:right="6480" w:hanging="360"/>
      </w:pPr>
    </w:lvl>
  </w:abstractNum>
  <w:abstractNum w:abstractNumId="2" w15:restartNumberingAfterBreak="0">
    <w:nsid w:val="55FE3E8F"/>
    <w:multiLevelType w:val="hybridMultilevel"/>
    <w:tmpl w:val="D376D1D0"/>
    <w:lvl w:ilvl="0" w:tplc="AF0E202E">
      <w:start w:val="1"/>
      <w:numFmt w:val="hebrew1"/>
      <w:lvlText w:val="%1."/>
      <w:lvlJc w:val="left"/>
      <w:pPr>
        <w:tabs>
          <w:tab w:val="num" w:pos="360"/>
        </w:tabs>
        <w:ind w:left="360" w:right="36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594829827">
    <w:abstractNumId w:val="0"/>
  </w:num>
  <w:num w:numId="2" w16cid:durableId="150859626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6144392">
    <w:abstractNumId w:val="1"/>
  </w:num>
  <w:num w:numId="4" w16cid:durableId="127359144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97353596">
    <w:abstractNumId w:val="2"/>
  </w:num>
  <w:num w:numId="6" w16cid:durableId="13312574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A000EA"/>
    <w:rsid w:val="00296E77"/>
    <w:rsid w:val="002B2ACC"/>
    <w:rsid w:val="003B1A02"/>
    <w:rsid w:val="004B1DEE"/>
    <w:rsid w:val="004F1E05"/>
    <w:rsid w:val="0083350C"/>
    <w:rsid w:val="00A000EA"/>
    <w:rsid w:val="00B8610D"/>
    <w:rsid w:val="00D32D08"/>
    <w:rsid w:val="00FF5D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00CE36F"/>
  <w15:chartTrackingRefBased/>
  <w15:docId w15:val="{AE9BB75C-0D17-4552-9C51-FA03B448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spacing w:line="240" w:lineRule="auto"/>
      <w:outlineLvl w:val="2"/>
    </w:pPr>
    <w:rPr>
      <w:b/>
      <w:bCs/>
      <w:u w:val="single"/>
    </w:rPr>
  </w:style>
  <w:style w:type="paragraph" w:styleId="Heading4">
    <w:name w:val="heading 4"/>
    <w:basedOn w:val="Normal"/>
    <w:next w:val="Normal"/>
    <w:qFormat/>
    <w:pPr>
      <w:keepNext/>
      <w:spacing w:line="240" w:lineRule="auto"/>
      <w:jc w:val="center"/>
      <w:outlineLvl w:val="3"/>
    </w:pPr>
    <w:rPr>
      <w:b/>
      <w:bCs/>
      <w:sz w:val="38"/>
      <w:szCs w:val="40"/>
    </w:rPr>
  </w:style>
  <w:style w:type="paragraph" w:styleId="Heading5">
    <w:name w:val="heading 5"/>
    <w:basedOn w:val="Normal"/>
    <w:next w:val="Normal"/>
    <w:qFormat/>
    <w:pPr>
      <w:keepNext/>
      <w:spacing w:line="240" w:lineRule="auto"/>
      <w:outlineLvl w:val="4"/>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jc w:val="center"/>
    </w:pPr>
    <w:rPr>
      <w:rFonts w:eastAsia="SimSun"/>
      <w:b/>
      <w:bCs/>
      <w:sz w:val="34"/>
      <w:szCs w:val="32"/>
    </w:rPr>
  </w:style>
  <w:style w:type="paragraph" w:styleId="BodyText">
    <w:name w:val="Body Text"/>
    <w:basedOn w:val="Normal"/>
    <w:rPr>
      <w:rFonts w:eastAsia="SimSun"/>
      <w:sz w:val="24"/>
    </w:rPr>
  </w:style>
  <w:style w:type="paragraph" w:styleId="Subtitle">
    <w:name w:val="Subtitle"/>
    <w:basedOn w:val="Normal"/>
    <w:qFormat/>
    <w:rPr>
      <w:rFonts w:eastAsia="SimSun"/>
      <w:b/>
      <w:bCs/>
      <w:sz w:val="30"/>
      <w:szCs w:val="28"/>
    </w:rPr>
  </w:style>
  <w:style w:type="paragraph" w:customStyle="1" w:styleId="1">
    <w:name w:val="רגיל1"/>
    <w:pPr>
      <w:bidi/>
      <w:snapToGrid w:val="0"/>
    </w:pPr>
    <w:rPr>
      <w:rFonts w:cs="David"/>
      <w:szCs w:val="24"/>
      <w:lang w:eastAsia="he-IL"/>
    </w:rPr>
  </w:style>
  <w:style w:type="paragraph" w:customStyle="1" w:styleId="a1">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2">
    <w:name w:val="החלטה"/>
    <w:basedOn w:val="1"/>
    <w:pPr>
      <w:suppressLineNumbers/>
    </w:pPr>
    <w:rPr>
      <w:bCs/>
    </w:rPr>
  </w:style>
  <w:style w:type="paragraph" w:customStyle="1" w:styleId="a3">
    <w:name w:val="חקירה"/>
    <w:basedOn w:val="1"/>
    <w:pPr>
      <w:suppressLineNumbers/>
    </w:pPr>
  </w:style>
  <w:style w:type="paragraph" w:customStyle="1" w:styleId="a0">
    <w:name w:val="תשובה"/>
    <w:basedOn w:val="Normal"/>
    <w:next w:val="a"/>
    <w:pPr>
      <w:numPr>
        <w:numId w:val="4"/>
      </w:numPr>
      <w:ind w:right="0"/>
    </w:pPr>
  </w:style>
  <w:style w:type="paragraph" w:customStyle="1" w:styleId="a">
    <w:name w:val="שאלה"/>
    <w:basedOn w:val="Normal"/>
    <w:next w:val="a0"/>
    <w:pPr>
      <w:numPr>
        <w:numId w:val="2"/>
      </w:numPr>
      <w:ind w:right="0" w:hanging="720"/>
    </w:pPr>
    <w:rPr>
      <w:bCs/>
      <w:sz w:val="28"/>
    </w:rPr>
  </w:style>
  <w:style w:type="character" w:styleId="PageNumber">
    <w:name w:val="page number"/>
    <w:rPr>
      <w:rFonts w:cs="David"/>
    </w:rPr>
  </w:style>
  <w:style w:type="character" w:styleId="Hyperlink">
    <w:name w:val="Hyperlink"/>
    <w:rPr>
      <w:color w:val="0000FF"/>
      <w:u w:val="single"/>
    </w:rPr>
  </w:style>
  <w:style w:type="character" w:styleId="FollowedHyperlink">
    <w:name w:val="FollowedHyperlink"/>
    <w:rsid w:val="0083350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case/5739234"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case/512675" TargetMode="External"/><Relationship Id="rId12" Type="http://schemas.openxmlformats.org/officeDocument/2006/relationships/hyperlink" Target="http://www.nevo.co.il/case/17914394"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17929053"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70301/349.a"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nevo.co.il/law/70301/349.a" TargetMode="External"/><Relationship Id="rId14" Type="http://schemas.openxmlformats.org/officeDocument/2006/relationships/hyperlink" Target="http://www.nevo.co.il/case/1794676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1544</Words>
  <Characters>8802</Characters>
  <Application>Microsoft Office Word</Application>
  <DocSecurity>0</DocSecurity>
  <Lines>73</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10326</CharactersWithSpaces>
  <SharedDoc>false</SharedDoc>
  <HLinks>
    <vt:vector size="48" baseType="variant">
      <vt:variant>
        <vt:i4>3670128</vt:i4>
      </vt:variant>
      <vt:variant>
        <vt:i4>21</vt:i4>
      </vt:variant>
      <vt:variant>
        <vt:i4>0</vt:i4>
      </vt:variant>
      <vt:variant>
        <vt:i4>5</vt:i4>
      </vt:variant>
      <vt:variant>
        <vt:lpwstr>http://www.nevo.co.il/case/17946764</vt:lpwstr>
      </vt:variant>
      <vt:variant>
        <vt:lpwstr/>
      </vt:variant>
      <vt:variant>
        <vt:i4>3145849</vt:i4>
      </vt:variant>
      <vt:variant>
        <vt:i4>18</vt:i4>
      </vt:variant>
      <vt:variant>
        <vt:i4>0</vt:i4>
      </vt:variant>
      <vt:variant>
        <vt:i4>5</vt:i4>
      </vt:variant>
      <vt:variant>
        <vt:lpwstr>http://www.nevo.co.il/case/5739234</vt:lpwstr>
      </vt:variant>
      <vt:variant>
        <vt:lpwstr/>
      </vt:variant>
      <vt:variant>
        <vt:i4>3473521</vt:i4>
      </vt:variant>
      <vt:variant>
        <vt:i4>15</vt:i4>
      </vt:variant>
      <vt:variant>
        <vt:i4>0</vt:i4>
      </vt:variant>
      <vt:variant>
        <vt:i4>5</vt:i4>
      </vt:variant>
      <vt:variant>
        <vt:lpwstr>http://www.nevo.co.il/case/17914394</vt:lpwstr>
      </vt:variant>
      <vt:variant>
        <vt:lpwstr/>
      </vt:variant>
      <vt:variant>
        <vt:i4>3407985</vt:i4>
      </vt:variant>
      <vt:variant>
        <vt:i4>12</vt:i4>
      </vt:variant>
      <vt:variant>
        <vt:i4>0</vt:i4>
      </vt:variant>
      <vt:variant>
        <vt:i4>5</vt:i4>
      </vt:variant>
      <vt:variant>
        <vt:lpwstr>http://www.nevo.co.il/case/17929053</vt:lpwstr>
      </vt:variant>
      <vt:variant>
        <vt:lpwstr/>
      </vt:variant>
      <vt:variant>
        <vt:i4>5177439</vt:i4>
      </vt:variant>
      <vt:variant>
        <vt:i4>9</vt:i4>
      </vt:variant>
      <vt:variant>
        <vt:i4>0</vt:i4>
      </vt:variant>
      <vt:variant>
        <vt:i4>5</vt:i4>
      </vt:variant>
      <vt:variant>
        <vt:lpwstr>http://www.nevo.co.il/law/70301/349.a</vt:lpwstr>
      </vt:variant>
      <vt:variant>
        <vt:lpwstr/>
      </vt:variant>
      <vt:variant>
        <vt:i4>5177439</vt:i4>
      </vt:variant>
      <vt:variant>
        <vt:i4>6</vt:i4>
      </vt:variant>
      <vt:variant>
        <vt:i4>0</vt:i4>
      </vt:variant>
      <vt:variant>
        <vt:i4>5</vt:i4>
      </vt:variant>
      <vt:variant>
        <vt:lpwstr>http://www.nevo.co.il/law/70301/349.a</vt:lpwstr>
      </vt:variant>
      <vt:variant>
        <vt:lpwstr/>
      </vt:variant>
      <vt:variant>
        <vt:i4>7995492</vt:i4>
      </vt:variant>
      <vt:variant>
        <vt:i4>3</vt:i4>
      </vt:variant>
      <vt:variant>
        <vt:i4>0</vt:i4>
      </vt:variant>
      <vt:variant>
        <vt:i4>5</vt:i4>
      </vt:variant>
      <vt:variant>
        <vt:lpwstr>http://www.nevo.co.il/law/70301</vt:lpwstr>
      </vt:variant>
      <vt:variant>
        <vt:lpwstr/>
      </vt:variant>
      <vt:variant>
        <vt:i4>67</vt:i4>
      </vt:variant>
      <vt:variant>
        <vt:i4>0</vt:i4>
      </vt:variant>
      <vt:variant>
        <vt:i4>0</vt:i4>
      </vt:variant>
      <vt:variant>
        <vt:i4>5</vt:i4>
      </vt:variant>
      <vt:variant>
        <vt:lpwstr>http://www.nevo.co.il/case/512675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2005-01-30T07:36:00Z</cp:lastPrinted>
  <dcterms:created xsi:type="dcterms:W3CDTF">2022-05-24T10:17:00Z</dcterms:created>
  <dcterms:modified xsi:type="dcterms:W3CDTF">2022-05-24T10:17:00Z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1847</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צואלחי מראד</vt:lpwstr>
  </property>
  <property fmtid="{D5CDD505-2E9C-101B-9397-08002B2CF9AE}" pid="9" name="LAWYER">
    <vt:lpwstr>שלומי פצ'בסקי;ירון הוד</vt:lpwstr>
  </property>
  <property fmtid="{D5CDD505-2E9C-101B-9397-08002B2CF9AE}" pid="10" name="JUDGE">
    <vt:lpwstr>יעקב שפסר</vt:lpwstr>
  </property>
  <property fmtid="{D5CDD505-2E9C-101B-9397-08002B2CF9AE}" pid="11" name="CITY">
    <vt:lpwstr>ב"ש</vt:lpwstr>
  </property>
  <property fmtid="{D5CDD505-2E9C-101B-9397-08002B2CF9AE}" pid="12" name="DATE">
    <vt:lpwstr>20050130</vt:lpwstr>
  </property>
  <property fmtid="{D5CDD505-2E9C-101B-9397-08002B2CF9AE}" pid="13" name="WORDNUMPAGES">
    <vt:lpwstr>7</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http://www.nevo.co.il/Psika_word/mechozi/m06007137-670.doc;לערעור במחוזי (התקבל, 2007-03-28)#עפ 7137/06 צואלחי מראד נ' מדינת ישראל#שופטים: י. פלפל, נ. הנדל, י. אלון#עו''ד: ירון הוד, חנה מגד</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DELEMATA">
    <vt:lpwstr/>
  </property>
  <property fmtid="{D5CDD505-2E9C-101B-9397-08002B2CF9AE}" pid="32" name="CASESLISTTMP1">
    <vt:lpwstr>512675;17929053;17914394;5739234;17946764</vt:lpwstr>
  </property>
  <property fmtid="{D5CDD505-2E9C-101B-9397-08002B2CF9AE}" pid="33" name="LAWLISTTMP1">
    <vt:lpwstr>70301/349.a</vt:lpwstr>
  </property>
</Properties>
</file>