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D336" w14:textId="77777777" w:rsidR="002F0DE7" w:rsidRDefault="002F0DE7">
      <w:pPr>
        <w:spacing w:line="240" w:lineRule="auto"/>
        <w:jc w:val="center"/>
        <w:rPr>
          <w:rFonts w:hint="cs"/>
          <w:b/>
          <w:bCs/>
          <w:rtl/>
        </w:rPr>
      </w:pPr>
      <w:bookmarkStart w:id="0" w:name="LastJudge"/>
      <w:r>
        <w:rPr>
          <w:rFonts w:hint="cs"/>
          <w:b/>
          <w:bCs/>
          <w:szCs w:val="32"/>
          <w:rtl/>
        </w:rPr>
        <w:t>בתי המשפט</w:t>
      </w:r>
      <w:r>
        <w:rPr>
          <w:rFonts w:hint="cs"/>
          <w:b/>
          <w:bCs/>
          <w:rtl/>
        </w:rPr>
        <w:t xml:space="preserve"> </w:t>
      </w:r>
    </w:p>
    <w:p w14:paraId="75C0808D" w14:textId="77777777" w:rsidR="002F0DE7" w:rsidRDefault="002F0DE7">
      <w:pPr>
        <w:spacing w:line="240" w:lineRule="auto"/>
        <w:jc w:val="center"/>
        <w:rPr>
          <w:b/>
          <w:bCs/>
          <w:rtl/>
        </w:rPr>
      </w:pP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2F0DE7" w14:paraId="22658D27"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75109B6E" w14:textId="77777777" w:rsidR="002F0DE7" w:rsidRDefault="002F0DE7">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1927AEB1" w14:textId="77777777" w:rsidR="002F0DE7" w:rsidRDefault="002F0DE7">
            <w:pPr>
              <w:spacing w:line="240" w:lineRule="auto"/>
              <w:rPr>
                <w:b/>
                <w:bCs/>
                <w:sz w:val="24"/>
              </w:rPr>
            </w:pPr>
            <w:r>
              <w:rPr>
                <w:rFonts w:hint="cs"/>
                <w:b/>
                <w:bCs/>
                <w:sz w:val="24"/>
                <w:rtl/>
              </w:rPr>
              <w:t>פ  001975/03</w:t>
            </w:r>
          </w:p>
        </w:tc>
      </w:tr>
      <w:tr w:rsidR="002F0DE7" w14:paraId="435BB1F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CE4C445" w14:textId="77777777" w:rsidR="002F0DE7" w:rsidRDefault="002F0DE7">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5F4A6042" w14:textId="77777777" w:rsidR="002F0DE7" w:rsidRDefault="002F0DE7">
            <w:pPr>
              <w:spacing w:line="240" w:lineRule="auto"/>
              <w:rPr>
                <w:b/>
                <w:bCs/>
                <w:sz w:val="24"/>
              </w:rPr>
            </w:pPr>
          </w:p>
        </w:tc>
      </w:tr>
      <w:tr w:rsidR="002F0DE7" w14:paraId="6994D953"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2FC769CF" w14:textId="77777777" w:rsidR="002F0DE7" w:rsidRDefault="002F0DE7">
            <w:pPr>
              <w:spacing w:line="240" w:lineRule="auto"/>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10330790" w14:textId="77777777" w:rsidR="002F0DE7" w:rsidRDefault="002F0DE7">
            <w:pPr>
              <w:spacing w:line="240" w:lineRule="auto"/>
              <w:rPr>
                <w:b/>
                <w:bCs/>
                <w:sz w:val="24"/>
              </w:rPr>
            </w:pPr>
            <w:r>
              <w:rPr>
                <w:rFonts w:hint="cs"/>
                <w:b/>
                <w:bCs/>
                <w:sz w:val="24"/>
                <w:rtl/>
              </w:rPr>
              <w:t>כב' השופטת ניצה שרון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0B5DF3B" w14:textId="77777777" w:rsidR="002F0DE7" w:rsidRDefault="002F0DE7">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2C418B97" w14:textId="77777777" w:rsidR="002F0DE7" w:rsidRDefault="002F0DE7">
            <w:pPr>
              <w:spacing w:line="240" w:lineRule="auto"/>
              <w:rPr>
                <w:b/>
                <w:bCs/>
                <w:sz w:val="24"/>
              </w:rPr>
            </w:pPr>
            <w:r>
              <w:rPr>
                <w:rFonts w:hint="cs"/>
                <w:b/>
                <w:bCs/>
                <w:sz w:val="24"/>
                <w:rtl/>
              </w:rPr>
              <w:t>31/01/2005</w:t>
            </w:r>
          </w:p>
        </w:tc>
      </w:tr>
    </w:tbl>
    <w:p w14:paraId="0E622B35" w14:textId="77777777" w:rsidR="002F0DE7" w:rsidRDefault="002F0DE7">
      <w:pPr>
        <w:pStyle w:val="Header"/>
        <w:spacing w:line="240" w:lineRule="auto"/>
        <w:jc w:val="left"/>
        <w:rPr>
          <w:rFonts w:hint="cs"/>
          <w:b/>
          <w:bCs/>
          <w:szCs w:val="20"/>
          <w:rtl/>
        </w:rPr>
      </w:pPr>
    </w:p>
    <w:p w14:paraId="672052DD" w14:textId="77777777" w:rsidR="002F0DE7" w:rsidRDefault="002F0DE7">
      <w:pPr>
        <w:pStyle w:val="Header"/>
        <w:spacing w:line="240" w:lineRule="auto"/>
        <w:jc w:val="left"/>
        <w:rPr>
          <w:rFonts w:hint="cs"/>
          <w:b/>
          <w:bCs/>
          <w:szCs w:val="20"/>
          <w:rtl/>
        </w:rPr>
      </w:pPr>
    </w:p>
    <w:p w14:paraId="5E17D47B" w14:textId="77777777" w:rsidR="002F0DE7" w:rsidRDefault="002F0DE7">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2F0DE7" w14:paraId="2CC2C83A" w14:textId="77777777">
        <w:tc>
          <w:tcPr>
            <w:tcW w:w="1362" w:type="dxa"/>
          </w:tcPr>
          <w:p w14:paraId="533F579C" w14:textId="77777777" w:rsidR="002F0DE7" w:rsidRDefault="002F0DE7">
            <w:pPr>
              <w:spacing w:after="80" w:line="320" w:lineRule="exact"/>
              <w:rPr>
                <w:b/>
                <w:bCs/>
              </w:rPr>
            </w:pPr>
            <w:bookmarkStart w:id="1" w:name="FirstAppellant"/>
            <w:r>
              <w:rPr>
                <w:rFonts w:hint="cs"/>
                <w:b/>
                <w:bCs/>
                <w:rtl/>
              </w:rPr>
              <w:t>בעניין:</w:t>
            </w:r>
          </w:p>
        </w:tc>
        <w:tc>
          <w:tcPr>
            <w:tcW w:w="4820" w:type="dxa"/>
            <w:gridSpan w:val="2"/>
          </w:tcPr>
          <w:p w14:paraId="4010EF36" w14:textId="77777777" w:rsidR="002F0DE7" w:rsidRDefault="002F0DE7">
            <w:pPr>
              <w:spacing w:after="80" w:line="320" w:lineRule="exact"/>
              <w:rPr>
                <w:b/>
                <w:bCs/>
              </w:rPr>
            </w:pPr>
            <w:r>
              <w:rPr>
                <w:rFonts w:hint="cs"/>
                <w:b/>
                <w:bCs/>
                <w:rtl/>
              </w:rPr>
              <w:t>מדינת ישראל</w:t>
            </w:r>
          </w:p>
        </w:tc>
        <w:tc>
          <w:tcPr>
            <w:tcW w:w="2324" w:type="dxa"/>
          </w:tcPr>
          <w:p w14:paraId="64B5C7E7" w14:textId="77777777" w:rsidR="002F0DE7" w:rsidRDefault="002F0DE7">
            <w:pPr>
              <w:spacing w:after="80" w:line="320" w:lineRule="exact"/>
              <w:rPr>
                <w:b/>
                <w:bCs/>
              </w:rPr>
            </w:pPr>
          </w:p>
        </w:tc>
      </w:tr>
      <w:bookmarkEnd w:id="1"/>
      <w:tr w:rsidR="002F0DE7" w14:paraId="1BB5CEC7" w14:textId="77777777">
        <w:tc>
          <w:tcPr>
            <w:tcW w:w="1362" w:type="dxa"/>
          </w:tcPr>
          <w:p w14:paraId="478834B5" w14:textId="77777777" w:rsidR="002F0DE7" w:rsidRDefault="002F0DE7">
            <w:pPr>
              <w:pStyle w:val="a"/>
              <w:suppressLineNumbers w:val="0"/>
              <w:spacing w:after="80" w:line="320" w:lineRule="exact"/>
              <w:rPr>
                <w:szCs w:val="26"/>
              </w:rPr>
            </w:pPr>
          </w:p>
        </w:tc>
        <w:tc>
          <w:tcPr>
            <w:tcW w:w="1757" w:type="dxa"/>
          </w:tcPr>
          <w:p w14:paraId="4F5AE336" w14:textId="77777777" w:rsidR="002F0DE7" w:rsidRDefault="002F0DE7">
            <w:pPr>
              <w:pStyle w:val="a"/>
              <w:suppressLineNumbers w:val="0"/>
              <w:spacing w:after="80" w:line="320" w:lineRule="exact"/>
            </w:pPr>
          </w:p>
        </w:tc>
        <w:tc>
          <w:tcPr>
            <w:tcW w:w="3063" w:type="dxa"/>
          </w:tcPr>
          <w:p w14:paraId="6CCB7830" w14:textId="77777777" w:rsidR="002F0DE7" w:rsidRDefault="002F0DE7">
            <w:pPr>
              <w:pStyle w:val="a"/>
              <w:suppressLineNumbers w:val="0"/>
              <w:spacing w:after="80" w:line="320" w:lineRule="exact"/>
            </w:pPr>
          </w:p>
        </w:tc>
        <w:tc>
          <w:tcPr>
            <w:tcW w:w="2324" w:type="dxa"/>
          </w:tcPr>
          <w:p w14:paraId="54CEC704" w14:textId="77777777" w:rsidR="002F0DE7" w:rsidRDefault="002F0DE7">
            <w:pPr>
              <w:pStyle w:val="a"/>
              <w:suppressLineNumbers w:val="0"/>
              <w:spacing w:after="80" w:line="320" w:lineRule="exact"/>
            </w:pPr>
            <w:r>
              <w:rPr>
                <w:rFonts w:hint="cs"/>
                <w:rtl/>
              </w:rPr>
              <w:t>המאשימה</w:t>
            </w:r>
          </w:p>
        </w:tc>
      </w:tr>
      <w:tr w:rsidR="002F0DE7" w14:paraId="71FBAF8C" w14:textId="77777777">
        <w:tc>
          <w:tcPr>
            <w:tcW w:w="1362" w:type="dxa"/>
          </w:tcPr>
          <w:p w14:paraId="28CA7878" w14:textId="77777777" w:rsidR="002F0DE7" w:rsidRDefault="002F0DE7">
            <w:pPr>
              <w:pStyle w:val="a"/>
              <w:suppressLineNumbers w:val="0"/>
              <w:spacing w:after="80" w:line="320" w:lineRule="exact"/>
            </w:pPr>
          </w:p>
        </w:tc>
        <w:tc>
          <w:tcPr>
            <w:tcW w:w="4820" w:type="dxa"/>
            <w:gridSpan w:val="2"/>
          </w:tcPr>
          <w:p w14:paraId="7A7C54B4" w14:textId="77777777" w:rsidR="002F0DE7" w:rsidRDefault="002F0DE7">
            <w:pPr>
              <w:pStyle w:val="a"/>
              <w:suppressLineNumbers w:val="0"/>
              <w:spacing w:after="80" w:line="320" w:lineRule="exact"/>
              <w:rPr>
                <w:sz w:val="26"/>
                <w:szCs w:val="28"/>
              </w:rPr>
            </w:pPr>
          </w:p>
          <w:p w14:paraId="0ECA77AD" w14:textId="77777777" w:rsidR="002F0DE7" w:rsidRDefault="002F0DE7">
            <w:pPr>
              <w:pStyle w:val="a"/>
              <w:suppressLineNumbers w:val="0"/>
              <w:spacing w:after="80" w:line="320" w:lineRule="exact"/>
              <w:rPr>
                <w:rFonts w:hint="cs"/>
                <w:sz w:val="26"/>
                <w:szCs w:val="28"/>
                <w:rtl/>
              </w:rPr>
            </w:pPr>
            <w:r>
              <w:rPr>
                <w:rFonts w:hint="cs"/>
                <w:sz w:val="26"/>
                <w:szCs w:val="28"/>
                <w:rtl/>
              </w:rPr>
              <w:t xml:space="preserve">- נ ג ד - </w:t>
            </w:r>
          </w:p>
          <w:p w14:paraId="085DEC1C" w14:textId="77777777" w:rsidR="002F0DE7" w:rsidRDefault="002F0DE7">
            <w:pPr>
              <w:pStyle w:val="a"/>
              <w:suppressLineNumbers w:val="0"/>
              <w:spacing w:after="80" w:line="320" w:lineRule="exact"/>
            </w:pPr>
          </w:p>
        </w:tc>
        <w:tc>
          <w:tcPr>
            <w:tcW w:w="2324" w:type="dxa"/>
          </w:tcPr>
          <w:p w14:paraId="1637B3DC" w14:textId="77777777" w:rsidR="002F0DE7" w:rsidRDefault="002F0DE7">
            <w:pPr>
              <w:pStyle w:val="a"/>
              <w:suppressLineNumbers w:val="0"/>
              <w:spacing w:after="80" w:line="320" w:lineRule="exact"/>
            </w:pPr>
          </w:p>
        </w:tc>
      </w:tr>
      <w:tr w:rsidR="002F0DE7" w14:paraId="077805F4" w14:textId="77777777">
        <w:tc>
          <w:tcPr>
            <w:tcW w:w="1362" w:type="dxa"/>
          </w:tcPr>
          <w:p w14:paraId="5F8A89A4" w14:textId="77777777" w:rsidR="002F0DE7" w:rsidRDefault="002F0DE7">
            <w:pPr>
              <w:pStyle w:val="a"/>
              <w:suppressLineNumbers w:val="0"/>
              <w:spacing w:after="80" w:line="320" w:lineRule="exact"/>
              <w:rPr>
                <w:szCs w:val="26"/>
              </w:rPr>
            </w:pPr>
            <w:bookmarkStart w:id="2" w:name="שם_ב" w:colFirst="1" w:colLast="1"/>
          </w:p>
        </w:tc>
        <w:tc>
          <w:tcPr>
            <w:tcW w:w="4820" w:type="dxa"/>
            <w:gridSpan w:val="2"/>
          </w:tcPr>
          <w:p w14:paraId="60CF351D" w14:textId="77777777" w:rsidR="002F0DE7" w:rsidRDefault="002F0DE7">
            <w:pPr>
              <w:pStyle w:val="a"/>
              <w:suppressLineNumbers w:val="0"/>
              <w:spacing w:after="80" w:line="320" w:lineRule="exact"/>
            </w:pPr>
            <w:r>
              <w:rPr>
                <w:rFonts w:hint="cs"/>
                <w:rtl/>
              </w:rPr>
              <w:t>רפאל פרץ</w:t>
            </w:r>
          </w:p>
        </w:tc>
        <w:tc>
          <w:tcPr>
            <w:tcW w:w="2324" w:type="dxa"/>
          </w:tcPr>
          <w:p w14:paraId="08357FE4" w14:textId="77777777" w:rsidR="002F0DE7" w:rsidRDefault="002F0DE7">
            <w:pPr>
              <w:pStyle w:val="a"/>
              <w:suppressLineNumbers w:val="0"/>
              <w:spacing w:after="80" w:line="320" w:lineRule="exact"/>
            </w:pPr>
          </w:p>
        </w:tc>
      </w:tr>
      <w:bookmarkEnd w:id="2"/>
      <w:tr w:rsidR="002F0DE7" w14:paraId="2232B4CE" w14:textId="77777777">
        <w:tc>
          <w:tcPr>
            <w:tcW w:w="1362" w:type="dxa"/>
          </w:tcPr>
          <w:p w14:paraId="228916FE" w14:textId="77777777" w:rsidR="002F0DE7" w:rsidRDefault="002F0DE7">
            <w:pPr>
              <w:pStyle w:val="a"/>
              <w:suppressLineNumbers w:val="0"/>
              <w:spacing w:after="80" w:line="320" w:lineRule="exact"/>
              <w:rPr>
                <w:szCs w:val="26"/>
              </w:rPr>
            </w:pPr>
          </w:p>
        </w:tc>
        <w:tc>
          <w:tcPr>
            <w:tcW w:w="1757" w:type="dxa"/>
          </w:tcPr>
          <w:p w14:paraId="0043CE57" w14:textId="77777777" w:rsidR="002F0DE7" w:rsidRDefault="002F0DE7">
            <w:pPr>
              <w:pStyle w:val="a"/>
              <w:suppressLineNumbers w:val="0"/>
              <w:spacing w:after="80" w:line="320" w:lineRule="exact"/>
            </w:pPr>
          </w:p>
        </w:tc>
        <w:tc>
          <w:tcPr>
            <w:tcW w:w="3063" w:type="dxa"/>
          </w:tcPr>
          <w:p w14:paraId="444F9EB2" w14:textId="77777777" w:rsidR="002F0DE7" w:rsidRDefault="002F0DE7">
            <w:pPr>
              <w:pStyle w:val="a"/>
              <w:suppressLineNumbers w:val="0"/>
              <w:spacing w:after="80" w:line="320" w:lineRule="exact"/>
            </w:pPr>
          </w:p>
        </w:tc>
        <w:tc>
          <w:tcPr>
            <w:tcW w:w="2324" w:type="dxa"/>
          </w:tcPr>
          <w:p w14:paraId="3D87EA42" w14:textId="77777777" w:rsidR="002F0DE7" w:rsidRDefault="002F0DE7">
            <w:pPr>
              <w:pStyle w:val="a"/>
              <w:suppressLineNumbers w:val="0"/>
              <w:spacing w:after="80" w:line="320" w:lineRule="exact"/>
            </w:pPr>
            <w:r>
              <w:rPr>
                <w:rFonts w:hint="cs"/>
                <w:rtl/>
              </w:rPr>
              <w:t>הנאשם</w:t>
            </w:r>
          </w:p>
        </w:tc>
      </w:tr>
    </w:tbl>
    <w:p w14:paraId="0E4EF99D" w14:textId="77777777" w:rsidR="002F0DE7" w:rsidRDefault="002F0DE7">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2F0DE7" w14:paraId="454C3CF3" w14:textId="77777777">
        <w:tc>
          <w:tcPr>
            <w:tcW w:w="1276" w:type="dxa"/>
          </w:tcPr>
          <w:p w14:paraId="06CAA70C" w14:textId="77777777" w:rsidR="002F0DE7" w:rsidRDefault="002F0DE7">
            <w:pPr>
              <w:pStyle w:val="a"/>
              <w:spacing w:line="240" w:lineRule="auto"/>
              <w:rPr>
                <w:sz w:val="24"/>
              </w:rPr>
            </w:pPr>
            <w:bookmarkStart w:id="3" w:name="FirstLawyer"/>
            <w:r>
              <w:rPr>
                <w:rFonts w:hint="cs"/>
                <w:sz w:val="24"/>
                <w:rtl/>
              </w:rPr>
              <w:t>נוכחים:</w:t>
            </w:r>
          </w:p>
        </w:tc>
        <w:tc>
          <w:tcPr>
            <w:tcW w:w="7230" w:type="dxa"/>
          </w:tcPr>
          <w:p w14:paraId="277734E1" w14:textId="77777777" w:rsidR="002F0DE7" w:rsidRDefault="002F0DE7">
            <w:pPr>
              <w:pStyle w:val="a"/>
              <w:spacing w:line="240" w:lineRule="auto"/>
            </w:pPr>
            <w:r>
              <w:rPr>
                <w:rFonts w:hint="cs"/>
                <w:rtl/>
              </w:rPr>
              <w:t>ב"כ המאשימה - מתמחה גב' שרון בורובסקי</w:t>
            </w:r>
          </w:p>
          <w:p w14:paraId="23345416" w14:textId="77777777" w:rsidR="002F0DE7" w:rsidRDefault="002F0DE7">
            <w:pPr>
              <w:pStyle w:val="a"/>
              <w:spacing w:line="240" w:lineRule="auto"/>
              <w:rPr>
                <w:rFonts w:hint="cs"/>
                <w:rtl/>
              </w:rPr>
            </w:pPr>
            <w:r>
              <w:rPr>
                <w:rFonts w:hint="cs"/>
                <w:rtl/>
              </w:rPr>
              <w:t xml:space="preserve">ב"כ הנאשם - עו"ד גב' סיגל לטי </w:t>
            </w:r>
          </w:p>
          <w:p w14:paraId="298A9A3F" w14:textId="77777777" w:rsidR="002F0DE7" w:rsidRDefault="002F0DE7">
            <w:pPr>
              <w:pStyle w:val="a"/>
              <w:spacing w:line="240" w:lineRule="auto"/>
            </w:pPr>
            <w:r>
              <w:rPr>
                <w:rFonts w:hint="cs"/>
                <w:rtl/>
              </w:rPr>
              <w:t xml:space="preserve">הנאשם - בעצמו </w:t>
            </w:r>
          </w:p>
        </w:tc>
      </w:tr>
    </w:tbl>
    <w:p w14:paraId="18CB1CDB" w14:textId="77777777" w:rsidR="00173E1B" w:rsidRDefault="00173E1B">
      <w:pPr>
        <w:rPr>
          <w:rtl/>
        </w:rPr>
      </w:pPr>
      <w:bookmarkStart w:id="4" w:name="LawTable"/>
      <w:bookmarkEnd w:id="3"/>
      <w:bookmarkEnd w:id="4"/>
    </w:p>
    <w:p w14:paraId="431ECA96" w14:textId="77777777" w:rsidR="00173E1B" w:rsidRPr="00173E1B" w:rsidRDefault="00173E1B" w:rsidP="00173E1B">
      <w:pPr>
        <w:spacing w:after="120" w:line="240" w:lineRule="exact"/>
        <w:ind w:left="283" w:hanging="283"/>
        <w:rPr>
          <w:rFonts w:ascii="FrankRuehl" w:hAnsi="FrankRuehl" w:cs="FrankRuehl"/>
          <w:sz w:val="24"/>
          <w:rtl/>
        </w:rPr>
      </w:pPr>
    </w:p>
    <w:p w14:paraId="0F4EABD8" w14:textId="77777777" w:rsidR="00173E1B" w:rsidRPr="00173E1B" w:rsidRDefault="00173E1B" w:rsidP="00173E1B">
      <w:pPr>
        <w:spacing w:after="120" w:line="240" w:lineRule="exact"/>
        <w:ind w:left="283" w:hanging="283"/>
        <w:rPr>
          <w:rFonts w:ascii="FrankRuehl" w:hAnsi="FrankRuehl" w:cs="FrankRuehl"/>
          <w:sz w:val="24"/>
          <w:rtl/>
        </w:rPr>
      </w:pPr>
      <w:r w:rsidRPr="00173E1B">
        <w:rPr>
          <w:rFonts w:ascii="FrankRuehl" w:hAnsi="FrankRuehl" w:cs="FrankRuehl"/>
          <w:sz w:val="24"/>
          <w:rtl/>
        </w:rPr>
        <w:t xml:space="preserve">חקיקה שאוזכרה: </w:t>
      </w:r>
    </w:p>
    <w:p w14:paraId="58233EA8" w14:textId="77777777" w:rsidR="00173E1B" w:rsidRPr="00173E1B" w:rsidRDefault="00173E1B" w:rsidP="00173E1B">
      <w:pPr>
        <w:spacing w:after="120" w:line="240" w:lineRule="exact"/>
        <w:ind w:left="283" w:hanging="283"/>
        <w:rPr>
          <w:rFonts w:ascii="FrankRuehl" w:hAnsi="FrankRuehl" w:cs="FrankRuehl"/>
          <w:color w:val="0000FF"/>
          <w:sz w:val="24"/>
          <w:u w:val="single"/>
          <w:rtl/>
        </w:rPr>
      </w:pPr>
      <w:hyperlink r:id="rId6" w:history="1">
        <w:r w:rsidRPr="00173E1B">
          <w:rPr>
            <w:rStyle w:val="Hyperlink"/>
            <w:rFonts w:ascii="FrankRuehl" w:hAnsi="FrankRuehl" w:cs="FrankRuehl"/>
            <w:sz w:val="24"/>
            <w:rtl/>
          </w:rPr>
          <w:t>חוק העונשין, תשל"ז-1977</w:t>
        </w:r>
      </w:hyperlink>
      <w:r w:rsidRPr="00173E1B">
        <w:rPr>
          <w:rFonts w:ascii="FrankRuehl" w:hAnsi="FrankRuehl" w:cs="FrankRuehl"/>
          <w:color w:val="0000FF"/>
          <w:sz w:val="24"/>
          <w:u w:val="single"/>
          <w:rtl/>
        </w:rPr>
        <w:t xml:space="preserve">: סע'  </w:t>
      </w:r>
      <w:hyperlink r:id="rId7" w:history="1">
        <w:r w:rsidRPr="00173E1B">
          <w:rPr>
            <w:rStyle w:val="Hyperlink"/>
            <w:rFonts w:ascii="FrankRuehl" w:hAnsi="FrankRuehl" w:cs="FrankRuehl"/>
            <w:sz w:val="24"/>
          </w:rPr>
          <w:t>345</w:t>
        </w:r>
      </w:hyperlink>
      <w:r w:rsidRPr="00173E1B">
        <w:rPr>
          <w:rFonts w:ascii="FrankRuehl" w:hAnsi="FrankRuehl" w:cs="FrankRuehl"/>
          <w:color w:val="0000FF"/>
          <w:sz w:val="24"/>
          <w:u w:val="single"/>
          <w:rtl/>
        </w:rPr>
        <w:t xml:space="preserve">, </w:t>
      </w:r>
      <w:hyperlink r:id="rId8" w:history="1">
        <w:r w:rsidRPr="00173E1B">
          <w:rPr>
            <w:rStyle w:val="Hyperlink"/>
            <w:rFonts w:ascii="FrankRuehl" w:hAnsi="FrankRuehl" w:cs="FrankRuehl"/>
            <w:sz w:val="24"/>
          </w:rPr>
          <w:t>348(</w:t>
        </w:r>
        <w:r w:rsidRPr="00173E1B">
          <w:rPr>
            <w:rStyle w:val="Hyperlink"/>
            <w:rFonts w:ascii="FrankRuehl" w:hAnsi="FrankRuehl" w:cs="FrankRuehl"/>
            <w:sz w:val="24"/>
            <w:rtl/>
          </w:rPr>
          <w:t>ג</w:t>
        </w:r>
        <w:r w:rsidRPr="00173E1B">
          <w:rPr>
            <w:rStyle w:val="Hyperlink"/>
            <w:rFonts w:ascii="FrankRuehl" w:hAnsi="FrankRuehl" w:cs="FrankRuehl"/>
            <w:sz w:val="24"/>
          </w:rPr>
          <w:t>)</w:t>
        </w:r>
      </w:hyperlink>
      <w:r w:rsidRPr="00173E1B">
        <w:rPr>
          <w:rFonts w:ascii="FrankRuehl" w:hAnsi="FrankRuehl" w:cs="FrankRuehl"/>
          <w:color w:val="0000FF"/>
          <w:sz w:val="24"/>
          <w:u w:val="single"/>
          <w:rtl/>
        </w:rPr>
        <w:t xml:space="preserve">, </w:t>
      </w:r>
      <w:hyperlink r:id="rId9" w:history="1">
        <w:r w:rsidRPr="00173E1B">
          <w:rPr>
            <w:rStyle w:val="Hyperlink"/>
            <w:rFonts w:ascii="FrankRuehl" w:hAnsi="FrankRuehl" w:cs="FrankRuehl"/>
            <w:sz w:val="24"/>
          </w:rPr>
          <w:t>348(</w:t>
        </w:r>
        <w:r w:rsidRPr="00173E1B">
          <w:rPr>
            <w:rStyle w:val="Hyperlink"/>
            <w:rFonts w:ascii="FrankRuehl" w:hAnsi="FrankRuehl" w:cs="FrankRuehl"/>
            <w:sz w:val="24"/>
            <w:rtl/>
          </w:rPr>
          <w:t>ו</w:t>
        </w:r>
        <w:r w:rsidRPr="00173E1B">
          <w:rPr>
            <w:rStyle w:val="Hyperlink"/>
            <w:rFonts w:ascii="FrankRuehl" w:hAnsi="FrankRuehl" w:cs="FrankRuehl"/>
            <w:sz w:val="24"/>
          </w:rPr>
          <w:t>)</w:t>
        </w:r>
      </w:hyperlink>
    </w:p>
    <w:p w14:paraId="5B278DEB" w14:textId="77777777" w:rsidR="00173E1B" w:rsidRPr="00173E1B" w:rsidRDefault="00173E1B" w:rsidP="00173E1B">
      <w:pPr>
        <w:spacing w:after="120" w:line="240" w:lineRule="exact"/>
        <w:ind w:left="283" w:hanging="283"/>
        <w:rPr>
          <w:rFonts w:ascii="FrankRuehl" w:hAnsi="FrankRuehl" w:cs="FrankRuehl"/>
          <w:color w:val="0000FF"/>
          <w:sz w:val="24"/>
          <w:u w:val="single"/>
          <w:rtl/>
        </w:rPr>
      </w:pPr>
      <w:hyperlink r:id="rId10" w:history="1">
        <w:r w:rsidRPr="00173E1B">
          <w:rPr>
            <w:rStyle w:val="Hyperlink"/>
            <w:rFonts w:ascii="FrankRuehl" w:hAnsi="FrankRuehl" w:cs="FrankRuehl"/>
            <w:sz w:val="24"/>
            <w:rtl/>
          </w:rPr>
          <w:t>חוק למניעת הטרדה מינית, תשנ"ח-1998</w:t>
        </w:r>
      </w:hyperlink>
      <w:r w:rsidRPr="00173E1B">
        <w:rPr>
          <w:rFonts w:ascii="FrankRuehl" w:hAnsi="FrankRuehl" w:cs="FrankRuehl"/>
          <w:color w:val="0000FF"/>
          <w:sz w:val="24"/>
          <w:u w:val="single"/>
          <w:rtl/>
        </w:rPr>
        <w:t xml:space="preserve">: סע'  </w:t>
      </w:r>
      <w:hyperlink r:id="rId11" w:history="1">
        <w:r w:rsidRPr="00173E1B">
          <w:rPr>
            <w:rStyle w:val="Hyperlink"/>
            <w:rFonts w:ascii="FrankRuehl" w:hAnsi="FrankRuehl" w:cs="FrankRuehl"/>
            <w:sz w:val="24"/>
          </w:rPr>
          <w:t>1</w:t>
        </w:r>
      </w:hyperlink>
      <w:r w:rsidRPr="00173E1B">
        <w:rPr>
          <w:rFonts w:ascii="FrankRuehl" w:hAnsi="FrankRuehl" w:cs="FrankRuehl"/>
          <w:color w:val="0000FF"/>
          <w:sz w:val="24"/>
          <w:u w:val="single"/>
          <w:rtl/>
        </w:rPr>
        <w:t xml:space="preserve">, </w:t>
      </w:r>
      <w:hyperlink r:id="rId12" w:history="1">
        <w:r w:rsidRPr="00173E1B">
          <w:rPr>
            <w:rStyle w:val="Hyperlink"/>
            <w:rFonts w:ascii="FrankRuehl" w:hAnsi="FrankRuehl" w:cs="FrankRuehl"/>
            <w:sz w:val="24"/>
          </w:rPr>
          <w:t>3</w:t>
        </w:r>
      </w:hyperlink>
      <w:r w:rsidRPr="00173E1B">
        <w:rPr>
          <w:rFonts w:ascii="FrankRuehl" w:hAnsi="FrankRuehl" w:cs="FrankRuehl"/>
          <w:color w:val="0000FF"/>
          <w:sz w:val="24"/>
          <w:u w:val="single"/>
          <w:rtl/>
        </w:rPr>
        <w:t xml:space="preserve">, </w:t>
      </w:r>
      <w:hyperlink r:id="rId13" w:history="1">
        <w:r w:rsidRPr="00173E1B">
          <w:rPr>
            <w:rStyle w:val="Hyperlink"/>
            <w:rFonts w:ascii="FrankRuehl" w:hAnsi="FrankRuehl" w:cs="FrankRuehl"/>
            <w:sz w:val="24"/>
          </w:rPr>
          <w:t>3.</w:t>
        </w:r>
        <w:r w:rsidRPr="00173E1B">
          <w:rPr>
            <w:rStyle w:val="Hyperlink"/>
            <w:rFonts w:ascii="FrankRuehl" w:hAnsi="FrankRuehl" w:cs="FrankRuehl"/>
            <w:sz w:val="24"/>
            <w:rtl/>
          </w:rPr>
          <w:t>א.3</w:t>
        </w:r>
        <w:r w:rsidRPr="00173E1B">
          <w:rPr>
            <w:rStyle w:val="Hyperlink"/>
            <w:rFonts w:ascii="FrankRuehl" w:hAnsi="FrankRuehl" w:cs="FrankRuehl"/>
            <w:sz w:val="24"/>
          </w:rPr>
          <w:t>.</w:t>
        </w:r>
      </w:hyperlink>
      <w:r w:rsidRPr="00173E1B">
        <w:rPr>
          <w:rFonts w:ascii="FrankRuehl" w:hAnsi="FrankRuehl" w:cs="FrankRuehl"/>
          <w:color w:val="0000FF"/>
          <w:sz w:val="24"/>
          <w:u w:val="single"/>
          <w:rtl/>
        </w:rPr>
        <w:t xml:space="preserve">, </w:t>
      </w:r>
      <w:hyperlink r:id="rId14" w:history="1">
        <w:r w:rsidRPr="00173E1B">
          <w:rPr>
            <w:rStyle w:val="Hyperlink"/>
            <w:rFonts w:ascii="FrankRuehl" w:hAnsi="FrankRuehl" w:cs="FrankRuehl"/>
            <w:sz w:val="24"/>
          </w:rPr>
          <w:t>3.</w:t>
        </w:r>
        <w:r w:rsidRPr="00173E1B">
          <w:rPr>
            <w:rStyle w:val="Hyperlink"/>
            <w:rFonts w:ascii="FrankRuehl" w:hAnsi="FrankRuehl" w:cs="FrankRuehl"/>
            <w:sz w:val="24"/>
            <w:rtl/>
          </w:rPr>
          <w:t>א.4</w:t>
        </w:r>
        <w:r w:rsidRPr="00173E1B">
          <w:rPr>
            <w:rStyle w:val="Hyperlink"/>
            <w:rFonts w:ascii="FrankRuehl" w:hAnsi="FrankRuehl" w:cs="FrankRuehl"/>
            <w:sz w:val="24"/>
          </w:rPr>
          <w:t>.</w:t>
        </w:r>
      </w:hyperlink>
      <w:r w:rsidRPr="00173E1B">
        <w:rPr>
          <w:rFonts w:ascii="FrankRuehl" w:hAnsi="FrankRuehl" w:cs="FrankRuehl"/>
          <w:color w:val="0000FF"/>
          <w:sz w:val="24"/>
          <w:u w:val="single"/>
          <w:rtl/>
        </w:rPr>
        <w:t xml:space="preserve">, </w:t>
      </w:r>
      <w:hyperlink r:id="rId15" w:history="1">
        <w:r w:rsidRPr="00173E1B">
          <w:rPr>
            <w:rStyle w:val="Hyperlink"/>
            <w:rFonts w:ascii="FrankRuehl" w:hAnsi="FrankRuehl" w:cs="FrankRuehl"/>
            <w:sz w:val="24"/>
          </w:rPr>
          <w:t>3(</w:t>
        </w:r>
        <w:r w:rsidRPr="00173E1B">
          <w:rPr>
            <w:rStyle w:val="Hyperlink"/>
            <w:rFonts w:ascii="FrankRuehl" w:hAnsi="FrankRuehl" w:cs="FrankRuehl"/>
            <w:sz w:val="24"/>
            <w:rtl/>
          </w:rPr>
          <w:t>ד</w:t>
        </w:r>
        <w:r w:rsidRPr="00173E1B">
          <w:rPr>
            <w:rStyle w:val="Hyperlink"/>
            <w:rFonts w:ascii="FrankRuehl" w:hAnsi="FrankRuehl" w:cs="FrankRuehl"/>
            <w:sz w:val="24"/>
          </w:rPr>
          <w:t>)</w:t>
        </w:r>
      </w:hyperlink>
      <w:r w:rsidRPr="00173E1B">
        <w:rPr>
          <w:rFonts w:ascii="FrankRuehl" w:hAnsi="FrankRuehl" w:cs="FrankRuehl"/>
          <w:color w:val="0000FF"/>
          <w:sz w:val="24"/>
          <w:u w:val="single"/>
          <w:rtl/>
        </w:rPr>
        <w:t xml:space="preserve">, </w:t>
      </w:r>
      <w:hyperlink r:id="rId16" w:history="1">
        <w:r w:rsidRPr="00173E1B">
          <w:rPr>
            <w:rStyle w:val="Hyperlink"/>
            <w:rFonts w:ascii="FrankRuehl" w:hAnsi="FrankRuehl" w:cs="FrankRuehl"/>
            <w:sz w:val="24"/>
          </w:rPr>
          <w:t>(4)</w:t>
        </w:r>
      </w:hyperlink>
      <w:r w:rsidRPr="00173E1B">
        <w:rPr>
          <w:rFonts w:ascii="FrankRuehl" w:hAnsi="FrankRuehl" w:cs="FrankRuehl"/>
          <w:color w:val="0000FF"/>
          <w:sz w:val="24"/>
          <w:u w:val="single"/>
          <w:rtl/>
        </w:rPr>
        <w:t xml:space="preserve">, </w:t>
      </w:r>
      <w:hyperlink r:id="rId17" w:history="1">
        <w:r w:rsidRPr="00173E1B">
          <w:rPr>
            <w:rStyle w:val="Hyperlink"/>
            <w:rFonts w:ascii="FrankRuehl" w:hAnsi="FrankRuehl" w:cs="FrankRuehl"/>
            <w:sz w:val="24"/>
          </w:rPr>
          <w:t>4</w:t>
        </w:r>
      </w:hyperlink>
      <w:r w:rsidRPr="00173E1B">
        <w:rPr>
          <w:rFonts w:ascii="FrankRuehl" w:hAnsi="FrankRuehl" w:cs="FrankRuehl"/>
          <w:color w:val="0000FF"/>
          <w:sz w:val="24"/>
          <w:u w:val="single"/>
          <w:rtl/>
        </w:rPr>
        <w:t xml:space="preserve">, </w:t>
      </w:r>
      <w:hyperlink r:id="rId18" w:history="1">
        <w:r w:rsidRPr="00173E1B">
          <w:rPr>
            <w:rStyle w:val="Hyperlink"/>
            <w:rFonts w:ascii="FrankRuehl" w:hAnsi="FrankRuehl" w:cs="FrankRuehl"/>
            <w:sz w:val="24"/>
          </w:rPr>
          <w:t>4.</w:t>
        </w:r>
        <w:r w:rsidRPr="00173E1B">
          <w:rPr>
            <w:rStyle w:val="Hyperlink"/>
            <w:rFonts w:ascii="FrankRuehl" w:hAnsi="FrankRuehl" w:cs="FrankRuehl"/>
            <w:sz w:val="24"/>
            <w:rtl/>
          </w:rPr>
          <w:t>א</w:t>
        </w:r>
      </w:hyperlink>
      <w:r w:rsidRPr="00173E1B">
        <w:rPr>
          <w:rFonts w:ascii="FrankRuehl" w:hAnsi="FrankRuehl" w:cs="FrankRuehl"/>
          <w:color w:val="0000FF"/>
          <w:sz w:val="24"/>
          <w:u w:val="single"/>
          <w:rtl/>
        </w:rPr>
        <w:t xml:space="preserve">, </w:t>
      </w:r>
      <w:hyperlink r:id="rId19" w:history="1">
        <w:r w:rsidRPr="00173E1B">
          <w:rPr>
            <w:rStyle w:val="Hyperlink"/>
            <w:rFonts w:ascii="FrankRuehl" w:hAnsi="FrankRuehl" w:cs="FrankRuehl"/>
            <w:sz w:val="24"/>
          </w:rPr>
          <w:t>5</w:t>
        </w:r>
      </w:hyperlink>
      <w:r w:rsidRPr="00173E1B">
        <w:rPr>
          <w:rFonts w:ascii="FrankRuehl" w:hAnsi="FrankRuehl" w:cs="FrankRuehl"/>
          <w:color w:val="0000FF"/>
          <w:sz w:val="24"/>
          <w:u w:val="single"/>
          <w:rtl/>
        </w:rPr>
        <w:t xml:space="preserve">, </w:t>
      </w:r>
      <w:hyperlink r:id="rId20" w:history="1">
        <w:r w:rsidRPr="00173E1B">
          <w:rPr>
            <w:rStyle w:val="Hyperlink"/>
            <w:rFonts w:ascii="FrankRuehl" w:hAnsi="FrankRuehl" w:cs="FrankRuehl"/>
            <w:sz w:val="24"/>
          </w:rPr>
          <w:t>5(</w:t>
        </w:r>
        <w:r w:rsidRPr="00173E1B">
          <w:rPr>
            <w:rStyle w:val="Hyperlink"/>
            <w:rFonts w:ascii="FrankRuehl" w:hAnsi="FrankRuehl" w:cs="FrankRuehl"/>
            <w:sz w:val="24"/>
            <w:rtl/>
          </w:rPr>
          <w:t>א</w:t>
        </w:r>
        <w:r w:rsidRPr="00173E1B">
          <w:rPr>
            <w:rStyle w:val="Hyperlink"/>
            <w:rFonts w:ascii="FrankRuehl" w:hAnsi="FrankRuehl" w:cs="FrankRuehl"/>
            <w:sz w:val="24"/>
          </w:rPr>
          <w:t>)</w:t>
        </w:r>
      </w:hyperlink>
    </w:p>
    <w:p w14:paraId="177C56E0" w14:textId="77777777" w:rsidR="00173E1B" w:rsidRPr="00173E1B" w:rsidRDefault="00173E1B" w:rsidP="00173E1B">
      <w:pPr>
        <w:spacing w:after="120" w:line="240" w:lineRule="exact"/>
        <w:ind w:left="283" w:hanging="283"/>
        <w:rPr>
          <w:rFonts w:ascii="FrankRuehl" w:hAnsi="FrankRuehl" w:cs="FrankRuehl"/>
          <w:color w:val="0000FF"/>
          <w:sz w:val="24"/>
          <w:u w:val="single"/>
          <w:rtl/>
        </w:rPr>
      </w:pPr>
      <w:hyperlink r:id="rId21" w:history="1">
        <w:r w:rsidRPr="00173E1B">
          <w:rPr>
            <w:rStyle w:val="Hyperlink"/>
            <w:rFonts w:ascii="FrankRuehl" w:hAnsi="FrankRuehl" w:cs="FrankRuehl"/>
            <w:sz w:val="24"/>
            <w:rtl/>
          </w:rPr>
          <w:t>פקודת הראיות [נוסח חדש], תשל"א-1971</w:t>
        </w:r>
      </w:hyperlink>
      <w:r w:rsidRPr="00173E1B">
        <w:rPr>
          <w:rFonts w:ascii="FrankRuehl" w:hAnsi="FrankRuehl" w:cs="FrankRuehl"/>
          <w:color w:val="0000FF"/>
          <w:sz w:val="24"/>
          <w:u w:val="single"/>
          <w:rtl/>
        </w:rPr>
        <w:t xml:space="preserve">: סע'  </w:t>
      </w:r>
      <w:hyperlink r:id="rId22" w:history="1">
        <w:r w:rsidRPr="00173E1B">
          <w:rPr>
            <w:rStyle w:val="Hyperlink"/>
            <w:rFonts w:ascii="FrankRuehl" w:hAnsi="FrankRuehl" w:cs="FrankRuehl"/>
            <w:sz w:val="24"/>
          </w:rPr>
          <w:t>53</w:t>
        </w:r>
      </w:hyperlink>
    </w:p>
    <w:p w14:paraId="181D9570" w14:textId="77777777" w:rsidR="00173E1B" w:rsidRPr="00173E1B" w:rsidRDefault="00173E1B" w:rsidP="00173E1B">
      <w:pPr>
        <w:spacing w:after="120" w:line="240" w:lineRule="exact"/>
        <w:ind w:left="283" w:hanging="283"/>
        <w:rPr>
          <w:rFonts w:ascii="FrankRuehl" w:hAnsi="FrankRuehl" w:cs="FrankRuehl"/>
          <w:sz w:val="24"/>
          <w:rtl/>
        </w:rPr>
      </w:pPr>
    </w:p>
    <w:p w14:paraId="41FA96CB" w14:textId="77777777" w:rsidR="00173E1B" w:rsidRPr="00173E1B" w:rsidRDefault="00173E1B">
      <w:pPr>
        <w:rPr>
          <w:rtl/>
        </w:rPr>
      </w:pPr>
      <w:bookmarkStart w:id="5" w:name="LawTable_End"/>
      <w:bookmarkEnd w:id="5"/>
    </w:p>
    <w:p w14:paraId="4577D0EC" w14:textId="77777777" w:rsidR="006A60ED" w:rsidRPr="006A60ED" w:rsidRDefault="006A60ED">
      <w:pPr>
        <w:rPr>
          <w:rtl/>
        </w:rPr>
      </w:pPr>
    </w:p>
    <w:p w14:paraId="2096CC25" w14:textId="77777777" w:rsidR="006A60ED" w:rsidRPr="006A60ED" w:rsidRDefault="006A60ED">
      <w:pPr>
        <w:rPr>
          <w:rtl/>
        </w:rPr>
      </w:pPr>
    </w:p>
    <w:p w14:paraId="54227C2F" w14:textId="77777777" w:rsidR="006A60ED" w:rsidRPr="006A60ED" w:rsidRDefault="006A60ED">
      <w:pPr>
        <w:rPr>
          <w:rtl/>
        </w:rPr>
      </w:pPr>
    </w:p>
    <w:p w14:paraId="4A03019F" w14:textId="77777777" w:rsidR="002A7E71" w:rsidRPr="002A7E71" w:rsidRDefault="002A7E71">
      <w:pPr>
        <w:rPr>
          <w:rtl/>
        </w:rPr>
      </w:pPr>
    </w:p>
    <w:p w14:paraId="706215D6" w14:textId="77777777" w:rsidR="002A7E71" w:rsidRPr="002A7E71" w:rsidRDefault="002A7E71">
      <w:pPr>
        <w:rPr>
          <w:rtl/>
        </w:rPr>
      </w:pPr>
    </w:p>
    <w:p w14:paraId="7DECB437" w14:textId="77777777" w:rsidR="002F0DE7" w:rsidRPr="002A7E71" w:rsidRDefault="002F0DE7">
      <w:pPr>
        <w:rPr>
          <w:rFonts w:hint="cs"/>
          <w:rtl/>
        </w:rPr>
      </w:pPr>
    </w:p>
    <w:p w14:paraId="7CCA9D62" w14:textId="77777777" w:rsidR="002F0DE7" w:rsidRDefault="002F0DE7">
      <w:pPr>
        <w:jc w:val="center"/>
        <w:rPr>
          <w:b/>
          <w:bCs/>
          <w:sz w:val="32"/>
          <w:szCs w:val="32"/>
          <w:u w:val="single"/>
          <w:rtl/>
        </w:rPr>
      </w:pPr>
      <w:bookmarkStart w:id="6" w:name="סוג_מסמך"/>
      <w:bookmarkStart w:id="7" w:name="PsakDin"/>
      <w:bookmarkEnd w:id="0"/>
      <w:r>
        <w:rPr>
          <w:b/>
          <w:bCs/>
          <w:sz w:val="32"/>
          <w:szCs w:val="32"/>
          <w:u w:val="single"/>
          <w:rtl/>
        </w:rPr>
        <w:t>הכרעת דין</w:t>
      </w:r>
    </w:p>
    <w:bookmarkEnd w:id="7"/>
    <w:p w14:paraId="0404BF1A" w14:textId="77777777" w:rsidR="002F0DE7" w:rsidRDefault="002F0DE7">
      <w:pPr>
        <w:rPr>
          <w:rFonts w:hint="cs"/>
          <w:rtl/>
        </w:rPr>
      </w:pPr>
    </w:p>
    <w:bookmarkEnd w:id="6"/>
    <w:p w14:paraId="4523FDB8" w14:textId="77777777" w:rsidR="002F0DE7" w:rsidRDefault="002F0DE7">
      <w:pPr>
        <w:rPr>
          <w:rFonts w:hint="cs"/>
          <w:b/>
          <w:bCs/>
          <w:u w:val="single"/>
          <w:rtl/>
        </w:rPr>
      </w:pPr>
      <w:r>
        <w:rPr>
          <w:rFonts w:hint="cs"/>
          <w:b/>
          <w:bCs/>
          <w:u w:val="single"/>
          <w:rtl/>
        </w:rPr>
        <w:t>המבוא:</w:t>
      </w:r>
    </w:p>
    <w:p w14:paraId="10C95B4E" w14:textId="77777777" w:rsidR="002F0DE7" w:rsidRDefault="002F0DE7">
      <w:pPr>
        <w:pStyle w:val="BodyText"/>
        <w:rPr>
          <w:rFonts w:hint="cs"/>
          <w:rtl/>
        </w:rPr>
      </w:pPr>
      <w:bookmarkStart w:id="8" w:name="ABSTRACT_START"/>
      <w:bookmarkEnd w:id="8"/>
      <w:r>
        <w:rPr>
          <w:rFonts w:hint="cs"/>
          <w:rtl/>
        </w:rPr>
        <w:lastRenderedPageBreak/>
        <w:t xml:space="preserve">כנגד הנאשם הוגש כתב אישום בו הוא מואשם בשתי עבירות של ביצוע מעשה מגונה באדם - לפי </w:t>
      </w:r>
      <w:hyperlink r:id="rId23" w:history="1">
        <w:r w:rsidR="006A60ED" w:rsidRPr="006A60ED">
          <w:rPr>
            <w:rStyle w:val="Hyperlink"/>
            <w:rFonts w:hint="eastAsia"/>
            <w:rtl/>
          </w:rPr>
          <w:t>סעיף</w:t>
        </w:r>
        <w:r w:rsidR="006A60ED" w:rsidRPr="006A60ED">
          <w:rPr>
            <w:rStyle w:val="Hyperlink"/>
            <w:rtl/>
          </w:rPr>
          <w:t xml:space="preserve"> 348(ג)</w:t>
        </w:r>
      </w:hyperlink>
      <w:r>
        <w:rPr>
          <w:rFonts w:hint="cs"/>
          <w:rtl/>
        </w:rPr>
        <w:t xml:space="preserve"> ל</w:t>
      </w:r>
      <w:r w:rsidR="002A7E71" w:rsidRPr="006A60ED">
        <w:rPr>
          <w:rFonts w:hint="eastAsia"/>
          <w:rtl/>
        </w:rPr>
        <w:t>חוק</w:t>
      </w:r>
      <w:r w:rsidR="002A7E71" w:rsidRPr="006A60ED">
        <w:rPr>
          <w:rtl/>
        </w:rPr>
        <w:t xml:space="preserve"> העונשין</w:t>
      </w:r>
      <w:r>
        <w:rPr>
          <w:rFonts w:hint="cs"/>
          <w:rtl/>
        </w:rPr>
        <w:t xml:space="preserve"> תשל"ז-1977 (להלן: "חוק העונשין") ובשתי עבירות של הטרדה מינית  - לפי </w:t>
      </w:r>
      <w:hyperlink r:id="rId24" w:history="1">
        <w:r w:rsidR="006A60ED" w:rsidRPr="006A60ED">
          <w:rPr>
            <w:rStyle w:val="Hyperlink"/>
            <w:rFonts w:hint="eastAsia"/>
            <w:rtl/>
          </w:rPr>
          <w:t>סעיף</w:t>
        </w:r>
        <w:r w:rsidR="006A60ED" w:rsidRPr="006A60ED">
          <w:rPr>
            <w:rStyle w:val="Hyperlink"/>
            <w:rtl/>
          </w:rPr>
          <w:t xml:space="preserve"> 3(א)(3)+(4)+4+5(א)</w:t>
        </w:r>
      </w:hyperlink>
      <w:r>
        <w:rPr>
          <w:rFonts w:hint="cs"/>
          <w:rtl/>
        </w:rPr>
        <w:t xml:space="preserve"> ל</w:t>
      </w:r>
      <w:r w:rsidR="002A7E71" w:rsidRPr="006A60ED">
        <w:rPr>
          <w:rFonts w:hint="eastAsia"/>
          <w:rtl/>
        </w:rPr>
        <w:t>חוק</w:t>
      </w:r>
      <w:r w:rsidR="002A7E71" w:rsidRPr="006A60ED">
        <w:rPr>
          <w:rtl/>
        </w:rPr>
        <w:t xml:space="preserve"> למניעת הטרדה מינית</w:t>
      </w:r>
      <w:r>
        <w:rPr>
          <w:rFonts w:hint="cs"/>
          <w:rtl/>
        </w:rPr>
        <w:t>, תשנ"ח-1988</w:t>
      </w:r>
      <w:bookmarkStart w:id="9" w:name="ABSTRACT_END"/>
      <w:bookmarkEnd w:id="9"/>
      <w:r>
        <w:rPr>
          <w:rFonts w:hint="cs"/>
          <w:rtl/>
        </w:rPr>
        <w:t>.</w:t>
      </w:r>
    </w:p>
    <w:p w14:paraId="17C0828D" w14:textId="77777777" w:rsidR="002F0DE7" w:rsidRDefault="002F0DE7">
      <w:pPr>
        <w:rPr>
          <w:rFonts w:hint="cs"/>
          <w:rtl/>
        </w:rPr>
      </w:pPr>
    </w:p>
    <w:p w14:paraId="4F5D0C13" w14:textId="77777777" w:rsidR="002F0DE7" w:rsidRDefault="002F0DE7">
      <w:pPr>
        <w:rPr>
          <w:rFonts w:hint="cs"/>
          <w:b/>
          <w:bCs/>
          <w:color w:val="FFFFFF"/>
          <w:sz w:val="4"/>
          <w:szCs w:val="4"/>
          <w:u w:val="single"/>
          <w:rtl/>
        </w:rPr>
      </w:pPr>
    </w:p>
    <w:p w14:paraId="3FA51F3A" w14:textId="77777777" w:rsidR="002F0DE7" w:rsidRDefault="002F0DE7">
      <w:pPr>
        <w:rPr>
          <w:rFonts w:hint="cs"/>
          <w:b/>
          <w:bCs/>
          <w:u w:val="single"/>
          <w:rtl/>
        </w:rPr>
      </w:pPr>
      <w:r>
        <w:rPr>
          <w:b/>
          <w:bCs/>
          <w:color w:val="FFFFFF"/>
          <w:sz w:val="4"/>
          <w:szCs w:val="4"/>
          <w:u w:val="single"/>
          <w:rtl/>
        </w:rPr>
        <w:t>5129371</w:t>
      </w:r>
      <w:r>
        <w:rPr>
          <w:rFonts w:hint="cs"/>
          <w:b/>
          <w:bCs/>
          <w:u w:val="single"/>
          <w:rtl/>
        </w:rPr>
        <w:t>העובדות עפ"י כתב האישום :</w:t>
      </w:r>
    </w:p>
    <w:p w14:paraId="3CABC43E" w14:textId="77777777" w:rsidR="002F0DE7" w:rsidRDefault="002F0DE7">
      <w:pPr>
        <w:rPr>
          <w:rFonts w:hint="cs"/>
          <w:rtl/>
        </w:rPr>
      </w:pPr>
      <w:r>
        <w:rPr>
          <w:rFonts w:hint="cs"/>
          <w:rtl/>
        </w:rPr>
        <w:t>במועדים הרלוונטיים לכתב האישום עבדה רחל סטרול (להלן: "המתלוננת") ב"רכבת ישראל" (להלן: "הרכבת") מטעם חברה ה"שמירה", בעוד שהנאשם עבד כפקח ברכבת.</w:t>
      </w:r>
      <w:r>
        <w:rPr>
          <w:color w:val="FFFFFF"/>
          <w:sz w:val="4"/>
          <w:szCs w:val="4"/>
          <w:rtl/>
        </w:rPr>
        <w:t>נ</w:t>
      </w:r>
    </w:p>
    <w:p w14:paraId="24946600" w14:textId="77777777" w:rsidR="002F0DE7" w:rsidRDefault="002F0DE7">
      <w:pPr>
        <w:rPr>
          <w:rFonts w:hint="cs"/>
          <w:rtl/>
        </w:rPr>
      </w:pPr>
    </w:p>
    <w:p w14:paraId="6C19E1EB" w14:textId="77777777" w:rsidR="002F0DE7" w:rsidRDefault="002F0DE7">
      <w:pPr>
        <w:rPr>
          <w:rFonts w:hint="cs"/>
          <w:rtl/>
        </w:rPr>
      </w:pPr>
      <w:r>
        <w:rPr>
          <w:rFonts w:hint="cs"/>
          <w:rtl/>
        </w:rPr>
        <w:t xml:space="preserve">במהלך חודש אפריל לערך (להלן: "האירוע הראשון"), בעת שהמתלוננת עבדה בקרון השמורים ברכבת הנוסעת לכיוון ת"א, הגיע הנאשם לקרון ושאל אותה באם היא חפצה לתת לו נשיקה. כאשר המתלוננת השיבה בשלילה ובעודה עומדת לפני המראה, דחף הנאשם את המתלוננת לחדר השירותים, נעל את הדלת ואחז בה בחוזקה, הצמידה אל הקיר ונצמד אליה בגופו ואמר לה: </w:t>
      </w:r>
      <w:r>
        <w:rPr>
          <w:rFonts w:hint="cs"/>
          <w:b/>
          <w:bCs/>
          <w:rtl/>
        </w:rPr>
        <w:t>"אם אני אקח את זה בכוח - מה תעשי לי"</w:t>
      </w:r>
      <w:r>
        <w:rPr>
          <w:rFonts w:hint="cs"/>
          <w:rtl/>
        </w:rPr>
        <w:t xml:space="preserve"> ומשהרימה המתלוננת את רגלה לעבר אשכיו והודיע לו כי תעשה אותו אימפוטנט לכל החיים, הרפה ממנה.</w:t>
      </w:r>
      <w:r>
        <w:rPr>
          <w:color w:val="FFFFFF"/>
          <w:sz w:val="4"/>
          <w:szCs w:val="4"/>
          <w:rtl/>
        </w:rPr>
        <w:t>ב</w:t>
      </w:r>
    </w:p>
    <w:p w14:paraId="37FCDEFF" w14:textId="77777777" w:rsidR="002F0DE7" w:rsidRDefault="002F0DE7">
      <w:pPr>
        <w:rPr>
          <w:rFonts w:hint="cs"/>
          <w:rtl/>
        </w:rPr>
      </w:pPr>
      <w:r>
        <w:rPr>
          <w:rFonts w:hint="cs"/>
          <w:rtl/>
        </w:rPr>
        <w:t>ובכך עשה הנאשם מעשה מגונה במתלוננת שלא כדין ובלא הסכמתה, וכל זאת עשה לשם גירוי וסיפוק מיני.</w:t>
      </w:r>
      <w:r>
        <w:rPr>
          <w:color w:val="FFFFFF"/>
          <w:sz w:val="4"/>
          <w:szCs w:val="4"/>
          <w:rtl/>
        </w:rPr>
        <w:t>ו</w:t>
      </w:r>
    </w:p>
    <w:p w14:paraId="7B03A264" w14:textId="77777777" w:rsidR="002F0DE7" w:rsidRDefault="002F0DE7">
      <w:pPr>
        <w:rPr>
          <w:rFonts w:hint="cs"/>
          <w:rtl/>
        </w:rPr>
      </w:pPr>
    </w:p>
    <w:p w14:paraId="5579DAA7" w14:textId="77777777" w:rsidR="002F0DE7" w:rsidRDefault="002F0DE7">
      <w:pPr>
        <w:rPr>
          <w:rFonts w:hint="cs"/>
          <w:rtl/>
        </w:rPr>
      </w:pPr>
    </w:p>
    <w:p w14:paraId="3EC60A1E" w14:textId="77777777" w:rsidR="002F0DE7" w:rsidRDefault="002F0DE7">
      <w:pPr>
        <w:rPr>
          <w:rFonts w:hint="cs"/>
          <w:rtl/>
        </w:rPr>
      </w:pPr>
      <w:r>
        <w:rPr>
          <w:rFonts w:hint="cs"/>
          <w:rtl/>
        </w:rPr>
        <w:t xml:space="preserve">כשבוע לאחר האירוע הראשון, הנאשם פנה למתלוננת ברכבת והטרידה על רקע מיני באופן שאמר לה : </w:t>
      </w:r>
      <w:r>
        <w:rPr>
          <w:rFonts w:hint="cs"/>
          <w:b/>
          <w:bCs/>
          <w:rtl/>
        </w:rPr>
        <w:t>"מה יש לך קוצים בתחת היום, לא קיבלת היום בבוקר"</w:t>
      </w:r>
      <w:r>
        <w:rPr>
          <w:rFonts w:hint="cs"/>
          <w:rtl/>
        </w:rPr>
        <w:t xml:space="preserve"> (להלן: "האירוע השני").</w:t>
      </w:r>
      <w:r>
        <w:rPr>
          <w:color w:val="FFFFFF"/>
          <w:sz w:val="4"/>
          <w:szCs w:val="4"/>
          <w:rtl/>
        </w:rPr>
        <w:t>נ</w:t>
      </w:r>
    </w:p>
    <w:p w14:paraId="4E7EE562" w14:textId="77777777" w:rsidR="002F0DE7" w:rsidRDefault="002F0DE7">
      <w:pPr>
        <w:rPr>
          <w:rFonts w:hint="cs"/>
          <w:rtl/>
        </w:rPr>
      </w:pPr>
    </w:p>
    <w:p w14:paraId="7532BB30" w14:textId="77777777" w:rsidR="002F0DE7" w:rsidRDefault="002F0DE7">
      <w:pPr>
        <w:rPr>
          <w:rFonts w:hint="cs"/>
          <w:rtl/>
        </w:rPr>
      </w:pPr>
      <w:r>
        <w:rPr>
          <w:rFonts w:hint="cs"/>
          <w:rtl/>
        </w:rPr>
        <w:t>בחודש אפריל 2000, ברכבת, לאחר שהנאשם שוחח בטלפון, עשה הנאשם שנית מעשה מגונה שלא כדין ובלא הסכמת המתלוננת באופן שאחז בשפתיה באמצעות ידיו, בעוד המתלוננת מסיטה פניה ממנו, אחז בשפתיה ואמר לה: "איזה שפתיים" (להלן: "האירוע השלישי").</w:t>
      </w:r>
      <w:r>
        <w:rPr>
          <w:color w:val="FFFFFF"/>
          <w:sz w:val="4"/>
          <w:szCs w:val="4"/>
          <w:rtl/>
        </w:rPr>
        <w:t>ב</w:t>
      </w:r>
    </w:p>
    <w:p w14:paraId="3644116E" w14:textId="77777777" w:rsidR="002F0DE7" w:rsidRDefault="002F0DE7">
      <w:pPr>
        <w:rPr>
          <w:rFonts w:hint="cs"/>
          <w:rtl/>
        </w:rPr>
      </w:pPr>
      <w:r>
        <w:rPr>
          <w:rFonts w:hint="cs"/>
          <w:rtl/>
        </w:rPr>
        <w:t>כל זאת עשה הנאשם לשם גירוי סיפוק או ביזוי מיני.</w:t>
      </w:r>
      <w:r>
        <w:rPr>
          <w:color w:val="FFFFFF"/>
          <w:sz w:val="4"/>
          <w:szCs w:val="4"/>
          <w:rtl/>
        </w:rPr>
        <w:t>ו</w:t>
      </w:r>
    </w:p>
    <w:p w14:paraId="6C5D7F80" w14:textId="77777777" w:rsidR="002F0DE7" w:rsidRDefault="002F0DE7">
      <w:pPr>
        <w:rPr>
          <w:rFonts w:hint="cs"/>
          <w:rtl/>
        </w:rPr>
      </w:pPr>
    </w:p>
    <w:p w14:paraId="59F149D5" w14:textId="77777777" w:rsidR="002F0DE7" w:rsidRDefault="002F0DE7">
      <w:pPr>
        <w:rPr>
          <w:rFonts w:hint="cs"/>
          <w:rtl/>
        </w:rPr>
      </w:pPr>
      <w:r>
        <w:rPr>
          <w:rFonts w:hint="cs"/>
          <w:rtl/>
        </w:rPr>
        <w:t xml:space="preserve">במועד שאינו ידוע במדויק לתביעה, בעת שפגש הנאשם במתלוננת בתחנת הרכבת בחיפה מרכז, הטרידה על רקע מיני באופן שאמר לה: </w:t>
      </w:r>
      <w:r>
        <w:rPr>
          <w:rFonts w:hint="cs"/>
          <w:b/>
          <w:bCs/>
          <w:rtl/>
        </w:rPr>
        <w:t>"אם הייתי חודר אליך היית מתה"</w:t>
      </w:r>
      <w:r>
        <w:rPr>
          <w:rFonts w:hint="cs"/>
          <w:rtl/>
        </w:rPr>
        <w:t xml:space="preserve"> (להלן: "האירוע הרביעי").</w:t>
      </w:r>
      <w:r>
        <w:rPr>
          <w:color w:val="FFFFFF"/>
          <w:sz w:val="4"/>
          <w:szCs w:val="4"/>
          <w:rtl/>
        </w:rPr>
        <w:t>נ</w:t>
      </w:r>
    </w:p>
    <w:p w14:paraId="18AA65CB" w14:textId="77777777" w:rsidR="002F0DE7" w:rsidRDefault="002F0DE7">
      <w:pPr>
        <w:rPr>
          <w:rFonts w:hint="cs"/>
          <w:rtl/>
        </w:rPr>
      </w:pPr>
    </w:p>
    <w:p w14:paraId="5C0FE86C" w14:textId="77777777" w:rsidR="002F0DE7" w:rsidRDefault="002F0DE7">
      <w:pPr>
        <w:rPr>
          <w:rFonts w:hint="cs"/>
          <w:b/>
          <w:bCs/>
          <w:u w:val="single"/>
          <w:rtl/>
        </w:rPr>
      </w:pPr>
      <w:r>
        <w:rPr>
          <w:rFonts w:hint="cs"/>
          <w:b/>
          <w:bCs/>
          <w:u w:val="single"/>
          <w:rtl/>
        </w:rPr>
        <w:t>ראיות הצדדים:</w:t>
      </w:r>
    </w:p>
    <w:p w14:paraId="6954629B" w14:textId="77777777" w:rsidR="002F0DE7" w:rsidRDefault="002F0DE7">
      <w:pPr>
        <w:pStyle w:val="Title"/>
        <w:spacing w:line="360" w:lineRule="auto"/>
        <w:jc w:val="both"/>
        <w:rPr>
          <w:rFonts w:hint="cs"/>
          <w:sz w:val="24"/>
          <w:szCs w:val="24"/>
          <w:rtl/>
        </w:rPr>
      </w:pPr>
      <w:r>
        <w:rPr>
          <w:rFonts w:hint="cs"/>
          <w:sz w:val="24"/>
          <w:szCs w:val="24"/>
          <w:rtl/>
        </w:rPr>
        <w:t>פרשת התביעה:</w:t>
      </w:r>
    </w:p>
    <w:p w14:paraId="6557B94F" w14:textId="77777777" w:rsidR="002F0DE7" w:rsidRDefault="002F0DE7">
      <w:pPr>
        <w:pStyle w:val="Title"/>
        <w:spacing w:line="360" w:lineRule="auto"/>
        <w:jc w:val="both"/>
        <w:rPr>
          <w:rFonts w:hint="cs"/>
          <w:b w:val="0"/>
          <w:bCs w:val="0"/>
          <w:sz w:val="24"/>
          <w:szCs w:val="24"/>
          <w:u w:val="none"/>
          <w:rtl/>
        </w:rPr>
      </w:pPr>
      <w:r>
        <w:rPr>
          <w:rFonts w:hint="cs"/>
          <w:b w:val="0"/>
          <w:bCs w:val="0"/>
          <w:sz w:val="24"/>
          <w:szCs w:val="24"/>
          <w:u w:val="none"/>
          <w:rtl/>
        </w:rPr>
        <w:t>התביעה להוכחת עובדות כתב האישום העידה מטעמה  5  עדים והגישה 5 מוצגים:</w:t>
      </w:r>
    </w:p>
    <w:p w14:paraId="716D0634" w14:textId="77777777" w:rsidR="002F0DE7" w:rsidRDefault="002F0DE7">
      <w:pPr>
        <w:rPr>
          <w:rFonts w:hint="cs"/>
          <w:rtl/>
        </w:rPr>
      </w:pPr>
    </w:p>
    <w:p w14:paraId="7E93F86A" w14:textId="77777777" w:rsidR="002F0DE7" w:rsidRDefault="002F0DE7">
      <w:pPr>
        <w:rPr>
          <w:rFonts w:hint="cs"/>
          <w:u w:val="single"/>
          <w:rtl/>
        </w:rPr>
      </w:pPr>
      <w:r>
        <w:rPr>
          <w:rFonts w:hint="cs"/>
          <w:u w:val="single"/>
          <w:rtl/>
        </w:rPr>
        <w:t>רחל סטרול (להלן: "המתלוננת"):</w:t>
      </w:r>
    </w:p>
    <w:p w14:paraId="0DAE00B5" w14:textId="77777777" w:rsidR="002F0DE7" w:rsidRDefault="002F0DE7">
      <w:pPr>
        <w:rPr>
          <w:rFonts w:hint="cs"/>
          <w:rtl/>
        </w:rPr>
      </w:pPr>
      <w:r>
        <w:rPr>
          <w:rFonts w:hint="cs"/>
          <w:rtl/>
        </w:rPr>
        <w:lastRenderedPageBreak/>
        <w:t>המתלוננת העידה כי כיום היא בת 26, רווקה וגרה עם חבר. לטענתה, בשנת 2000 עבדה ברכבת כאחראית בקרון השמורים.</w:t>
      </w:r>
      <w:r>
        <w:rPr>
          <w:color w:val="FFFFFF"/>
          <w:sz w:val="4"/>
          <w:szCs w:val="4"/>
          <w:rtl/>
        </w:rPr>
        <w:t>ב</w:t>
      </w:r>
    </w:p>
    <w:p w14:paraId="675DDF84" w14:textId="77777777" w:rsidR="002F0DE7" w:rsidRDefault="002F0DE7">
      <w:pPr>
        <w:rPr>
          <w:rFonts w:hint="cs"/>
          <w:rtl/>
        </w:rPr>
      </w:pPr>
    </w:p>
    <w:p w14:paraId="1754BAE6" w14:textId="77777777" w:rsidR="002F0DE7" w:rsidRDefault="002F0DE7">
      <w:pPr>
        <w:rPr>
          <w:rFonts w:hint="cs"/>
          <w:rtl/>
        </w:rPr>
      </w:pPr>
      <w:r>
        <w:rPr>
          <w:rFonts w:hint="cs"/>
          <w:rtl/>
        </w:rPr>
        <w:t xml:space="preserve">לדבריה, ראתה את הנאשם בחדרו של מנהל תחנת עזריאלי ואמרה לו שהיא מכירה אותו. לטענתה, לאחר פרק זמן בו לא ראתה את הנאשם, פגשה אותו בתחנת חיפה מרכז, כאשר עלו על הרכבת מת"א לכיוון נהריה ואז הנאשם אמר לה: </w:t>
      </w:r>
      <w:r>
        <w:rPr>
          <w:rFonts w:hint="cs"/>
          <w:b/>
          <w:bCs/>
          <w:rtl/>
        </w:rPr>
        <w:t>"תראי איזה רזה את, אם אני חודר אליך את מתה",</w:t>
      </w:r>
      <w:r>
        <w:rPr>
          <w:rFonts w:hint="cs"/>
          <w:rtl/>
        </w:rPr>
        <w:t xml:space="preserve"> אז לטענתה השיבה לו: </w:t>
      </w:r>
      <w:r>
        <w:rPr>
          <w:rFonts w:hint="cs"/>
          <w:b/>
          <w:bCs/>
          <w:rtl/>
        </w:rPr>
        <w:t>"אתה בחיים לא תחדור אליי, יש לי חבר ואל תדבר איתי ככה"</w:t>
      </w:r>
      <w:r>
        <w:rPr>
          <w:rFonts w:hint="cs"/>
          <w:rtl/>
        </w:rPr>
        <w:t xml:space="preserve"> (פרוט' עמ' 7 ש' 16-18).</w:t>
      </w:r>
      <w:r>
        <w:rPr>
          <w:color w:val="FFFFFF"/>
          <w:sz w:val="4"/>
          <w:szCs w:val="4"/>
          <w:rtl/>
        </w:rPr>
        <w:t>ו</w:t>
      </w:r>
    </w:p>
    <w:p w14:paraId="2892CB45" w14:textId="77777777" w:rsidR="002F0DE7" w:rsidRDefault="002F0DE7">
      <w:pPr>
        <w:rPr>
          <w:rFonts w:hint="cs"/>
          <w:rtl/>
        </w:rPr>
      </w:pPr>
    </w:p>
    <w:p w14:paraId="228CD502" w14:textId="77777777" w:rsidR="002F0DE7" w:rsidRDefault="002F0DE7">
      <w:pPr>
        <w:rPr>
          <w:rFonts w:hint="cs"/>
          <w:rtl/>
        </w:rPr>
      </w:pPr>
    </w:p>
    <w:p w14:paraId="0FD47762" w14:textId="77777777" w:rsidR="002F0DE7" w:rsidRDefault="002F0DE7">
      <w:pPr>
        <w:rPr>
          <w:rFonts w:hint="cs"/>
          <w:rtl/>
        </w:rPr>
      </w:pPr>
    </w:p>
    <w:p w14:paraId="64F4B348" w14:textId="77777777" w:rsidR="002F0DE7" w:rsidRDefault="002F0DE7">
      <w:pPr>
        <w:rPr>
          <w:rFonts w:hint="cs"/>
          <w:rtl/>
        </w:rPr>
      </w:pPr>
    </w:p>
    <w:p w14:paraId="1A8EB257" w14:textId="77777777" w:rsidR="002F0DE7" w:rsidRDefault="002F0DE7">
      <w:pPr>
        <w:rPr>
          <w:rFonts w:hint="cs"/>
          <w:rtl/>
        </w:rPr>
      </w:pPr>
    </w:p>
    <w:p w14:paraId="6F5C7DA2" w14:textId="77777777" w:rsidR="002F0DE7" w:rsidRDefault="002F0DE7">
      <w:pPr>
        <w:rPr>
          <w:rFonts w:hint="cs"/>
          <w:rtl/>
        </w:rPr>
      </w:pPr>
    </w:p>
    <w:p w14:paraId="4A4C9B60" w14:textId="77777777" w:rsidR="002F0DE7" w:rsidRDefault="002F0DE7">
      <w:pPr>
        <w:rPr>
          <w:rFonts w:hint="cs"/>
          <w:rtl/>
        </w:rPr>
      </w:pPr>
      <w:r>
        <w:rPr>
          <w:rFonts w:hint="cs"/>
          <w:rtl/>
        </w:rPr>
        <w:t>המתלוננת העידה כי הנאשם כל הזמן ניסה להתחיל איתה, אך היא תמיד אמרה לו שיש לה חבר והוא עשה עצמו כמי שאינו מבין, וכלשונה:</w:t>
      </w:r>
    </w:p>
    <w:p w14:paraId="77F17E86" w14:textId="77777777" w:rsidR="002F0DE7" w:rsidRDefault="002F0DE7">
      <w:pPr>
        <w:rPr>
          <w:rFonts w:hint="cs"/>
          <w:rtl/>
        </w:rPr>
      </w:pPr>
    </w:p>
    <w:p w14:paraId="068FD3EB" w14:textId="77777777" w:rsidR="002F0DE7" w:rsidRDefault="002F0DE7">
      <w:pPr>
        <w:pStyle w:val="a0"/>
        <w:rPr>
          <w:rFonts w:hint="cs"/>
          <w:bCs w:val="0"/>
          <w:rtl/>
        </w:rPr>
      </w:pPr>
      <w:r>
        <w:rPr>
          <w:rFonts w:hint="cs"/>
          <w:rtl/>
        </w:rPr>
        <w:t xml:space="preserve">"יום אחד הוא תפס אותי במעבר של הרכבת והדביק אותי לקיר והתחיל לגעת בי וניסה לקחת ממני בכוח נשיקה, אמרתי לו "אל תיגע בי, תפסיק, תזוז ממני, תעוף ממני" ואז הוא אמר לי "מה את לא רוצה?" ואז אמרתי לו "לא" והוא הלך. ברכבות הישנות יש שירותים פנימיים שכאשר פותחים את הדלת יש מראה גדולה והשירותים הם בצד ואז כשהוא הלך פתחתי את הדלת של השירותים וסידרתי את הבגדים כאשר עמדתי בחוץ כי הוא קימט לי אותם. פתאום ראיתי את עצמי נדחפת אל השירותים, הוא נכנס אחריי ונעל את הדלת והדביק אותי לקיר, הוא הדביק לי גם את הידיים לקיר, תפס אותם חזק והוא אמר לי "ואם אני אקח בכוח, מה תעשי לי?", לא הבנתי מה קורה בכלל ואחרי זה הרמתי את הרגל שלי לביצים שלו ואמרתי לו "תנסה ותראה איך אתה נהיה אימפוטנט לכל החיים והביצים שלך עולות לגרון". הוא הסתכל עליי במן מבט כזה של שנאה ועדיין ניסה לנשק ואז הוא פתח את המנעול ויצא מהדלת ואמר לי "אני עוד אשיג אותך", משהו כזה"      </w:t>
      </w:r>
      <w:r>
        <w:rPr>
          <w:rFonts w:hint="cs"/>
          <w:bCs w:val="0"/>
          <w:rtl/>
        </w:rPr>
        <w:t>(פרוט' עמ' 7 ש' 20-31).</w:t>
      </w:r>
      <w:r>
        <w:rPr>
          <w:bCs w:val="0"/>
          <w:color w:val="FFFFFF"/>
          <w:sz w:val="4"/>
          <w:szCs w:val="4"/>
          <w:rtl/>
        </w:rPr>
        <w:t>נ</w:t>
      </w:r>
    </w:p>
    <w:p w14:paraId="56C18DF3" w14:textId="77777777" w:rsidR="002F0DE7" w:rsidRDefault="002F0DE7">
      <w:pPr>
        <w:pStyle w:val="a0"/>
        <w:rPr>
          <w:rFonts w:hint="cs"/>
          <w:rtl/>
        </w:rPr>
      </w:pPr>
    </w:p>
    <w:p w14:paraId="5A6F8A3A" w14:textId="77777777" w:rsidR="002F0DE7" w:rsidRDefault="002F0DE7">
      <w:pPr>
        <w:pStyle w:val="a0"/>
        <w:rPr>
          <w:rFonts w:hint="cs"/>
          <w:rtl/>
        </w:rPr>
      </w:pPr>
    </w:p>
    <w:p w14:paraId="0416C2F1" w14:textId="77777777" w:rsidR="002F0DE7" w:rsidRDefault="002F0DE7">
      <w:pPr>
        <w:rPr>
          <w:rFonts w:hint="cs"/>
          <w:rtl/>
        </w:rPr>
      </w:pPr>
      <w:r>
        <w:rPr>
          <w:rFonts w:hint="cs"/>
          <w:rtl/>
        </w:rPr>
        <w:t xml:space="preserve">עוד הוסיפה המתלוננת כי במשך תקופה קצרה, לא דיברה על המקרה עם איש. אולם, זמן מה לאחר האירוע הראשון הנאשם ניגש אליה ושאל אותה: </w:t>
      </w:r>
      <w:r>
        <w:rPr>
          <w:rFonts w:hint="cs"/>
          <w:b/>
          <w:bCs/>
          <w:rtl/>
        </w:rPr>
        <w:t>"מה יש לך, יש לך קוצים בתחת, לא קיבלת הבוקר?"</w:t>
      </w:r>
      <w:r>
        <w:rPr>
          <w:rFonts w:hint="cs"/>
          <w:rtl/>
        </w:rPr>
        <w:t xml:space="preserve"> (פרוט' עמ' 8 ש' 2-3).</w:t>
      </w:r>
      <w:r>
        <w:rPr>
          <w:color w:val="FFFFFF"/>
          <w:sz w:val="4"/>
          <w:szCs w:val="4"/>
          <w:rtl/>
        </w:rPr>
        <w:t>ב</w:t>
      </w:r>
    </w:p>
    <w:p w14:paraId="7841524B" w14:textId="77777777" w:rsidR="002F0DE7" w:rsidRDefault="002F0DE7">
      <w:pPr>
        <w:rPr>
          <w:rFonts w:hint="cs"/>
          <w:rtl/>
        </w:rPr>
      </w:pPr>
      <w:r>
        <w:rPr>
          <w:rFonts w:hint="cs"/>
          <w:rtl/>
        </w:rPr>
        <w:t>לדברים אלה השיבה לנאשם שלא ידבר אליה כך, אך הנאשם המשיך להתגרות בה.</w:t>
      </w:r>
      <w:r>
        <w:rPr>
          <w:color w:val="FFFFFF"/>
          <w:sz w:val="4"/>
          <w:szCs w:val="4"/>
          <w:rtl/>
        </w:rPr>
        <w:t>ו</w:t>
      </w:r>
    </w:p>
    <w:p w14:paraId="7CFEF0AB" w14:textId="77777777" w:rsidR="002F0DE7" w:rsidRDefault="002F0DE7">
      <w:pPr>
        <w:rPr>
          <w:rFonts w:hint="cs"/>
          <w:rtl/>
        </w:rPr>
      </w:pPr>
    </w:p>
    <w:p w14:paraId="5B63BFD6" w14:textId="77777777" w:rsidR="002F0DE7" w:rsidRDefault="002F0DE7">
      <w:pPr>
        <w:rPr>
          <w:rFonts w:hint="cs"/>
          <w:b/>
          <w:bCs/>
          <w:rtl/>
        </w:rPr>
      </w:pPr>
      <w:r>
        <w:rPr>
          <w:rFonts w:hint="cs"/>
          <w:rtl/>
        </w:rPr>
        <w:t xml:space="preserve">לדבריה, לאחר זמן מה, שמעה את הנאשם משוחח עם חברתו בטלפון בזמן שישבה בקרון השמורים, לא בקרבתו, וכשסיים לשוחח בטלפון הוא קם ממושבו, תפס את שפתיה בחוזקה ואמר לה </w:t>
      </w:r>
      <w:r>
        <w:rPr>
          <w:rFonts w:hint="cs"/>
          <w:b/>
          <w:bCs/>
          <w:rtl/>
        </w:rPr>
        <w:t xml:space="preserve">"אך איזה שפתיים יש לך". </w:t>
      </w:r>
    </w:p>
    <w:p w14:paraId="1CC36E5A" w14:textId="77777777" w:rsidR="002F0DE7" w:rsidRDefault="002F0DE7">
      <w:pPr>
        <w:rPr>
          <w:rFonts w:hint="cs"/>
          <w:b/>
          <w:bCs/>
          <w:rtl/>
        </w:rPr>
      </w:pPr>
    </w:p>
    <w:p w14:paraId="106D44F8" w14:textId="77777777" w:rsidR="002F0DE7" w:rsidRDefault="002F0DE7">
      <w:pPr>
        <w:rPr>
          <w:rFonts w:hint="cs"/>
          <w:rtl/>
        </w:rPr>
      </w:pPr>
      <w:r>
        <w:rPr>
          <w:rFonts w:hint="cs"/>
          <w:rtl/>
        </w:rPr>
        <w:lastRenderedPageBreak/>
        <w:t>המתלוננת העידה כי כשהלכה למשרדי חברת "השמירה" (המעסיקה שלה), פנתה לחבר של אחיה ששמו חנן איבגי (להלן: "איבגי") בכדי לקבל את תלוש המשכורת שלה ובמעמד זה סיפרה לו על האירועים עם הנאשם ושאלה אותו מה עליה לעשות. לדבריה, לאחר שאיבגי שוחח בטלפון, הוא לקח אותה לתחנת הרכבת בחוף הכרמל לאדם בכיר ברכבת, בשם חנן גרף (להלן: "גרף"), שהוא קצין הביטחון של הרכבת, בכדי שתספר לו על האירועים עם הנאשם.</w:t>
      </w:r>
      <w:r>
        <w:rPr>
          <w:color w:val="FFFFFF"/>
          <w:sz w:val="4"/>
          <w:szCs w:val="4"/>
          <w:rtl/>
        </w:rPr>
        <w:t>נ</w:t>
      </w:r>
    </w:p>
    <w:p w14:paraId="4AFBA281" w14:textId="77777777" w:rsidR="002F0DE7" w:rsidRDefault="002F0DE7">
      <w:pPr>
        <w:rPr>
          <w:rFonts w:hint="cs"/>
          <w:rtl/>
        </w:rPr>
      </w:pPr>
      <w:r>
        <w:rPr>
          <w:rFonts w:hint="cs"/>
          <w:rtl/>
        </w:rPr>
        <w:t>המתלוננת טענה כי גרף אמר לה שאם לא תגיש תלונה במשטרה, אין ביכולתו לפטר את הנאשם מהרכבת והוסיף כי אם תזדקק לפסיכולוג, הרכבת תממן.</w:t>
      </w:r>
      <w:r>
        <w:rPr>
          <w:color w:val="FFFFFF"/>
          <w:sz w:val="4"/>
          <w:szCs w:val="4"/>
          <w:rtl/>
        </w:rPr>
        <w:t>ב</w:t>
      </w:r>
    </w:p>
    <w:p w14:paraId="3296027C" w14:textId="77777777" w:rsidR="002F0DE7" w:rsidRDefault="002F0DE7">
      <w:pPr>
        <w:rPr>
          <w:rFonts w:hint="cs"/>
          <w:rtl/>
        </w:rPr>
      </w:pPr>
    </w:p>
    <w:p w14:paraId="3FEA1DCC" w14:textId="77777777" w:rsidR="002F0DE7" w:rsidRDefault="002F0DE7">
      <w:pPr>
        <w:rPr>
          <w:rFonts w:hint="cs"/>
          <w:rtl/>
        </w:rPr>
      </w:pPr>
    </w:p>
    <w:p w14:paraId="1385F148" w14:textId="77777777" w:rsidR="002F0DE7" w:rsidRDefault="002F0DE7">
      <w:pPr>
        <w:rPr>
          <w:rFonts w:hint="cs"/>
          <w:rtl/>
        </w:rPr>
      </w:pPr>
      <w:r>
        <w:rPr>
          <w:rFonts w:hint="cs"/>
          <w:rtl/>
        </w:rPr>
        <w:t>לדברי המתלוננת, לאחר השיחה עם גרף, הלכה עם איבגי להתלונן במשטרה, אך מאחר ולא היתה חוקרת בתחנה, חזרה למחרת היום למסירת עדותה.</w:t>
      </w:r>
      <w:r>
        <w:rPr>
          <w:color w:val="FFFFFF"/>
          <w:sz w:val="4"/>
          <w:szCs w:val="4"/>
          <w:rtl/>
        </w:rPr>
        <w:t>ו</w:t>
      </w:r>
    </w:p>
    <w:p w14:paraId="1486064A" w14:textId="77777777" w:rsidR="002F0DE7" w:rsidRDefault="002F0DE7">
      <w:pPr>
        <w:rPr>
          <w:rFonts w:hint="cs"/>
          <w:rtl/>
        </w:rPr>
      </w:pPr>
      <w:r>
        <w:rPr>
          <w:rFonts w:hint="cs"/>
          <w:rtl/>
        </w:rPr>
        <w:t>ביום למחרת כאשר החוקרת גבתה ממנה עדות (נ/1) ושאלה אותה מה הרגשתה, השיבה לה כי איבדה תחושת זמן ולכן היא לא זוכרת תאריכים ושהיא מתוסכלת ולא נותנת לחבר שלה לגעת בה . לכן, לדבריה, התאריך המוזכר בעדותה, ניתן רק מפני שהחוקרת הכריחה אותה לנקוב בתאריך כלשהו.</w:t>
      </w:r>
      <w:r>
        <w:rPr>
          <w:color w:val="FFFFFF"/>
          <w:sz w:val="4"/>
          <w:szCs w:val="4"/>
          <w:rtl/>
        </w:rPr>
        <w:t>נ</w:t>
      </w:r>
    </w:p>
    <w:p w14:paraId="74AC0205" w14:textId="77777777" w:rsidR="002F0DE7" w:rsidRDefault="002F0DE7">
      <w:pPr>
        <w:rPr>
          <w:rFonts w:hint="cs"/>
          <w:rtl/>
        </w:rPr>
      </w:pPr>
      <w:r>
        <w:rPr>
          <w:rFonts w:hint="cs"/>
          <w:rtl/>
        </w:rPr>
        <w:t>המתלוננת העידה על העימות שנעשה בינה לבין הנאשם ובמהלכו הנאשם רטט מעצבים.</w:t>
      </w:r>
      <w:r>
        <w:rPr>
          <w:color w:val="FFFFFF"/>
          <w:sz w:val="4"/>
          <w:szCs w:val="4"/>
          <w:rtl/>
        </w:rPr>
        <w:t>ב</w:t>
      </w:r>
    </w:p>
    <w:p w14:paraId="05D6826A" w14:textId="77777777" w:rsidR="002F0DE7" w:rsidRDefault="002F0DE7">
      <w:pPr>
        <w:rPr>
          <w:rFonts w:hint="cs"/>
          <w:rtl/>
        </w:rPr>
      </w:pPr>
    </w:p>
    <w:p w14:paraId="1155D515" w14:textId="77777777" w:rsidR="002F0DE7" w:rsidRDefault="002F0DE7">
      <w:pPr>
        <w:rPr>
          <w:rFonts w:hint="cs"/>
          <w:rtl/>
        </w:rPr>
      </w:pPr>
      <w:r>
        <w:rPr>
          <w:rFonts w:hint="cs"/>
          <w:rtl/>
        </w:rPr>
        <w:t>בחקירתה הנגדית, המתלוננת מסרה כי עובר לאירועים, עבדה בחברת השמירה כחודשיים.</w:t>
      </w:r>
      <w:r>
        <w:rPr>
          <w:color w:val="FFFFFF"/>
          <w:sz w:val="4"/>
          <w:szCs w:val="4"/>
          <w:rtl/>
        </w:rPr>
        <w:t>ו</w:t>
      </w:r>
    </w:p>
    <w:p w14:paraId="24DC3F6D" w14:textId="77777777" w:rsidR="002F0DE7" w:rsidRDefault="002F0DE7">
      <w:pPr>
        <w:rPr>
          <w:rFonts w:hint="cs"/>
          <w:rtl/>
        </w:rPr>
      </w:pPr>
      <w:r>
        <w:rPr>
          <w:rFonts w:hint="cs"/>
          <w:rtl/>
        </w:rPr>
        <w:t>שוב חזרה על טענתה כי אינה זוכרת תאריכים מדוייקים, מפני שעברו 4 שנים מאז האירועים והתאריך שנקבה בו בחקירתה ניתן לאחר שהחוקרת הכריחה אותה למסור תאריך כלשהו.</w:t>
      </w:r>
      <w:r>
        <w:rPr>
          <w:color w:val="FFFFFF"/>
          <w:sz w:val="4"/>
          <w:szCs w:val="4"/>
          <w:rtl/>
        </w:rPr>
        <w:t>נ</w:t>
      </w:r>
    </w:p>
    <w:p w14:paraId="307A064D" w14:textId="77777777" w:rsidR="002F0DE7" w:rsidRDefault="002F0DE7">
      <w:pPr>
        <w:rPr>
          <w:rFonts w:hint="cs"/>
          <w:rtl/>
        </w:rPr>
      </w:pPr>
      <w:r>
        <w:rPr>
          <w:rFonts w:hint="cs"/>
          <w:rtl/>
        </w:rPr>
        <w:t>והוסיפה כי האירועים התרחשו בתקופה של שלושת השבועות האחרונים לעבודתה במקום. תלונתה במשטרה היתה  כשלושה שבועות לאחר האירועים.</w:t>
      </w:r>
      <w:r>
        <w:rPr>
          <w:color w:val="FFFFFF"/>
          <w:sz w:val="4"/>
          <w:szCs w:val="4"/>
          <w:rtl/>
        </w:rPr>
        <w:t>ב</w:t>
      </w:r>
    </w:p>
    <w:p w14:paraId="5450794F" w14:textId="77777777" w:rsidR="002F0DE7" w:rsidRDefault="002F0DE7">
      <w:pPr>
        <w:rPr>
          <w:rFonts w:hint="cs"/>
          <w:rtl/>
        </w:rPr>
      </w:pPr>
      <w:r>
        <w:rPr>
          <w:rFonts w:hint="cs"/>
          <w:rtl/>
        </w:rPr>
        <w:t>לאורך כל עדותה, חזרה המתלוננת וטענה כי אמרה לכל מי ששאל אותה שאינה זוכרת את תאריכי האירועים במדוייק.</w:t>
      </w:r>
      <w:r>
        <w:rPr>
          <w:color w:val="FFFFFF"/>
          <w:sz w:val="4"/>
          <w:szCs w:val="4"/>
          <w:rtl/>
        </w:rPr>
        <w:t>ו</w:t>
      </w:r>
    </w:p>
    <w:p w14:paraId="2E4AB486" w14:textId="77777777" w:rsidR="002F0DE7" w:rsidRDefault="002F0DE7">
      <w:pPr>
        <w:rPr>
          <w:rFonts w:hint="cs"/>
          <w:rtl/>
        </w:rPr>
      </w:pPr>
    </w:p>
    <w:p w14:paraId="02FC56F2" w14:textId="77777777" w:rsidR="002F0DE7" w:rsidRDefault="002F0DE7">
      <w:pPr>
        <w:rPr>
          <w:rFonts w:hint="cs"/>
          <w:rtl/>
        </w:rPr>
      </w:pPr>
      <w:r>
        <w:rPr>
          <w:rFonts w:hint="cs"/>
          <w:rtl/>
        </w:rPr>
        <w:t>המתלוננת בעדותה מסרה כי במקרה שבו עמדה ליד המראה של השירותים הדלת היתה פתוחה והיא סידרה את בגדיה, הנאשם דחף אותה לשירותים וסגר את הדלת אחריהם, וכדבריה:</w:t>
      </w:r>
    </w:p>
    <w:p w14:paraId="25A0225C" w14:textId="77777777" w:rsidR="002F0DE7" w:rsidRDefault="002F0DE7">
      <w:pPr>
        <w:rPr>
          <w:rFonts w:hint="cs"/>
          <w:rtl/>
        </w:rPr>
      </w:pPr>
    </w:p>
    <w:p w14:paraId="0B52EFDB" w14:textId="77777777" w:rsidR="002F0DE7" w:rsidRDefault="002F0DE7">
      <w:pPr>
        <w:pStyle w:val="a0"/>
        <w:rPr>
          <w:rFonts w:hint="cs"/>
          <w:bCs w:val="0"/>
          <w:rtl/>
        </w:rPr>
      </w:pPr>
      <w:r>
        <w:rPr>
          <w:rFonts w:hint="cs"/>
          <w:rtl/>
        </w:rPr>
        <w:t xml:space="preserve">"אני עמדתי וסידרתי את הבגדים שלי, אני עוד לא הסתכלתי אחורה, משהו דחף אותי לתוך השירותים, הוא נעל את הדלת וקרה מה שקרה בשירותים, הוא בא בריצה כי הוא בא אליי בהדף כזה של דחיפה. שמעתי צעדים מהירים" </w:t>
      </w:r>
      <w:r>
        <w:rPr>
          <w:rFonts w:hint="cs"/>
          <w:bCs w:val="0"/>
          <w:rtl/>
        </w:rPr>
        <w:t>(פרוט' עמ' 15 ש' 25-27).</w:t>
      </w:r>
    </w:p>
    <w:p w14:paraId="07C8532B" w14:textId="77777777" w:rsidR="002F0DE7" w:rsidRDefault="002F0DE7">
      <w:pPr>
        <w:rPr>
          <w:rFonts w:hint="cs"/>
          <w:rtl/>
        </w:rPr>
      </w:pPr>
    </w:p>
    <w:p w14:paraId="2B2B4B59" w14:textId="77777777" w:rsidR="002F0DE7" w:rsidRDefault="002F0DE7">
      <w:pPr>
        <w:rPr>
          <w:rFonts w:hint="cs"/>
          <w:rtl/>
        </w:rPr>
      </w:pPr>
      <w:r>
        <w:rPr>
          <w:rFonts w:hint="cs"/>
          <w:rtl/>
        </w:rPr>
        <w:t xml:space="preserve">לדבריה, כוונת הביטוי </w:t>
      </w:r>
      <w:r>
        <w:rPr>
          <w:rFonts w:hint="cs"/>
          <w:b/>
          <w:bCs/>
          <w:rtl/>
        </w:rPr>
        <w:t>"הדביק אותי לקיר"</w:t>
      </w:r>
      <w:r>
        <w:rPr>
          <w:rFonts w:hint="cs"/>
          <w:rtl/>
        </w:rPr>
        <w:t xml:space="preserve"> (נ/3, ש' 9) הוא שהנאשם תפס אותה והצמיד אותה לקיר ונצמד אליה.</w:t>
      </w:r>
    </w:p>
    <w:p w14:paraId="36F66E0C" w14:textId="77777777" w:rsidR="002F0DE7" w:rsidRDefault="002F0DE7">
      <w:pPr>
        <w:rPr>
          <w:rFonts w:hint="cs"/>
          <w:rtl/>
        </w:rPr>
      </w:pPr>
      <w:r>
        <w:rPr>
          <w:rFonts w:hint="cs"/>
          <w:rtl/>
        </w:rPr>
        <w:t xml:space="preserve">המתלוננת טענה כי החבר שלה באותה תקופה ששמו איתן, ידע על המקרה, אך לא מסר עדות במשטרה מפני שלא רצתה לערב אותו וגם חברה שידעה על המעשים לא העידה במשטרה. לדבריה, לאחר האירועים, צעקה </w:t>
      </w:r>
      <w:r>
        <w:rPr>
          <w:rFonts w:hint="cs"/>
          <w:b/>
          <w:bCs/>
          <w:rtl/>
        </w:rPr>
        <w:t>"כמו מטורפת"</w:t>
      </w:r>
      <w:r>
        <w:rPr>
          <w:rFonts w:hint="cs"/>
          <w:rtl/>
        </w:rPr>
        <w:t xml:space="preserve"> (פרוט' עמ' 18 ש' 21) על אחיה ועל איתן, אך לא הסבירה לאף אחד מהם מדוע היא מתנהגת כך.</w:t>
      </w:r>
    </w:p>
    <w:p w14:paraId="26E89E99" w14:textId="77777777" w:rsidR="002F0DE7" w:rsidRDefault="002F0DE7">
      <w:pPr>
        <w:rPr>
          <w:rFonts w:hint="cs"/>
          <w:rtl/>
        </w:rPr>
      </w:pPr>
    </w:p>
    <w:p w14:paraId="45191E10" w14:textId="77777777" w:rsidR="002F0DE7" w:rsidRDefault="002F0DE7">
      <w:pPr>
        <w:rPr>
          <w:rFonts w:hint="cs"/>
          <w:rtl/>
        </w:rPr>
      </w:pPr>
    </w:p>
    <w:p w14:paraId="6FA3146A" w14:textId="77777777" w:rsidR="002F0DE7" w:rsidRDefault="002F0DE7">
      <w:pPr>
        <w:rPr>
          <w:rFonts w:hint="cs"/>
          <w:rtl/>
        </w:rPr>
      </w:pPr>
      <w:r>
        <w:rPr>
          <w:rFonts w:hint="cs"/>
          <w:rtl/>
        </w:rPr>
        <w:t>היא הכחישה את טענת ב"כ הנאשם, כי היתה מעשנת בתא נהג הקטר מהסיבה כי אסור לאף אחד להיכנס לתא הקטר.</w:t>
      </w:r>
    </w:p>
    <w:p w14:paraId="5E532715" w14:textId="77777777" w:rsidR="002F0DE7" w:rsidRDefault="002F0DE7">
      <w:pPr>
        <w:rPr>
          <w:rFonts w:hint="cs"/>
          <w:rtl/>
        </w:rPr>
      </w:pPr>
      <w:r>
        <w:rPr>
          <w:rFonts w:hint="cs"/>
          <w:rtl/>
        </w:rPr>
        <w:t>המתלוננת טענה כי התפטרה מפני שהפקחים היו מתעללים בה בגלל הנאשם ואמרו לה לבטל את התלונה כנגדו.</w:t>
      </w:r>
    </w:p>
    <w:p w14:paraId="370F4525" w14:textId="77777777" w:rsidR="002F0DE7" w:rsidRDefault="002F0DE7">
      <w:pPr>
        <w:rPr>
          <w:rFonts w:hint="cs"/>
          <w:rtl/>
        </w:rPr>
      </w:pPr>
    </w:p>
    <w:p w14:paraId="5FDC6139" w14:textId="77777777" w:rsidR="002F0DE7" w:rsidRDefault="002F0DE7">
      <w:pPr>
        <w:rPr>
          <w:rFonts w:hint="cs"/>
          <w:u w:val="single"/>
          <w:rtl/>
        </w:rPr>
      </w:pPr>
      <w:r>
        <w:rPr>
          <w:rFonts w:hint="cs"/>
          <w:u w:val="single"/>
          <w:rtl/>
        </w:rPr>
        <w:t>חנן איבגי (להלן: "איבגי"):</w:t>
      </w:r>
    </w:p>
    <w:p w14:paraId="248ABE2C" w14:textId="77777777" w:rsidR="002F0DE7" w:rsidRDefault="002F0DE7">
      <w:pPr>
        <w:rPr>
          <w:rFonts w:hint="cs"/>
          <w:rtl/>
        </w:rPr>
      </w:pPr>
      <w:r>
        <w:rPr>
          <w:rFonts w:hint="cs"/>
          <w:rtl/>
        </w:rPr>
        <w:t>איבגי העיד כי בחודש אפריל בשנת 2000, עבד כמנהל שירות בחברת השמירה בחיפה והיה אחראי לנושא לקוחות, לקליטת עובדים ולעבודה השוטפת. לטענתו, הכיר את המתלוננת מאחר והיה חבר של אחיה.</w:t>
      </w:r>
    </w:p>
    <w:p w14:paraId="79AE5820" w14:textId="77777777" w:rsidR="002F0DE7" w:rsidRDefault="002F0DE7">
      <w:pPr>
        <w:rPr>
          <w:rFonts w:hint="cs"/>
          <w:rtl/>
        </w:rPr>
      </w:pPr>
      <w:r>
        <w:rPr>
          <w:rFonts w:hint="cs"/>
          <w:rtl/>
        </w:rPr>
        <w:t xml:space="preserve">לדבריו, המתלוננת סיפרה לו שאחד מעובדי הרכבת הטריד אותה. בעת עדותו איבגי לא זכר את שמו של "המטריד", אולם הוסיף כי יתכן והמתלוננת אמרה לו את שמו של המטריד, אך זכר שלא הכירו. </w:t>
      </w:r>
    </w:p>
    <w:p w14:paraId="3077C208" w14:textId="77777777" w:rsidR="002F0DE7" w:rsidRDefault="002F0DE7">
      <w:pPr>
        <w:rPr>
          <w:rFonts w:hint="cs"/>
          <w:rtl/>
        </w:rPr>
      </w:pPr>
      <w:r>
        <w:rPr>
          <w:rFonts w:hint="cs"/>
          <w:rtl/>
        </w:rPr>
        <w:t>לאחר מכן, אמר איבגי כי לקח את המתלוננת לתחנת הרכבת בחוף הכרמל שם פגשו את הקב"ט הארצי ששמו חנן ומשם נסעו למשטרה להגיש תלונה.</w:t>
      </w:r>
    </w:p>
    <w:p w14:paraId="7D5B70DD" w14:textId="77777777" w:rsidR="002F0DE7" w:rsidRDefault="002F0DE7">
      <w:pPr>
        <w:rPr>
          <w:rFonts w:hint="cs"/>
          <w:rtl/>
        </w:rPr>
      </w:pPr>
    </w:p>
    <w:p w14:paraId="3805C4D3" w14:textId="77777777" w:rsidR="002F0DE7" w:rsidRDefault="002F0DE7">
      <w:pPr>
        <w:rPr>
          <w:rFonts w:hint="cs"/>
          <w:rtl/>
        </w:rPr>
      </w:pPr>
      <w:r>
        <w:rPr>
          <w:rFonts w:hint="cs"/>
          <w:rtl/>
        </w:rPr>
        <w:t>בחקירתו הנגדית כשנשאל איבגי באם בחן את הכישורים ועברה של המתלוננת, השיב כי לתפקיד שהמתלוננת התקבלה לעבוד בו לא היה צורך בניסיון או הכשרה מיוחדת, אולם הוא בדק את הרישום הפלילי שלה.</w:t>
      </w:r>
    </w:p>
    <w:p w14:paraId="505C93EA" w14:textId="77777777" w:rsidR="002F0DE7" w:rsidRDefault="002F0DE7">
      <w:pPr>
        <w:rPr>
          <w:rFonts w:hint="cs"/>
          <w:rtl/>
        </w:rPr>
      </w:pPr>
      <w:r>
        <w:rPr>
          <w:rFonts w:hint="cs"/>
          <w:rtl/>
        </w:rPr>
        <w:t>איבגי טען כי אינו זוכר מדוע המתלוננת עזבה את עבודתה, אולם לדבריו היתה תחלופה רצינית של עובדים.</w:t>
      </w:r>
    </w:p>
    <w:p w14:paraId="0AA359DE" w14:textId="77777777" w:rsidR="002F0DE7" w:rsidRDefault="002F0DE7">
      <w:pPr>
        <w:rPr>
          <w:rFonts w:hint="cs"/>
          <w:rtl/>
        </w:rPr>
      </w:pPr>
    </w:p>
    <w:p w14:paraId="37BB55AB" w14:textId="77777777" w:rsidR="002F0DE7" w:rsidRDefault="002F0DE7">
      <w:pPr>
        <w:rPr>
          <w:rFonts w:hint="cs"/>
          <w:u w:val="single"/>
          <w:rtl/>
        </w:rPr>
      </w:pPr>
      <w:r>
        <w:rPr>
          <w:rFonts w:hint="cs"/>
          <w:u w:val="single"/>
          <w:rtl/>
        </w:rPr>
        <w:t>חנן גרף (להלן: "גרף"):</w:t>
      </w:r>
    </w:p>
    <w:p w14:paraId="28D2478E" w14:textId="77777777" w:rsidR="002F0DE7" w:rsidRDefault="002F0DE7">
      <w:pPr>
        <w:rPr>
          <w:rFonts w:hint="cs"/>
          <w:rtl/>
        </w:rPr>
      </w:pPr>
      <w:r>
        <w:rPr>
          <w:rFonts w:hint="cs"/>
          <w:rtl/>
        </w:rPr>
        <w:t xml:space="preserve">גרף העיד כי בזמנים הרלוונטים לכתב האישום היה ועודנו קצין בטחון ראשי ברכבת ישראל.     לדבריו, הכיר את המתלוננת בעת שהגיעה אליו להתלונן בתחנת הרכבת בחוף הכרמל.   </w:t>
      </w:r>
    </w:p>
    <w:p w14:paraId="260FE289" w14:textId="77777777" w:rsidR="002F0DE7" w:rsidRDefault="002F0DE7">
      <w:pPr>
        <w:rPr>
          <w:rFonts w:hint="cs"/>
          <w:rtl/>
        </w:rPr>
      </w:pPr>
      <w:r>
        <w:rPr>
          <w:rFonts w:hint="cs"/>
          <w:rtl/>
        </w:rPr>
        <w:t>ליאור תור שהוא מנהלו של איבגי, סיפר לו לראשונה על המתלוננת ובקשתה לשוחח עימו.</w:t>
      </w:r>
    </w:p>
    <w:p w14:paraId="4A727457" w14:textId="77777777" w:rsidR="002F0DE7" w:rsidRDefault="002F0DE7">
      <w:pPr>
        <w:rPr>
          <w:rFonts w:hint="cs"/>
          <w:rtl/>
        </w:rPr>
      </w:pPr>
    </w:p>
    <w:p w14:paraId="23E60DE4" w14:textId="77777777" w:rsidR="002F0DE7" w:rsidRDefault="002F0DE7">
      <w:pPr>
        <w:rPr>
          <w:rFonts w:hint="cs"/>
          <w:rtl/>
        </w:rPr>
      </w:pPr>
    </w:p>
    <w:p w14:paraId="4BAFA6F7" w14:textId="77777777" w:rsidR="002F0DE7" w:rsidRDefault="002F0DE7">
      <w:pPr>
        <w:rPr>
          <w:rFonts w:hint="cs"/>
          <w:rtl/>
        </w:rPr>
      </w:pPr>
    </w:p>
    <w:p w14:paraId="2CA521FB" w14:textId="77777777" w:rsidR="002F0DE7" w:rsidRDefault="002F0DE7">
      <w:pPr>
        <w:rPr>
          <w:rFonts w:hint="cs"/>
          <w:rtl/>
        </w:rPr>
      </w:pPr>
    </w:p>
    <w:p w14:paraId="56156243" w14:textId="77777777" w:rsidR="002F0DE7" w:rsidRDefault="002F0DE7">
      <w:pPr>
        <w:rPr>
          <w:rFonts w:hint="cs"/>
          <w:rtl/>
        </w:rPr>
      </w:pPr>
    </w:p>
    <w:p w14:paraId="0D679A81" w14:textId="77777777" w:rsidR="002F0DE7" w:rsidRDefault="002F0DE7">
      <w:pPr>
        <w:rPr>
          <w:rFonts w:hint="cs"/>
          <w:rtl/>
        </w:rPr>
      </w:pPr>
    </w:p>
    <w:p w14:paraId="5A9F0B7F" w14:textId="77777777" w:rsidR="002F0DE7" w:rsidRDefault="002F0DE7">
      <w:pPr>
        <w:rPr>
          <w:rFonts w:hint="cs"/>
          <w:rtl/>
        </w:rPr>
      </w:pPr>
      <w:r>
        <w:rPr>
          <w:rFonts w:hint="cs"/>
          <w:rtl/>
        </w:rPr>
        <w:t>בעדותו בביהמ"ש גרף סיפר על השיחה בינו לבין במתלוננת:</w:t>
      </w:r>
    </w:p>
    <w:p w14:paraId="2288EFAA" w14:textId="77777777" w:rsidR="002F0DE7" w:rsidRDefault="002F0DE7">
      <w:pPr>
        <w:rPr>
          <w:rFonts w:hint="cs"/>
          <w:rtl/>
        </w:rPr>
      </w:pPr>
    </w:p>
    <w:p w14:paraId="7A5F0F24" w14:textId="77777777" w:rsidR="002F0DE7" w:rsidRDefault="002F0DE7">
      <w:pPr>
        <w:pStyle w:val="a0"/>
        <w:rPr>
          <w:rFonts w:hint="cs"/>
          <w:bCs w:val="0"/>
          <w:rtl/>
        </w:rPr>
      </w:pPr>
      <w:r>
        <w:rPr>
          <w:rFonts w:hint="cs"/>
          <w:rtl/>
        </w:rPr>
        <w:t xml:space="preserve">"היא סיפרה לי על שני מקרים: מקרה אחד- כשהיא עמדה בשירותים באחת הרכבות מול הראי, הנאשם נגע בה בחלקים בגופה והיא התנגדה לו, זה היה המקרה הראשון. מקרה שני- היה בזמן שהנאשם שוחח בטלפון במהלך נסיעה ברכבת, לא זוכר בדיוק מה היא סיפרה על תוכן השיחה שהיא שמעה, אך באיזה שלב הנאשם נגע בשפתיה. נזכרתי בפרטים אלה יום לאחר שקראתי את עדותי במשטרה" </w:t>
      </w:r>
      <w:r>
        <w:rPr>
          <w:rFonts w:hint="cs"/>
          <w:bCs w:val="0"/>
          <w:rtl/>
        </w:rPr>
        <w:t>(פרוט' עמ' 28 ש' 5-9).</w:t>
      </w:r>
    </w:p>
    <w:p w14:paraId="2BD4D5BC" w14:textId="77777777" w:rsidR="002F0DE7" w:rsidRDefault="002F0DE7">
      <w:pPr>
        <w:pStyle w:val="a0"/>
        <w:rPr>
          <w:rFonts w:hint="cs"/>
          <w:rtl/>
        </w:rPr>
      </w:pPr>
    </w:p>
    <w:p w14:paraId="1F18584D" w14:textId="77777777" w:rsidR="002F0DE7" w:rsidRDefault="002F0DE7">
      <w:pPr>
        <w:rPr>
          <w:rFonts w:hint="cs"/>
          <w:rtl/>
        </w:rPr>
      </w:pPr>
    </w:p>
    <w:p w14:paraId="040054FF" w14:textId="77777777" w:rsidR="002F0DE7" w:rsidRDefault="002F0DE7">
      <w:pPr>
        <w:rPr>
          <w:rFonts w:hint="cs"/>
          <w:rtl/>
        </w:rPr>
      </w:pPr>
      <w:r>
        <w:rPr>
          <w:rFonts w:hint="cs"/>
          <w:rtl/>
        </w:rPr>
        <w:t>גרף אמר כי ככתוב בחקירתו במשטרה, המתלוננת טענה שהאירועים התרחשו כשלושה שבועות לפני הפגישה עמו. הוא לדבריו, לא חקר את המתלוננת, אלא רק ביקש ממנה שתפנה למשטרה מפני שחשש שיש במעשים עבירה הקשורה  בפלילים.</w:t>
      </w:r>
    </w:p>
    <w:p w14:paraId="1BC97801" w14:textId="77777777" w:rsidR="002F0DE7" w:rsidRDefault="002F0DE7">
      <w:pPr>
        <w:rPr>
          <w:rFonts w:hint="cs"/>
          <w:rtl/>
        </w:rPr>
      </w:pPr>
      <w:r>
        <w:rPr>
          <w:rFonts w:hint="cs"/>
          <w:rtl/>
        </w:rPr>
        <w:t>גרף העיד כי לא הכיר את הנאשם, אך לאחר המקרה בדק ומצא כי קיימת שביעות רצון מעבודתו של הנאשם כפקח.</w:t>
      </w:r>
    </w:p>
    <w:p w14:paraId="1B0D8F23" w14:textId="77777777" w:rsidR="002F0DE7" w:rsidRDefault="002F0DE7">
      <w:pPr>
        <w:rPr>
          <w:rFonts w:hint="cs"/>
          <w:u w:val="single"/>
          <w:rtl/>
        </w:rPr>
      </w:pPr>
    </w:p>
    <w:p w14:paraId="72390435" w14:textId="77777777" w:rsidR="002F0DE7" w:rsidRDefault="002F0DE7">
      <w:pPr>
        <w:rPr>
          <w:rFonts w:hint="cs"/>
          <w:u w:val="single"/>
          <w:rtl/>
        </w:rPr>
      </w:pPr>
      <w:r>
        <w:rPr>
          <w:rFonts w:hint="cs"/>
          <w:u w:val="single"/>
          <w:rtl/>
        </w:rPr>
        <w:t>רס"מ גדי ברקוביץ (להלן: "רס"מ ברקוביץ"):</w:t>
      </w:r>
    </w:p>
    <w:p w14:paraId="106364EF" w14:textId="77777777" w:rsidR="002F0DE7" w:rsidRDefault="002F0DE7">
      <w:pPr>
        <w:rPr>
          <w:rFonts w:hint="cs"/>
          <w:rtl/>
        </w:rPr>
      </w:pPr>
      <w:r>
        <w:rPr>
          <w:rFonts w:hint="cs"/>
          <w:rtl/>
        </w:rPr>
        <w:t>רס"מ ברקוביץ חוקר במשטרת חיפה, אשר גבה את עדותו של הנאשם (ת/1) וערך את העימות בין הנאשם למתלוננת (ת/2), עימות שלא הוקלט. לטענתו, כתב את הכל בדו"ח ואף ציין בו מספר דברים חריגים.</w:t>
      </w:r>
    </w:p>
    <w:p w14:paraId="5023EC15" w14:textId="77777777" w:rsidR="002F0DE7" w:rsidRDefault="002F0DE7">
      <w:pPr>
        <w:rPr>
          <w:rFonts w:hint="cs"/>
          <w:u w:val="single"/>
          <w:rtl/>
        </w:rPr>
      </w:pPr>
    </w:p>
    <w:p w14:paraId="0D24B182" w14:textId="77777777" w:rsidR="002F0DE7" w:rsidRDefault="002F0DE7">
      <w:pPr>
        <w:rPr>
          <w:rFonts w:hint="cs"/>
          <w:u w:val="single"/>
          <w:rtl/>
        </w:rPr>
      </w:pPr>
      <w:r>
        <w:rPr>
          <w:rFonts w:hint="cs"/>
          <w:u w:val="single"/>
          <w:rtl/>
        </w:rPr>
        <w:t>יוסי צ'ובוטרו (להלן: "יוסי"):</w:t>
      </w:r>
    </w:p>
    <w:p w14:paraId="53BA6D77" w14:textId="77777777" w:rsidR="002F0DE7" w:rsidRDefault="002F0DE7">
      <w:pPr>
        <w:rPr>
          <w:rFonts w:hint="cs"/>
          <w:rtl/>
        </w:rPr>
      </w:pPr>
      <w:r>
        <w:rPr>
          <w:rFonts w:hint="cs"/>
          <w:rtl/>
        </w:rPr>
        <w:t>בזמנים הרלוונטיים לכתב האישום, יוסי תיפקד כעוזר למנהל הסניף של חברת השמירה.</w:t>
      </w:r>
    </w:p>
    <w:p w14:paraId="320652A3" w14:textId="77777777" w:rsidR="002F0DE7" w:rsidRDefault="002F0DE7">
      <w:pPr>
        <w:rPr>
          <w:rFonts w:hint="cs"/>
          <w:rtl/>
        </w:rPr>
      </w:pPr>
      <w:r>
        <w:rPr>
          <w:rFonts w:hint="cs"/>
          <w:rtl/>
        </w:rPr>
        <w:t>הוא טען כי רשם תזכיר פנימי (ת/5) לבקשת המתלוננת, שבו כתב את סידור העבודה של המתלוננת בימים מסוימים.</w:t>
      </w:r>
    </w:p>
    <w:p w14:paraId="379CF9FA" w14:textId="77777777" w:rsidR="002F0DE7" w:rsidRDefault="002F0DE7">
      <w:pPr>
        <w:rPr>
          <w:rFonts w:hint="cs"/>
          <w:rtl/>
        </w:rPr>
      </w:pPr>
      <w:r>
        <w:rPr>
          <w:rFonts w:hint="cs"/>
          <w:rtl/>
        </w:rPr>
        <w:t>בחקירתו הנגדית, יוסי אישר כי את סידור העבודה של הרכבת למקומות השמורים (נ/4), הוא הכין.</w:t>
      </w:r>
    </w:p>
    <w:p w14:paraId="1C2EBF98" w14:textId="77777777" w:rsidR="002F0DE7" w:rsidRDefault="002F0DE7">
      <w:pPr>
        <w:rPr>
          <w:rFonts w:hint="cs"/>
          <w:rtl/>
        </w:rPr>
      </w:pPr>
    </w:p>
    <w:p w14:paraId="4878E08B" w14:textId="77777777" w:rsidR="002F0DE7" w:rsidRDefault="002F0DE7">
      <w:pPr>
        <w:rPr>
          <w:rFonts w:hint="cs"/>
          <w:rtl/>
        </w:rPr>
      </w:pPr>
    </w:p>
    <w:p w14:paraId="604B026B" w14:textId="77777777" w:rsidR="002F0DE7" w:rsidRDefault="002F0DE7">
      <w:pPr>
        <w:rPr>
          <w:rFonts w:hint="cs"/>
          <w:rtl/>
        </w:rPr>
      </w:pPr>
    </w:p>
    <w:p w14:paraId="38A8BF7A" w14:textId="77777777" w:rsidR="002F0DE7" w:rsidRDefault="002F0DE7">
      <w:pPr>
        <w:rPr>
          <w:rFonts w:hint="cs"/>
          <w:rtl/>
        </w:rPr>
      </w:pPr>
    </w:p>
    <w:p w14:paraId="3CC687C8" w14:textId="77777777" w:rsidR="002F0DE7" w:rsidRDefault="002F0DE7">
      <w:pPr>
        <w:rPr>
          <w:rFonts w:hint="cs"/>
          <w:rtl/>
        </w:rPr>
      </w:pPr>
    </w:p>
    <w:p w14:paraId="2753E30B" w14:textId="77777777" w:rsidR="002F0DE7" w:rsidRDefault="002F0DE7">
      <w:pPr>
        <w:rPr>
          <w:rFonts w:hint="cs"/>
          <w:rtl/>
        </w:rPr>
      </w:pPr>
    </w:p>
    <w:p w14:paraId="5839D93D" w14:textId="77777777" w:rsidR="002F0DE7" w:rsidRDefault="002F0DE7">
      <w:pPr>
        <w:pStyle w:val="Title"/>
        <w:spacing w:line="360" w:lineRule="auto"/>
        <w:jc w:val="both"/>
        <w:rPr>
          <w:rFonts w:hint="cs"/>
          <w:sz w:val="24"/>
          <w:szCs w:val="24"/>
          <w:rtl/>
        </w:rPr>
      </w:pPr>
      <w:r>
        <w:rPr>
          <w:rFonts w:hint="cs"/>
          <w:sz w:val="24"/>
          <w:szCs w:val="24"/>
          <w:rtl/>
        </w:rPr>
        <w:t>פרשת ההגנה:</w:t>
      </w:r>
    </w:p>
    <w:p w14:paraId="3E4FD480" w14:textId="77777777" w:rsidR="002F0DE7" w:rsidRDefault="002F0DE7">
      <w:pPr>
        <w:pStyle w:val="Title"/>
        <w:spacing w:line="360" w:lineRule="auto"/>
        <w:jc w:val="both"/>
        <w:rPr>
          <w:rFonts w:hint="cs"/>
          <w:b w:val="0"/>
          <w:bCs w:val="0"/>
          <w:sz w:val="24"/>
          <w:szCs w:val="24"/>
          <w:u w:val="none"/>
          <w:rtl/>
        </w:rPr>
      </w:pPr>
      <w:r>
        <w:rPr>
          <w:rFonts w:hint="cs"/>
          <w:b w:val="0"/>
          <w:bCs w:val="0"/>
          <w:sz w:val="24"/>
          <w:szCs w:val="24"/>
          <w:u w:val="none"/>
          <w:rtl/>
        </w:rPr>
        <w:t>ההגנה העידה מטעמה  2 עדים והגישה 4 מוצגים:</w:t>
      </w:r>
    </w:p>
    <w:p w14:paraId="1797F617" w14:textId="77777777" w:rsidR="002F0DE7" w:rsidRDefault="002F0DE7">
      <w:pPr>
        <w:rPr>
          <w:rFonts w:hint="cs"/>
          <w:rtl/>
        </w:rPr>
      </w:pPr>
    </w:p>
    <w:p w14:paraId="3BC87DB0" w14:textId="77777777" w:rsidR="002F0DE7" w:rsidRDefault="002F0DE7">
      <w:pPr>
        <w:rPr>
          <w:rFonts w:hint="cs"/>
          <w:u w:val="single"/>
          <w:rtl/>
        </w:rPr>
      </w:pPr>
      <w:r>
        <w:rPr>
          <w:rFonts w:hint="cs"/>
          <w:u w:val="single"/>
          <w:rtl/>
        </w:rPr>
        <w:t>רפאל פרץ (להלן: "הנאשם"):</w:t>
      </w:r>
    </w:p>
    <w:p w14:paraId="158A9EA9" w14:textId="77777777" w:rsidR="002F0DE7" w:rsidRDefault="002F0DE7">
      <w:pPr>
        <w:rPr>
          <w:rFonts w:hint="cs"/>
          <w:rtl/>
        </w:rPr>
      </w:pPr>
      <w:r>
        <w:rPr>
          <w:rFonts w:hint="cs"/>
          <w:rtl/>
        </w:rPr>
        <w:t>הנאשם העיד כי הינו עובד ברכבת ישראל משנת 2000 כפקח וכעוזר נהג.</w:t>
      </w:r>
    </w:p>
    <w:p w14:paraId="01F56515" w14:textId="77777777" w:rsidR="002F0DE7" w:rsidRDefault="002F0DE7">
      <w:pPr>
        <w:rPr>
          <w:rFonts w:hint="cs"/>
          <w:rtl/>
        </w:rPr>
      </w:pPr>
      <w:r>
        <w:rPr>
          <w:rFonts w:hint="cs"/>
          <w:rtl/>
        </w:rPr>
        <w:t>לדבריו, אינו יודע כיצד הוא קשור להאשמות שבכתב האישום.</w:t>
      </w:r>
    </w:p>
    <w:p w14:paraId="3E338622" w14:textId="77777777" w:rsidR="002F0DE7" w:rsidRDefault="002F0DE7">
      <w:pPr>
        <w:rPr>
          <w:rFonts w:hint="cs"/>
          <w:rtl/>
        </w:rPr>
      </w:pPr>
    </w:p>
    <w:p w14:paraId="59ADA656" w14:textId="77777777" w:rsidR="002F0DE7" w:rsidRDefault="002F0DE7">
      <w:pPr>
        <w:rPr>
          <w:rFonts w:hint="cs"/>
          <w:rtl/>
        </w:rPr>
      </w:pPr>
      <w:r>
        <w:rPr>
          <w:rFonts w:hint="cs"/>
          <w:rtl/>
        </w:rPr>
        <w:t>כשנשאל בחקירתו הנגדית, כמה זמן הוא מכיר את המתלוננת, השיב כי הכיר אותה רק בענייני עבודה "בפנים" ברכבת, ושלא הכיר אותה עד שהגיע לביהמ"ש.</w:t>
      </w:r>
    </w:p>
    <w:p w14:paraId="75D315DE" w14:textId="77777777" w:rsidR="002F0DE7" w:rsidRDefault="002F0DE7">
      <w:pPr>
        <w:rPr>
          <w:rFonts w:hint="cs"/>
          <w:rtl/>
        </w:rPr>
      </w:pPr>
    </w:p>
    <w:p w14:paraId="3DFAE3AE" w14:textId="77777777" w:rsidR="002F0DE7" w:rsidRDefault="002F0DE7">
      <w:pPr>
        <w:rPr>
          <w:rFonts w:hint="cs"/>
          <w:rtl/>
        </w:rPr>
      </w:pPr>
      <w:r>
        <w:rPr>
          <w:rFonts w:hint="cs"/>
          <w:rtl/>
        </w:rPr>
        <w:t>הנאשם אישר כי הוא מכיר מקום שנקרא "סביח", אך מעולם לא פגש ודיבר עם המתלוננת שם.   הוא אישר גם כי היה ב"סביח" עם צ'רלי ביטון ושהיתה לו מכונית אדומה עם גג פתוח.</w:t>
      </w:r>
    </w:p>
    <w:p w14:paraId="5CFD51C4" w14:textId="77777777" w:rsidR="002F0DE7" w:rsidRDefault="002F0DE7">
      <w:pPr>
        <w:rPr>
          <w:rFonts w:hint="cs"/>
          <w:rtl/>
        </w:rPr>
      </w:pPr>
      <w:r>
        <w:rPr>
          <w:rFonts w:hint="cs"/>
          <w:rtl/>
        </w:rPr>
        <w:t>בעדותו, טען כי מתוקף תפקידו כפקח היה נכנס לקרונות השמורים כדי לבדוק כרטיסים ושם ראה את המתלוננת.</w:t>
      </w:r>
    </w:p>
    <w:p w14:paraId="7D36B7F2" w14:textId="77777777" w:rsidR="002F0DE7" w:rsidRDefault="002F0DE7">
      <w:pPr>
        <w:rPr>
          <w:rFonts w:hint="cs"/>
          <w:rtl/>
        </w:rPr>
      </w:pPr>
    </w:p>
    <w:p w14:paraId="373BC6C3" w14:textId="77777777" w:rsidR="002F0DE7" w:rsidRDefault="002F0DE7">
      <w:pPr>
        <w:rPr>
          <w:rFonts w:hint="cs"/>
          <w:rtl/>
        </w:rPr>
      </w:pPr>
      <w:r>
        <w:rPr>
          <w:rFonts w:hint="cs"/>
          <w:rtl/>
        </w:rPr>
        <w:t>כאשר נשאל מדוע אמר שאינו מכיר את המתלוננת השיב:</w:t>
      </w:r>
    </w:p>
    <w:p w14:paraId="0B44E675" w14:textId="77777777" w:rsidR="002F0DE7" w:rsidRDefault="002F0DE7">
      <w:pPr>
        <w:rPr>
          <w:rFonts w:hint="cs"/>
          <w:rtl/>
        </w:rPr>
      </w:pPr>
    </w:p>
    <w:p w14:paraId="6D49D225" w14:textId="77777777" w:rsidR="002F0DE7" w:rsidRDefault="002F0DE7">
      <w:pPr>
        <w:pStyle w:val="a0"/>
        <w:rPr>
          <w:rFonts w:hint="cs"/>
          <w:bCs w:val="0"/>
          <w:rtl/>
        </w:rPr>
      </w:pPr>
      <w:r>
        <w:rPr>
          <w:rFonts w:hint="cs"/>
          <w:rtl/>
        </w:rPr>
        <w:t xml:space="preserve">"נכון, יש תחלופה גדולה של עובדים שם, אני מכיר את רוב העובדים, בעיקר עובדים זמניים, אני מכיר בפרצופים בלבד, אני אמרתי שאיני מכיר אותה בשם הספציפי אלא בפנים אני מכיר אותה" </w:t>
      </w:r>
      <w:r>
        <w:rPr>
          <w:rFonts w:hint="cs"/>
          <w:bCs w:val="0"/>
          <w:rtl/>
        </w:rPr>
        <w:t>(פרוט' עמ' 40 ש' 27-29).</w:t>
      </w:r>
    </w:p>
    <w:p w14:paraId="440FC5C2" w14:textId="77777777" w:rsidR="002F0DE7" w:rsidRDefault="002F0DE7">
      <w:pPr>
        <w:rPr>
          <w:rFonts w:hint="cs"/>
          <w:rtl/>
        </w:rPr>
      </w:pPr>
    </w:p>
    <w:p w14:paraId="2C22881B" w14:textId="77777777" w:rsidR="002F0DE7" w:rsidRDefault="002F0DE7">
      <w:pPr>
        <w:rPr>
          <w:rFonts w:hint="cs"/>
          <w:rtl/>
        </w:rPr>
      </w:pPr>
      <w:r>
        <w:rPr>
          <w:rFonts w:hint="cs"/>
          <w:rtl/>
        </w:rPr>
        <w:t>לטענת הנאשם, בהודעתו השנייה (ת/1) זכר את שמה של המתלוננת מפני שאחרי הודעתו הראשונה (ת/3) במשטרה, שאל את עובדי הרכבת במי מדובר ומי הבחורה שהתלוננה עליו ורק אז קישר בין שמה של המתלוננת לפניה.</w:t>
      </w:r>
    </w:p>
    <w:p w14:paraId="43CC4B7A" w14:textId="77777777" w:rsidR="002F0DE7" w:rsidRDefault="002F0DE7">
      <w:pPr>
        <w:rPr>
          <w:rFonts w:hint="cs"/>
          <w:rtl/>
        </w:rPr>
      </w:pPr>
    </w:p>
    <w:p w14:paraId="0F784EBB" w14:textId="77777777" w:rsidR="002F0DE7" w:rsidRDefault="002F0DE7">
      <w:pPr>
        <w:rPr>
          <w:rFonts w:hint="cs"/>
          <w:rtl/>
        </w:rPr>
      </w:pPr>
      <w:r>
        <w:rPr>
          <w:rFonts w:hint="cs"/>
          <w:rtl/>
        </w:rPr>
        <w:t>הנאשם העיד כי כנראה למתלוננת היה מניע להתלונן עליו, וכדבריו:</w:t>
      </w:r>
    </w:p>
    <w:p w14:paraId="15711362" w14:textId="77777777" w:rsidR="002F0DE7" w:rsidRDefault="002F0DE7">
      <w:pPr>
        <w:rPr>
          <w:rFonts w:hint="cs"/>
          <w:rtl/>
        </w:rPr>
      </w:pPr>
    </w:p>
    <w:p w14:paraId="2E0159F7" w14:textId="77777777" w:rsidR="002F0DE7" w:rsidRDefault="002F0DE7">
      <w:pPr>
        <w:pStyle w:val="a0"/>
        <w:rPr>
          <w:rFonts w:hint="cs"/>
          <w:bCs w:val="0"/>
          <w:rtl/>
        </w:rPr>
      </w:pPr>
      <w:r>
        <w:rPr>
          <w:rFonts w:hint="cs"/>
          <w:rtl/>
        </w:rPr>
        <w:t xml:space="preserve">"לפי עדות המתלוננת וממה שאני שמעתי פה, היא יודעת איזה רכבים היו לי, איזה חברים, אפילו איפה שאני אוכל, היא יודעת מי החברה שלי, היא ראתה בחור צעיר ואולי היא חשבה שהיא יכולה להוציא ממני כסף. ברצוני לציין שלא ציינתי בעדות, אך יכול להיות שמה שקרה לי איתה זה שתפסתי אותה בקטר מעשנת סיגריה ואני אמרתי לה שאם אני אראה אותה עוד פעם שהיא מעשנת סיגריה בקטר אדאג שהיא לא תעבוד ברכבת ויכול להיות שהיא החליטה להתנקם בי" </w:t>
      </w:r>
      <w:r>
        <w:rPr>
          <w:rFonts w:hint="cs"/>
          <w:bCs w:val="0"/>
          <w:rtl/>
        </w:rPr>
        <w:t>(פרוט' עמ' 42 ש' 11-16).</w:t>
      </w:r>
    </w:p>
    <w:p w14:paraId="04E51786" w14:textId="77777777" w:rsidR="002F0DE7" w:rsidRDefault="002F0DE7">
      <w:pPr>
        <w:rPr>
          <w:rFonts w:hint="cs"/>
          <w:rtl/>
        </w:rPr>
      </w:pPr>
      <w:r>
        <w:rPr>
          <w:rFonts w:hint="cs"/>
          <w:rtl/>
        </w:rPr>
        <w:t xml:space="preserve">הנאשם טען כי לאחר שמנהל המרחב אמר לו שהינו מושעה מהעבודה עקב תלונה של המתלוננת,  ניגש ליוסי צ'יבוטרו, מנהל סניף חב' השמירה וביקש ממנו את סידור העבודה של המתלוננת (נ/4) וכן ביקש ממנו לבדוק את התאריכים שציינה המתלוננת בתלונתה בכדי לדעת באם עבדה באותם ימים. בתשובה לכך, יוסי צ'יבוטרו כתב לו את המזכר (ת/5). </w:t>
      </w:r>
    </w:p>
    <w:p w14:paraId="63C42B65" w14:textId="77777777" w:rsidR="002F0DE7" w:rsidRDefault="002F0DE7">
      <w:pPr>
        <w:rPr>
          <w:rFonts w:hint="cs"/>
          <w:rtl/>
        </w:rPr>
      </w:pPr>
      <w:r>
        <w:rPr>
          <w:rFonts w:hint="cs"/>
          <w:rtl/>
        </w:rPr>
        <w:t xml:space="preserve">הנאשם הוסיף כי ביקש גם ממנהל העבודה שלו את סידורי העבודה שלו בכדי להצדיק את טענותיו שלא עבד בתאריכים אותם ציינה המתלוננת כמועדי האירועים. </w:t>
      </w:r>
    </w:p>
    <w:p w14:paraId="77C1B8F9" w14:textId="77777777" w:rsidR="002F0DE7" w:rsidRDefault="002F0DE7">
      <w:pPr>
        <w:rPr>
          <w:rFonts w:hint="cs"/>
          <w:rtl/>
        </w:rPr>
      </w:pPr>
    </w:p>
    <w:p w14:paraId="5DE22F40" w14:textId="77777777" w:rsidR="002F0DE7" w:rsidRDefault="002F0DE7">
      <w:pPr>
        <w:rPr>
          <w:rFonts w:hint="cs"/>
          <w:u w:val="single"/>
          <w:rtl/>
        </w:rPr>
      </w:pPr>
      <w:r>
        <w:rPr>
          <w:rFonts w:hint="cs"/>
          <w:u w:val="single"/>
          <w:rtl/>
        </w:rPr>
        <w:t>לונה בצלאל (להלן: "לונה"):</w:t>
      </w:r>
    </w:p>
    <w:p w14:paraId="493BA1C3" w14:textId="77777777" w:rsidR="002F0DE7" w:rsidRDefault="002F0DE7">
      <w:pPr>
        <w:rPr>
          <w:rFonts w:hint="cs"/>
          <w:rtl/>
        </w:rPr>
      </w:pPr>
      <w:r>
        <w:rPr>
          <w:rFonts w:hint="cs"/>
          <w:rtl/>
        </w:rPr>
        <w:t>לונה העידה כי בשנת 2000 היתה חוקרת במחלקת תלונות חיפה וגבתה את הודעתה של המתלוננת (נ/1).</w:t>
      </w:r>
    </w:p>
    <w:p w14:paraId="0FB984D1" w14:textId="77777777" w:rsidR="002F0DE7" w:rsidRDefault="002F0DE7">
      <w:pPr>
        <w:rPr>
          <w:rFonts w:hint="cs"/>
          <w:rtl/>
        </w:rPr>
      </w:pPr>
      <w:r>
        <w:rPr>
          <w:rFonts w:hint="cs"/>
          <w:rtl/>
        </w:rPr>
        <w:t>לטענתה, רשמה את כל דברי המתלוננת ולא הכריחה אותה למסור תאריכים מסויימים, ולאחר גביית העדות, העבירה את הטיפול לחקירות.</w:t>
      </w:r>
    </w:p>
    <w:p w14:paraId="5B290AA2" w14:textId="77777777" w:rsidR="002F0DE7" w:rsidRDefault="002F0DE7">
      <w:pPr>
        <w:rPr>
          <w:rFonts w:hint="cs"/>
          <w:rtl/>
        </w:rPr>
      </w:pPr>
    </w:p>
    <w:p w14:paraId="5089D858" w14:textId="77777777" w:rsidR="002F0DE7" w:rsidRDefault="002F0DE7">
      <w:pPr>
        <w:rPr>
          <w:rFonts w:hint="cs"/>
          <w:rtl/>
        </w:rPr>
      </w:pPr>
      <w:r>
        <w:rPr>
          <w:rFonts w:hint="cs"/>
          <w:rtl/>
        </w:rPr>
        <w:t>בחקירתה הנגדית, כנשאלה לונה אם ביקשה מהמתלוננת תאריכים לאירועים, השיבה כי שאלה לתאריך, שעה, מקום, אך לא "הלחיצה" את המתלוננת לנקוב בהם.</w:t>
      </w:r>
    </w:p>
    <w:p w14:paraId="533D8C99" w14:textId="77777777" w:rsidR="002F0DE7" w:rsidRDefault="002F0DE7">
      <w:pPr>
        <w:rPr>
          <w:rFonts w:hint="cs"/>
          <w:rtl/>
        </w:rPr>
      </w:pPr>
    </w:p>
    <w:p w14:paraId="7B47A13F" w14:textId="77777777" w:rsidR="002F0DE7" w:rsidRDefault="002F0DE7">
      <w:pPr>
        <w:rPr>
          <w:rFonts w:hint="cs"/>
          <w:b/>
          <w:bCs/>
          <w:u w:val="single"/>
          <w:rtl/>
        </w:rPr>
      </w:pPr>
      <w:r>
        <w:rPr>
          <w:rFonts w:hint="cs"/>
          <w:b/>
          <w:bCs/>
          <w:u w:val="single"/>
          <w:rtl/>
        </w:rPr>
        <w:t>טענות הצדדים:</w:t>
      </w:r>
    </w:p>
    <w:p w14:paraId="0601DBA9" w14:textId="77777777" w:rsidR="002F0DE7" w:rsidRDefault="002F0DE7">
      <w:pPr>
        <w:rPr>
          <w:rFonts w:hint="cs"/>
          <w:rtl/>
        </w:rPr>
      </w:pPr>
      <w:r>
        <w:rPr>
          <w:rFonts w:hint="cs"/>
          <w:rtl/>
        </w:rPr>
        <w:t>ב"כ המאשימה טענה כי יש להעדיף את גירסת המתלוננת אל מול גירסת הנאשם לגבי השתלשלות העניינים, מאחר והמתלוננת הותירה רושם של בחורה אמינה וישרה ולא היתה לה כל סיבה להעליל על הנאשם.</w:t>
      </w:r>
    </w:p>
    <w:p w14:paraId="105499EB" w14:textId="77777777" w:rsidR="002F0DE7" w:rsidRDefault="002F0DE7">
      <w:pPr>
        <w:rPr>
          <w:rFonts w:hint="cs"/>
          <w:rtl/>
        </w:rPr>
      </w:pPr>
    </w:p>
    <w:p w14:paraId="18A196B4" w14:textId="77777777" w:rsidR="002F0DE7" w:rsidRDefault="002F0DE7">
      <w:pPr>
        <w:rPr>
          <w:rFonts w:hint="cs"/>
          <w:rtl/>
        </w:rPr>
      </w:pPr>
      <w:r>
        <w:rPr>
          <w:rFonts w:hint="cs"/>
          <w:rtl/>
        </w:rPr>
        <w:t>עוד היא טוענת כי הנאשם מרחיק עצמו מהאירוע וגירסתו היתה רצופת סתירות והסברים לא הגיוניים.</w:t>
      </w:r>
    </w:p>
    <w:p w14:paraId="0A1F3210" w14:textId="77777777" w:rsidR="002F0DE7" w:rsidRDefault="002F0DE7">
      <w:pPr>
        <w:rPr>
          <w:rFonts w:hint="cs"/>
          <w:rtl/>
        </w:rPr>
      </w:pPr>
    </w:p>
    <w:p w14:paraId="69D04BE7" w14:textId="77777777" w:rsidR="002F0DE7" w:rsidRDefault="002F0DE7">
      <w:pPr>
        <w:rPr>
          <w:rFonts w:hint="cs"/>
          <w:rtl/>
        </w:rPr>
      </w:pPr>
      <w:r>
        <w:rPr>
          <w:rFonts w:hint="cs"/>
          <w:rtl/>
        </w:rPr>
        <w:t>לסיכום דבריה, אמרה ב"כ המאשימה כי היסוד העובדתי שבכתב האישום לגבי המעשים המגונים הוכח, וכי גם היסוד הנפשי התקיים, שכן מעשיו של הנאשם הינם בעלי משמעות מינית ונעשו לשם גירוי וסיפוק מיני, וזאת ללא הסכמת המתלוננת.</w:t>
      </w:r>
    </w:p>
    <w:p w14:paraId="76FCD0AE" w14:textId="77777777" w:rsidR="002F0DE7" w:rsidRDefault="002F0DE7">
      <w:pPr>
        <w:rPr>
          <w:rFonts w:hint="cs"/>
          <w:rtl/>
        </w:rPr>
      </w:pPr>
      <w:r>
        <w:rPr>
          <w:rFonts w:hint="cs"/>
          <w:rtl/>
        </w:rPr>
        <w:t xml:space="preserve">בעבירה שכזו די ברמת כוונה פלילית של פזיזות, כאשר הנאשם הוא הנוטל את הסיכון שמא נעדרת הסכמה. </w:t>
      </w:r>
    </w:p>
    <w:p w14:paraId="5BDE9566" w14:textId="77777777" w:rsidR="002F0DE7" w:rsidRDefault="002F0DE7">
      <w:pPr>
        <w:rPr>
          <w:rFonts w:hint="cs"/>
          <w:rtl/>
        </w:rPr>
      </w:pPr>
    </w:p>
    <w:p w14:paraId="0516635E" w14:textId="77777777" w:rsidR="002F0DE7" w:rsidRDefault="002F0DE7">
      <w:pPr>
        <w:rPr>
          <w:rFonts w:hint="cs"/>
          <w:rtl/>
        </w:rPr>
      </w:pPr>
    </w:p>
    <w:p w14:paraId="46EEC38C" w14:textId="77777777" w:rsidR="002F0DE7" w:rsidRDefault="002F0DE7">
      <w:pPr>
        <w:rPr>
          <w:rFonts w:hint="cs"/>
          <w:rtl/>
        </w:rPr>
      </w:pPr>
      <w:r>
        <w:rPr>
          <w:rFonts w:hint="cs"/>
          <w:rtl/>
        </w:rPr>
        <w:t xml:space="preserve">לטענת ב"כ המאשימה, התביעה הוכיחה התנהגות אקטיבית של המתלוננת, הן במילים והן במעשים הדוחה את מעשיו של הנאשם, ולכן מבקשת היא להרשיע את הנאשם בעבירות שיוחסו לו בכתב האישום. </w:t>
      </w:r>
    </w:p>
    <w:p w14:paraId="50D0A6C1" w14:textId="77777777" w:rsidR="002F0DE7" w:rsidRDefault="002F0DE7">
      <w:pPr>
        <w:rPr>
          <w:rFonts w:hint="cs"/>
          <w:rtl/>
        </w:rPr>
      </w:pPr>
    </w:p>
    <w:p w14:paraId="6F9A0C3B" w14:textId="77777777" w:rsidR="002F0DE7" w:rsidRDefault="002F0DE7">
      <w:pPr>
        <w:rPr>
          <w:rFonts w:hint="cs"/>
          <w:rtl/>
        </w:rPr>
      </w:pPr>
      <w:r>
        <w:rPr>
          <w:rFonts w:hint="cs"/>
          <w:rtl/>
        </w:rPr>
        <w:t>ב"כ הנאשם  טען כי יש לזכות את הנאשם, שכן לדבריו, לא הוכח ברמה הנדרשת בפלילים כי הוא ביצע את המעשים המיוחסים לו.</w:t>
      </w:r>
    </w:p>
    <w:p w14:paraId="03D436A3" w14:textId="77777777" w:rsidR="002F0DE7" w:rsidRDefault="002F0DE7">
      <w:pPr>
        <w:rPr>
          <w:rFonts w:hint="cs"/>
          <w:rtl/>
        </w:rPr>
      </w:pPr>
      <w:r>
        <w:rPr>
          <w:rFonts w:hint="cs"/>
          <w:rtl/>
        </w:rPr>
        <w:t>והוסיף כי חרף העובדה כי שבעבירות מין ניתן להסתמך על עדות יחידה של נפגע, אין זה המקרה בו יש להסתמך על עדות יחידה זו.</w:t>
      </w:r>
    </w:p>
    <w:p w14:paraId="7F40C0C9" w14:textId="77777777" w:rsidR="002F0DE7" w:rsidRDefault="002F0DE7">
      <w:pPr>
        <w:rPr>
          <w:rFonts w:hint="cs"/>
          <w:rtl/>
        </w:rPr>
      </w:pPr>
    </w:p>
    <w:p w14:paraId="7230DA59" w14:textId="77777777" w:rsidR="002F0DE7" w:rsidRDefault="002F0DE7">
      <w:pPr>
        <w:pStyle w:val="BodyText"/>
        <w:rPr>
          <w:rFonts w:hint="cs"/>
          <w:rtl/>
        </w:rPr>
      </w:pPr>
      <w:r>
        <w:rPr>
          <w:rFonts w:hint="cs"/>
          <w:rtl/>
        </w:rPr>
        <w:t>הסניגור הוסיף כי ניתן להסיק מעדותה של המתלוננת שכל האירועים היו בתקופה של 3 שבועות עד למסירת עדותה. אולם, מבדיקת סידורי העבודה של המתלוננת והנאשם, עולה כי השניים לא נפגשו כלל במועדים אותם ציינה המתלוננת כמועדי האירועים.</w:t>
      </w:r>
    </w:p>
    <w:p w14:paraId="573587EF" w14:textId="77777777" w:rsidR="002F0DE7" w:rsidRDefault="002F0DE7">
      <w:pPr>
        <w:rPr>
          <w:rFonts w:hint="cs"/>
          <w:rtl/>
        </w:rPr>
      </w:pPr>
    </w:p>
    <w:p w14:paraId="3BACC28D" w14:textId="77777777" w:rsidR="002F0DE7" w:rsidRDefault="002F0DE7">
      <w:pPr>
        <w:rPr>
          <w:rFonts w:hint="cs"/>
          <w:b/>
          <w:bCs/>
          <w:u w:val="single"/>
          <w:rtl/>
        </w:rPr>
      </w:pPr>
      <w:r>
        <w:rPr>
          <w:rFonts w:hint="cs"/>
          <w:b/>
          <w:bCs/>
          <w:u w:val="single"/>
          <w:rtl/>
        </w:rPr>
        <w:t>הדיון המשפטי:</w:t>
      </w:r>
    </w:p>
    <w:p w14:paraId="6DB0762F" w14:textId="77777777" w:rsidR="002F0DE7" w:rsidRDefault="002F0DE7">
      <w:pPr>
        <w:rPr>
          <w:rFonts w:hint="cs"/>
          <w:rtl/>
        </w:rPr>
      </w:pPr>
      <w:r>
        <w:rPr>
          <w:rFonts w:hint="cs"/>
          <w:rtl/>
        </w:rPr>
        <w:t>אין חולק כי המקרה הנדון הינו מורכב ובעייתי, ובסופו של יום עומדות להן משני צידי המתרס שתי גירסאות מנוגדות, מחד גרסת המתלוננת ומאידך גרסת הנאשם.</w:t>
      </w:r>
    </w:p>
    <w:p w14:paraId="25B2D68C" w14:textId="77777777" w:rsidR="002F0DE7" w:rsidRDefault="002F0DE7">
      <w:pPr>
        <w:rPr>
          <w:rFonts w:hint="cs"/>
          <w:rtl/>
        </w:rPr>
      </w:pPr>
      <w:r>
        <w:rPr>
          <w:rFonts w:hint="cs"/>
          <w:rtl/>
        </w:rPr>
        <w:t>מאחר והנאשם והמתלוננת היו העדים היחידים לאירועים הנטענים ע"י המתלוננת, בכדי להכריע אם לזכות או להרשיע את הנאשם, עלי לקבוע אלו מהגירסאות זו של הנאשם או זו של המתלוננת עדיפה עלי.</w:t>
      </w:r>
    </w:p>
    <w:p w14:paraId="58DD7ADF" w14:textId="77777777" w:rsidR="002F0DE7" w:rsidRDefault="002F0DE7">
      <w:pPr>
        <w:pStyle w:val="a3"/>
        <w:rPr>
          <w:rFonts w:hint="cs"/>
          <w:sz w:val="20"/>
          <w:rtl/>
        </w:rPr>
      </w:pPr>
    </w:p>
    <w:p w14:paraId="43BF97D3" w14:textId="77777777" w:rsidR="002F0DE7" w:rsidRDefault="002F0DE7">
      <w:pPr>
        <w:rPr>
          <w:rFonts w:hint="cs"/>
          <w:rtl/>
        </w:rPr>
      </w:pPr>
      <w:r>
        <w:rPr>
          <w:rFonts w:hint="cs"/>
          <w:rtl/>
        </w:rPr>
        <w:t xml:space="preserve">בית המשפט העליון  התייחס לבעייתיות ההרשעה והזיכוי בעבירות מין </w:t>
      </w:r>
      <w:r>
        <w:rPr>
          <w:rFonts w:hint="cs"/>
          <w:u w:val="single"/>
          <w:rtl/>
        </w:rPr>
        <w:t>ב</w:t>
      </w:r>
      <w:hyperlink r:id="rId25" w:history="1">
        <w:r w:rsidR="006A60ED" w:rsidRPr="006A60ED">
          <w:rPr>
            <w:rStyle w:val="Hyperlink"/>
            <w:rtl/>
          </w:rPr>
          <w:t>ע.פ. 288/88, סעיד גנדור נ' מ</w:t>
        </w:r>
        <w:r w:rsidR="006A60ED" w:rsidRPr="006A60ED">
          <w:rPr>
            <w:rStyle w:val="Hyperlink"/>
            <w:rtl/>
          </w:rPr>
          <w:t>"</w:t>
        </w:r>
        <w:r w:rsidR="006A60ED" w:rsidRPr="006A60ED">
          <w:rPr>
            <w:rStyle w:val="Hyperlink"/>
            <w:rtl/>
          </w:rPr>
          <w:t>י</w:t>
        </w:r>
      </w:hyperlink>
      <w:r w:rsidR="002A7E71" w:rsidRPr="006A60ED">
        <w:rPr>
          <w:rtl/>
        </w:rPr>
        <w:t>, פ"ד מב</w:t>
      </w:r>
      <w:r>
        <w:rPr>
          <w:rFonts w:hint="cs"/>
          <w:rtl/>
        </w:rPr>
        <w:t>(4) 45, בעמ' 48 באומרו:</w:t>
      </w:r>
    </w:p>
    <w:p w14:paraId="28305930" w14:textId="77777777" w:rsidR="002F0DE7" w:rsidRDefault="002F0DE7">
      <w:pPr>
        <w:rPr>
          <w:rFonts w:hint="cs"/>
          <w:rtl/>
        </w:rPr>
      </w:pPr>
    </w:p>
    <w:p w14:paraId="61DA509D" w14:textId="77777777" w:rsidR="002F0DE7" w:rsidRDefault="002F0DE7">
      <w:pPr>
        <w:pStyle w:val="a0"/>
        <w:rPr>
          <w:rFonts w:hint="cs"/>
          <w:rtl/>
        </w:rPr>
      </w:pPr>
      <w:r>
        <w:rPr>
          <w:rFonts w:hint="cs"/>
          <w:rtl/>
        </w:rPr>
        <w:t>"עבירות מין זכו בפקודה (</w:t>
      </w:r>
      <w:r w:rsidR="002A7E71" w:rsidRPr="006A60ED">
        <w:rPr>
          <w:rFonts w:hint="eastAsia"/>
          <w:rtl/>
        </w:rPr>
        <w:t>פקודת</w:t>
      </w:r>
      <w:r w:rsidR="002A7E71" w:rsidRPr="006A60ED">
        <w:rPr>
          <w:rtl/>
        </w:rPr>
        <w:t xml:space="preserve"> הראיות</w:t>
      </w:r>
      <w:r>
        <w:rPr>
          <w:rFonts w:hint="cs"/>
          <w:rtl/>
        </w:rPr>
        <w:t xml:space="preserve"> [נוסח חדש] תשל"א-1971) להתייחסות מיוחדת, הנובעת מעצם טיבן וייחודן: עבירות אלה מבוצעות בצנעה ובלי שהיה בדרך כלל אפשרות להעיד ראיה להתרחשויות. מאפיין זה שתי פנים לו: מחד גיסא יקשה על קרבן של עבירות מין למצוא עדים שיעידו ויחזקו את גירסתו, ומאידך גיסא עלול "קורבן" כביכול בעבירות מין לטפול עלילת שווא, בעוד ש"החשוד" יתקשה להתגונן כלפיה אם לא תידרש תוספת לעדות הקורבן".</w:t>
      </w:r>
    </w:p>
    <w:p w14:paraId="0F53907F" w14:textId="77777777" w:rsidR="002F0DE7" w:rsidRDefault="002F0DE7">
      <w:pPr>
        <w:pStyle w:val="a0"/>
        <w:rPr>
          <w:rFonts w:hint="cs"/>
          <w:rtl/>
        </w:rPr>
      </w:pPr>
    </w:p>
    <w:p w14:paraId="13DB1C79" w14:textId="77777777" w:rsidR="002F0DE7" w:rsidRDefault="002F0DE7">
      <w:pPr>
        <w:pStyle w:val="a0"/>
        <w:rPr>
          <w:rFonts w:hint="cs"/>
          <w:rtl/>
        </w:rPr>
      </w:pPr>
    </w:p>
    <w:p w14:paraId="57E01A9C" w14:textId="77777777" w:rsidR="002F0DE7" w:rsidRDefault="002F0DE7">
      <w:pPr>
        <w:rPr>
          <w:rFonts w:hint="cs"/>
          <w:rtl/>
        </w:rPr>
      </w:pPr>
      <w:r>
        <w:rPr>
          <w:rFonts w:hint="cs"/>
          <w:rtl/>
        </w:rPr>
        <w:t>ראשית, יש לבחון את הגרעין הקשה של האירועים והתמונה הכללית המתקבלת מן העדות והחיזוקים לה בכדי להגיע למסקנה באם הוכחה אשמתו של הנאשם מעל לכל ספק סביר.</w:t>
      </w:r>
    </w:p>
    <w:p w14:paraId="4B69A58B" w14:textId="77777777" w:rsidR="002F0DE7" w:rsidRDefault="002F0DE7">
      <w:pPr>
        <w:rPr>
          <w:rFonts w:hint="cs"/>
          <w:rtl/>
        </w:rPr>
      </w:pPr>
    </w:p>
    <w:p w14:paraId="2F009B4A" w14:textId="77777777" w:rsidR="002F0DE7" w:rsidRDefault="002F0DE7">
      <w:pPr>
        <w:rPr>
          <w:rFonts w:hint="cs"/>
          <w:rtl/>
        </w:rPr>
      </w:pPr>
      <w:r>
        <w:rPr>
          <w:rFonts w:hint="cs"/>
          <w:rtl/>
        </w:rPr>
        <w:t xml:space="preserve">ניסיון החיים מלמד כי עדות נעדרת פגמים היא מקרה נדיר ואילו סתירות הנוגעות בפרטים שוליים מצביעות דווקא על טעות אנושית ואינן מטילות דופי במהימנות של עד (ראה דברי הנשיא שמגר </w:t>
      </w:r>
      <w:r>
        <w:rPr>
          <w:rFonts w:hint="cs"/>
          <w:u w:val="single"/>
          <w:rtl/>
        </w:rPr>
        <w:t>ב</w:t>
      </w:r>
      <w:hyperlink r:id="rId26" w:history="1">
        <w:r w:rsidR="006A60ED" w:rsidRPr="006A60ED">
          <w:rPr>
            <w:rStyle w:val="Hyperlink"/>
            <w:rtl/>
          </w:rPr>
          <w:t>ע.פ. 5612</w:t>
        </w:r>
        <w:r w:rsidR="006A60ED" w:rsidRPr="006A60ED">
          <w:rPr>
            <w:rStyle w:val="Hyperlink"/>
            <w:rtl/>
          </w:rPr>
          <w:t>/</w:t>
        </w:r>
        <w:r w:rsidR="006A60ED" w:rsidRPr="006A60ED">
          <w:rPr>
            <w:rStyle w:val="Hyperlink"/>
            <w:rtl/>
          </w:rPr>
          <w:t>92, מ"י נ' בארי ואח'</w:t>
        </w:r>
      </w:hyperlink>
      <w:r w:rsidR="002A7E71" w:rsidRPr="006A60ED">
        <w:rPr>
          <w:rtl/>
        </w:rPr>
        <w:t>, פ"ד מח</w:t>
      </w:r>
      <w:r>
        <w:rPr>
          <w:rFonts w:hint="cs"/>
          <w:rtl/>
        </w:rPr>
        <w:t>(1) 302, 317).</w:t>
      </w:r>
    </w:p>
    <w:p w14:paraId="45523EE6" w14:textId="77777777" w:rsidR="002F0DE7" w:rsidRDefault="002F0DE7">
      <w:pPr>
        <w:rPr>
          <w:rFonts w:hint="cs"/>
          <w:rtl/>
        </w:rPr>
      </w:pPr>
    </w:p>
    <w:p w14:paraId="7F43CF4C" w14:textId="77777777" w:rsidR="002F0DE7" w:rsidRDefault="002F0DE7">
      <w:pPr>
        <w:rPr>
          <w:rFonts w:hint="cs"/>
          <w:rtl/>
        </w:rPr>
      </w:pPr>
      <w:r>
        <w:rPr>
          <w:rFonts w:hint="cs"/>
          <w:rtl/>
        </w:rPr>
        <w:t xml:space="preserve">יפים לעניין זה דבריו של מ"מ ש"ז חשין </w:t>
      </w:r>
      <w:r>
        <w:rPr>
          <w:rFonts w:hint="cs"/>
          <w:u w:val="single"/>
          <w:rtl/>
        </w:rPr>
        <w:t>ב</w:t>
      </w:r>
      <w:hyperlink r:id="rId27" w:history="1">
        <w:r w:rsidR="006A60ED" w:rsidRPr="006A60ED">
          <w:rPr>
            <w:rStyle w:val="Hyperlink"/>
            <w:rtl/>
          </w:rPr>
          <w:t>ע.פ. 100/5</w:t>
        </w:r>
        <w:r w:rsidR="006A60ED" w:rsidRPr="006A60ED">
          <w:rPr>
            <w:rStyle w:val="Hyperlink"/>
            <w:rtl/>
          </w:rPr>
          <w:t>5</w:t>
        </w:r>
        <w:r w:rsidR="006A60ED" w:rsidRPr="006A60ED">
          <w:rPr>
            <w:rStyle w:val="Hyperlink"/>
            <w:rtl/>
          </w:rPr>
          <w:t>, מאיר נ' היועמ"ש</w:t>
        </w:r>
      </w:hyperlink>
      <w:r w:rsidR="002A7E71" w:rsidRPr="006A60ED">
        <w:rPr>
          <w:rtl/>
        </w:rPr>
        <w:t>, פ"ד ט</w:t>
      </w:r>
      <w:r>
        <w:rPr>
          <w:rFonts w:hint="cs"/>
          <w:rtl/>
        </w:rPr>
        <w:t>' 1218, 1224:</w:t>
      </w:r>
    </w:p>
    <w:p w14:paraId="67749D54" w14:textId="77777777" w:rsidR="002F0DE7" w:rsidRDefault="002F0DE7">
      <w:pPr>
        <w:rPr>
          <w:rFonts w:hint="cs"/>
          <w:rtl/>
        </w:rPr>
      </w:pPr>
    </w:p>
    <w:p w14:paraId="7FC49021" w14:textId="77777777" w:rsidR="002F0DE7" w:rsidRDefault="002F0DE7">
      <w:pPr>
        <w:pStyle w:val="a0"/>
        <w:rPr>
          <w:rFonts w:hint="cs"/>
          <w:rtl/>
        </w:rPr>
      </w:pPr>
      <w:r>
        <w:rPr>
          <w:rFonts w:hint="cs"/>
          <w:rtl/>
        </w:rPr>
        <w:t>"מטיבו של המין האנושי, שאין בן תמותה מכשיר דיוק אוטומטי... לא יפלא אפוא, שסתירות ואי דיוקי לשון שכיחים הם לא רק בדברי עדים שונים, אלא בהשוואה לאלה, כי אם גם בדברים של עד אחד גופו, בתשובותיו בחקירה הראשית ובחקירה הנגדית, ובהתחשב בדברים אשר בא כוח הצד האחד או הצד האחר משתדלים לשים בפיו".</w:t>
      </w:r>
    </w:p>
    <w:p w14:paraId="32DA426B" w14:textId="77777777" w:rsidR="002F0DE7" w:rsidRDefault="002F0DE7">
      <w:pPr>
        <w:pStyle w:val="a0"/>
        <w:rPr>
          <w:rFonts w:hint="cs"/>
          <w:rtl/>
        </w:rPr>
      </w:pPr>
    </w:p>
    <w:p w14:paraId="7A32C33B" w14:textId="77777777" w:rsidR="002F0DE7" w:rsidRDefault="002F0DE7">
      <w:pPr>
        <w:pStyle w:val="a0"/>
        <w:rPr>
          <w:rFonts w:hint="cs"/>
          <w:rtl/>
        </w:rPr>
      </w:pPr>
    </w:p>
    <w:p w14:paraId="0878AFC3" w14:textId="77777777" w:rsidR="002F0DE7" w:rsidRDefault="002F0DE7">
      <w:pPr>
        <w:rPr>
          <w:rFonts w:hint="cs"/>
          <w:rtl/>
        </w:rPr>
      </w:pPr>
      <w:r>
        <w:rPr>
          <w:rFonts w:hint="cs"/>
          <w:rtl/>
        </w:rPr>
        <w:t>לאורך הודעותיה במשטרה ובעדותה בביהמ"ש המתלוננת חזרה וטענה כי אינה זוכרת את התאריכים המדוייקים בהם הנאשם הטרידה, והיא נקבה בתאריך 5.4.00 רק בשל העובדה  שהחוקרת "לחצה" עליה לציין תאריך.</w:t>
      </w:r>
    </w:p>
    <w:p w14:paraId="18FB9319" w14:textId="77777777" w:rsidR="002F0DE7" w:rsidRDefault="002F0DE7">
      <w:pPr>
        <w:rPr>
          <w:rFonts w:hint="cs"/>
          <w:rtl/>
        </w:rPr>
      </w:pPr>
    </w:p>
    <w:p w14:paraId="0646F5F6" w14:textId="77777777" w:rsidR="002F0DE7" w:rsidRDefault="002F0DE7">
      <w:pPr>
        <w:rPr>
          <w:rFonts w:hint="cs"/>
          <w:rtl/>
        </w:rPr>
      </w:pPr>
      <w:r>
        <w:rPr>
          <w:rFonts w:hint="cs"/>
          <w:rtl/>
        </w:rPr>
        <w:t xml:space="preserve">לשיטתי, אין לצפות מאדם כי יזכור פרטי אירוע טראומטי כאילו תיעד אותו בזמן אמת, במיוחד כאשר מדובר בקורבן עבירות מין בהן המתלוננת נאלצת לשחזר בדיעבד מספר חוויות טראומתיות. </w:t>
      </w:r>
    </w:p>
    <w:p w14:paraId="6B56839B" w14:textId="77777777" w:rsidR="002F0DE7" w:rsidRDefault="002F0DE7">
      <w:pPr>
        <w:rPr>
          <w:rFonts w:hint="cs"/>
          <w:rtl/>
        </w:rPr>
      </w:pPr>
      <w:r>
        <w:rPr>
          <w:rFonts w:hint="cs"/>
          <w:rtl/>
        </w:rPr>
        <w:t>טבעי הוא כי עד ישכח פרטים ויבלבל בסדר התרחשותם של אירועים, במיוחד כאשר דווקא זיכרון מופלג של פרטים לאחר שחלף זמן בין התרחשות האירועים ובין מתן העדות יכול להצביע על עדות שקר.</w:t>
      </w:r>
    </w:p>
    <w:p w14:paraId="7103B5B6" w14:textId="77777777" w:rsidR="002F0DE7" w:rsidRDefault="002F0DE7">
      <w:pPr>
        <w:rPr>
          <w:rFonts w:hint="cs"/>
          <w:rtl/>
        </w:rPr>
      </w:pPr>
    </w:p>
    <w:p w14:paraId="365EF03E" w14:textId="77777777" w:rsidR="002F0DE7" w:rsidRDefault="002F0DE7">
      <w:pPr>
        <w:rPr>
          <w:rFonts w:hint="cs"/>
          <w:rtl/>
        </w:rPr>
      </w:pPr>
      <w:r>
        <w:rPr>
          <w:rFonts w:hint="cs"/>
          <w:rtl/>
        </w:rPr>
        <w:t>עם זאת, טבעי הדבר כי לסתירות מהותיות בדברי העד יש השפעה שלילית על מהימנות עדותו, וזאת בכפוף ליתר המסקנות העולות מדברי העד וצורת עדותו.</w:t>
      </w:r>
    </w:p>
    <w:p w14:paraId="73334E5E" w14:textId="77777777" w:rsidR="002F0DE7" w:rsidRDefault="002F0DE7">
      <w:pPr>
        <w:rPr>
          <w:rFonts w:hint="cs"/>
          <w:rtl/>
        </w:rPr>
      </w:pPr>
    </w:p>
    <w:p w14:paraId="12524FCE" w14:textId="77777777" w:rsidR="002F0DE7" w:rsidRDefault="002F0DE7">
      <w:pPr>
        <w:rPr>
          <w:rFonts w:hint="cs"/>
          <w:rtl/>
        </w:rPr>
      </w:pPr>
      <w:r>
        <w:rPr>
          <w:rFonts w:hint="cs"/>
          <w:rtl/>
        </w:rPr>
        <w:t>החקירה שכנגד הינה אמצעי מרכזי לבחינת עדותו של העד ואין להפחית מחשיבותה. תגובותיו של העד הנדרש להסביר את גירסתו כאשר מוצגות לו שאלות הנסמכות על דברים שיצאו מפיו בהזדמנויות קודמות, הן בנות חשיבות רבה ביותר כאשר ביהמ"ש בא לעצב את דעתו בדבר האמון אותו יש לתת בעד.</w:t>
      </w:r>
    </w:p>
    <w:p w14:paraId="7ACC5BC9" w14:textId="77777777" w:rsidR="002F0DE7" w:rsidRDefault="002F0DE7">
      <w:pPr>
        <w:rPr>
          <w:rFonts w:hint="cs"/>
          <w:rtl/>
        </w:rPr>
      </w:pPr>
    </w:p>
    <w:p w14:paraId="0CEA38F1" w14:textId="77777777" w:rsidR="002F0DE7" w:rsidRDefault="002F0DE7">
      <w:pPr>
        <w:rPr>
          <w:rFonts w:hint="cs"/>
          <w:rtl/>
        </w:rPr>
      </w:pPr>
    </w:p>
    <w:p w14:paraId="1097200A" w14:textId="77777777" w:rsidR="002F0DE7" w:rsidRDefault="002F0DE7">
      <w:pPr>
        <w:rPr>
          <w:rFonts w:hint="cs"/>
          <w:rtl/>
        </w:rPr>
      </w:pPr>
      <w:r>
        <w:rPr>
          <w:rFonts w:hint="cs"/>
          <w:rtl/>
        </w:rPr>
        <w:t xml:space="preserve">על פי </w:t>
      </w:r>
      <w:hyperlink r:id="rId28" w:history="1">
        <w:r w:rsidR="006A60ED" w:rsidRPr="006A60ED">
          <w:rPr>
            <w:rStyle w:val="Hyperlink"/>
            <w:rFonts w:hint="eastAsia"/>
            <w:rtl/>
          </w:rPr>
          <w:t>סעיף</w:t>
        </w:r>
        <w:r w:rsidR="006A60ED" w:rsidRPr="006A60ED">
          <w:rPr>
            <w:rStyle w:val="Hyperlink"/>
            <w:rtl/>
          </w:rPr>
          <w:t xml:space="preserve"> 53</w:t>
        </w:r>
      </w:hyperlink>
      <w:r>
        <w:rPr>
          <w:rFonts w:hint="cs"/>
          <w:rtl/>
        </w:rPr>
        <w:t xml:space="preserve"> ל</w:t>
      </w:r>
      <w:r w:rsidR="002A7E71" w:rsidRPr="006A60ED">
        <w:rPr>
          <w:rFonts w:hint="eastAsia"/>
          <w:rtl/>
        </w:rPr>
        <w:t>פקודת</w:t>
      </w:r>
      <w:r w:rsidR="002A7E71" w:rsidRPr="006A60ED">
        <w:rPr>
          <w:rtl/>
        </w:rPr>
        <w:t xml:space="preserve"> הראיות</w:t>
      </w:r>
      <w:r>
        <w:rPr>
          <w:rFonts w:hint="cs"/>
          <w:rtl/>
        </w:rPr>
        <w:t>(נוסח חדש), תשל"א-1971 (להלן: "פקודת הראיות"):</w:t>
      </w:r>
    </w:p>
    <w:p w14:paraId="10B4D2BD" w14:textId="77777777" w:rsidR="002F0DE7" w:rsidRDefault="002F0DE7">
      <w:pPr>
        <w:rPr>
          <w:rFonts w:hint="cs"/>
          <w:rtl/>
        </w:rPr>
      </w:pPr>
    </w:p>
    <w:p w14:paraId="04054B7F" w14:textId="77777777" w:rsidR="002F0DE7" w:rsidRDefault="002F0DE7">
      <w:pPr>
        <w:pStyle w:val="a0"/>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בהמשך המשפט".</w:t>
      </w:r>
    </w:p>
    <w:p w14:paraId="5A2DE867" w14:textId="77777777" w:rsidR="002F0DE7" w:rsidRDefault="002F0DE7">
      <w:pPr>
        <w:pStyle w:val="a0"/>
        <w:rPr>
          <w:rFonts w:hint="cs"/>
          <w:rtl/>
        </w:rPr>
      </w:pPr>
    </w:p>
    <w:p w14:paraId="2E39AA22" w14:textId="77777777" w:rsidR="002F0DE7" w:rsidRDefault="002F0DE7">
      <w:pPr>
        <w:pStyle w:val="a0"/>
        <w:rPr>
          <w:rFonts w:hint="cs"/>
          <w:rtl/>
        </w:rPr>
      </w:pPr>
    </w:p>
    <w:p w14:paraId="7540B7B6" w14:textId="77777777" w:rsidR="002F0DE7" w:rsidRDefault="002F0DE7">
      <w:pPr>
        <w:rPr>
          <w:rFonts w:hint="cs"/>
          <w:rtl/>
        </w:rPr>
      </w:pPr>
      <w:r>
        <w:rPr>
          <w:rFonts w:hint="cs"/>
          <w:rtl/>
        </w:rPr>
        <w:t>מכיוון שעסקינן במשפט פלילי, אין די בכך שעדות המתלוננת תהיה סבירה יותר מעדות הנאשם, פער עדויות כזה מספיק להכרעה במשפט האזרחי, לשם עמידה בנטל המאזן ההסתברויות. לא כן בדין הפלילי המחייב הכרעה מעבר לכל ספק סביר.</w:t>
      </w:r>
    </w:p>
    <w:p w14:paraId="4ED4A765" w14:textId="77777777" w:rsidR="002F0DE7" w:rsidRDefault="002F0DE7">
      <w:pPr>
        <w:rPr>
          <w:rFonts w:hint="cs"/>
          <w:rtl/>
        </w:rPr>
      </w:pPr>
    </w:p>
    <w:p w14:paraId="4F26A548" w14:textId="77777777" w:rsidR="002F0DE7" w:rsidRDefault="002F0DE7">
      <w:pPr>
        <w:rPr>
          <w:rFonts w:hint="cs"/>
          <w:rtl/>
        </w:rPr>
      </w:pPr>
      <w:r>
        <w:rPr>
          <w:rFonts w:hint="cs"/>
          <w:rtl/>
        </w:rPr>
        <w:t>מחד, המתלוננת קושרת את הנאשם לאירועים שבגינם התלוננה. מאידך, הנאשם מרחיק עצמו מאותם אירועים.</w:t>
      </w:r>
    </w:p>
    <w:p w14:paraId="189FA1F6" w14:textId="77777777" w:rsidR="002F0DE7" w:rsidRDefault="002F0DE7">
      <w:pPr>
        <w:rPr>
          <w:rFonts w:hint="cs"/>
          <w:rtl/>
        </w:rPr>
      </w:pPr>
      <w:r>
        <w:rPr>
          <w:rFonts w:hint="cs"/>
          <w:rtl/>
        </w:rPr>
        <w:t>בהודעתו הראשונה במשטרה (ת/3) הנאשם טען כי אינו מכיר את המתלוננת ואילו בהודעתו השניה (ת/1) אמר כי יש רק שומרת אחת או שתיים בקרון השמורים וכי מלבד המתלוננת, אינו מכיר עוד אחת בשם זהה.</w:t>
      </w:r>
    </w:p>
    <w:p w14:paraId="3F1515F0" w14:textId="77777777" w:rsidR="002F0DE7" w:rsidRDefault="002F0DE7">
      <w:pPr>
        <w:rPr>
          <w:rFonts w:hint="cs"/>
          <w:rtl/>
        </w:rPr>
      </w:pPr>
    </w:p>
    <w:p w14:paraId="26F75B2D" w14:textId="77777777" w:rsidR="002F0DE7" w:rsidRDefault="002F0DE7">
      <w:pPr>
        <w:rPr>
          <w:rFonts w:hint="cs"/>
          <w:rtl/>
        </w:rPr>
      </w:pPr>
      <w:r>
        <w:rPr>
          <w:rFonts w:hint="cs"/>
          <w:rtl/>
        </w:rPr>
        <w:t>בעדותו בביהמ"ש טען לראשונה כי הסיבה לתלונתה שהוגשה נגדו הינה רצון המתלוננת להתנקם בו וכדבריו:</w:t>
      </w:r>
    </w:p>
    <w:p w14:paraId="7A718FA8" w14:textId="77777777" w:rsidR="002F0DE7" w:rsidRDefault="002F0DE7">
      <w:pPr>
        <w:rPr>
          <w:rFonts w:hint="cs"/>
          <w:rtl/>
        </w:rPr>
      </w:pPr>
    </w:p>
    <w:p w14:paraId="71A116B7" w14:textId="77777777" w:rsidR="002F0DE7" w:rsidRDefault="002F0DE7">
      <w:pPr>
        <w:pStyle w:val="a0"/>
        <w:rPr>
          <w:rFonts w:hint="cs"/>
          <w:bCs w:val="0"/>
          <w:rtl/>
        </w:rPr>
      </w:pPr>
      <w:r>
        <w:rPr>
          <w:rFonts w:hint="cs"/>
          <w:rtl/>
        </w:rPr>
        <w:t xml:space="preserve">"לפי עדות המתלוננת וממה שאני שמעתי פה, היא יודעת איזה רכבים היו לי, איזה חברים, אפילו איפה שאני אוכל, היא יודעת מי החברה שלי, היא ראתה בחור צעיר ואולי היא חשבה שהיא יכולה להוציא ממני כסף. ברצוני לציין שלא ציינתי בעדות, אך יכול להיות שמה שקרה לי איתה זה שתפסתי אותה בקטר מעשנת סיגריה ואני אמרתי לה שאם אני אראה אותה עוד פעם שהיא מעשנת סיגריה בקטר אדאג שהיא לא תעבוד ברכבת ויכול להיות שהיא החליטה להתנקם בי" </w:t>
      </w:r>
      <w:r>
        <w:rPr>
          <w:rFonts w:hint="cs"/>
          <w:bCs w:val="0"/>
          <w:rtl/>
        </w:rPr>
        <w:t>(פרוט' עמ' 42 ש' 11-16).</w:t>
      </w:r>
    </w:p>
    <w:p w14:paraId="4BF15FE5" w14:textId="77777777" w:rsidR="002F0DE7" w:rsidRDefault="002F0DE7">
      <w:pPr>
        <w:pStyle w:val="a0"/>
        <w:rPr>
          <w:rFonts w:hint="cs"/>
          <w:rtl/>
        </w:rPr>
      </w:pPr>
    </w:p>
    <w:p w14:paraId="05F89FF3" w14:textId="77777777" w:rsidR="002F0DE7" w:rsidRDefault="002F0DE7">
      <w:pPr>
        <w:pStyle w:val="a0"/>
        <w:rPr>
          <w:rFonts w:hint="cs"/>
          <w:rtl/>
        </w:rPr>
      </w:pPr>
    </w:p>
    <w:p w14:paraId="2E1CD2E5" w14:textId="77777777" w:rsidR="002F0DE7" w:rsidRDefault="002F0DE7">
      <w:pPr>
        <w:rPr>
          <w:rFonts w:hint="cs"/>
          <w:rtl/>
        </w:rPr>
      </w:pPr>
      <w:r>
        <w:rPr>
          <w:rFonts w:hint="cs"/>
          <w:rtl/>
        </w:rPr>
        <w:t>אינני מקבלת את גירסת הנאשם כי המתלוננת רצתה להתנקם בו מפני ש"תפס" אותה מעשנת בקרון הקטר. מדובר במתלוננת בוגרת, שמספר פעמים לדבריה, "הבהירה" לנאשם כי אין לה כל כוונה ליצור עימו קשר רומנטי, אך הנאשם בחר להתעלם מדחיותיה, המילוליות והפיזיות, לא התחשב ברצונה, זלזל בכבודה והמשיך להתעמר בה ואף לגעת בה בלא הסכמתה.</w:t>
      </w:r>
    </w:p>
    <w:p w14:paraId="22D355B6" w14:textId="77777777" w:rsidR="002F0DE7" w:rsidRDefault="002F0DE7">
      <w:pPr>
        <w:rPr>
          <w:rFonts w:hint="cs"/>
          <w:rtl/>
        </w:rPr>
      </w:pPr>
    </w:p>
    <w:p w14:paraId="208BFBA3" w14:textId="77777777" w:rsidR="002F0DE7" w:rsidRDefault="002F0DE7">
      <w:pPr>
        <w:rPr>
          <w:rFonts w:hint="cs"/>
          <w:rtl/>
        </w:rPr>
      </w:pPr>
    </w:p>
    <w:p w14:paraId="354171DC" w14:textId="77777777" w:rsidR="002F0DE7" w:rsidRDefault="002F0DE7">
      <w:pPr>
        <w:rPr>
          <w:rFonts w:hint="cs"/>
          <w:rtl/>
        </w:rPr>
      </w:pPr>
      <w:r>
        <w:rPr>
          <w:rFonts w:hint="cs"/>
          <w:rtl/>
        </w:rPr>
        <w:t xml:space="preserve">אם היתה בכוונת המתלוננת להתנקם בנאשם כגירסתו בהגשת תלונה שקרית, היתה מסתפקת באירוע אחד שהיתה מעצימה אותו ולא מציינת 4 אירועים שונים ובזמנים שונים, אשר שניים מהם הינם מעשה מגונה ושניים מהווים הטרדה מינית ועליה לזכור פרטים לגבי כל ארבעת האירועים, אשר ברור שאם האירועים הם "פרי המצאתה" הדבר יתגלה במהלך עדויותיה. </w:t>
      </w:r>
    </w:p>
    <w:p w14:paraId="2AB9D000" w14:textId="77777777" w:rsidR="002F0DE7" w:rsidRDefault="002F0DE7">
      <w:pPr>
        <w:rPr>
          <w:rFonts w:hint="cs"/>
          <w:rtl/>
        </w:rPr>
      </w:pPr>
      <w:r>
        <w:rPr>
          <w:rFonts w:hint="cs"/>
          <w:rtl/>
        </w:rPr>
        <w:t xml:space="preserve">קשה יותר לדייק בפרטיהם של מספר אירועים מאשר בפרטיו של אירוע אחד ובמיוחד אם לא ארע כגירסת הנאשם. </w:t>
      </w:r>
    </w:p>
    <w:p w14:paraId="356D69FD" w14:textId="77777777" w:rsidR="002F0DE7" w:rsidRDefault="002F0DE7">
      <w:pPr>
        <w:rPr>
          <w:rFonts w:hint="cs"/>
          <w:rtl/>
        </w:rPr>
      </w:pPr>
    </w:p>
    <w:p w14:paraId="4187EE85" w14:textId="77777777" w:rsidR="002F0DE7" w:rsidRDefault="002F0DE7">
      <w:pPr>
        <w:rPr>
          <w:rFonts w:hint="cs"/>
          <w:rtl/>
        </w:rPr>
      </w:pPr>
      <w:r>
        <w:rPr>
          <w:rFonts w:hint="cs"/>
          <w:rtl/>
        </w:rPr>
        <w:t xml:space="preserve">לאחר שמיעת העדויות וניתוחן בהרחבה ובחינת הראיות שהוגשו, הגעתי לכלל דעה כי הנני מעדיפה את גירסת המתלוננת על פני גירסת הנאשם, גירסה זו נתמכה בראיות נוספות בין ישירות ובין נסיבתיות והנאשם לא נתן הסבר מתקבל על הדעת הסותר את הגירסה שעלתה מתוך הוכחות התביעה, וזאת למרות התאריכים בהם נקבה המתלוננת, מאחר ולאורך כל עדויותיה וחקירותיה החל מחקירתה הראשונה במשטרה בעת שהגישה את התלונה, טענה כי אינה זוכרת תאריכים מדוייקים ומסרה תאריכים, לבקשת החוקרת, אשר נראו לה כקרובים למציאות. </w:t>
      </w:r>
    </w:p>
    <w:p w14:paraId="16D63577" w14:textId="77777777" w:rsidR="002F0DE7" w:rsidRDefault="002F0DE7">
      <w:pPr>
        <w:pStyle w:val="BodyText"/>
        <w:rPr>
          <w:rFonts w:hint="cs"/>
          <w:rtl/>
        </w:rPr>
      </w:pPr>
    </w:p>
    <w:p w14:paraId="32CDE535" w14:textId="77777777" w:rsidR="002F0DE7" w:rsidRDefault="002F0DE7">
      <w:pPr>
        <w:pStyle w:val="BodyText"/>
        <w:rPr>
          <w:rFonts w:hint="cs"/>
          <w:b/>
          <w:bCs/>
          <w:u w:val="single"/>
          <w:rtl/>
        </w:rPr>
      </w:pPr>
      <w:r>
        <w:rPr>
          <w:rFonts w:hint="cs"/>
          <w:b/>
          <w:bCs/>
          <w:u w:val="single"/>
          <w:rtl/>
        </w:rPr>
        <w:t>עבירת מעשה מגונה:</w:t>
      </w:r>
    </w:p>
    <w:p w14:paraId="1FDEE6F7" w14:textId="77777777" w:rsidR="002F0DE7" w:rsidRDefault="002F0DE7">
      <w:pPr>
        <w:pStyle w:val="BodyText"/>
        <w:rPr>
          <w:rFonts w:hint="cs"/>
          <w:rtl/>
        </w:rPr>
      </w:pPr>
      <w:r>
        <w:rPr>
          <w:rFonts w:hint="cs"/>
          <w:rtl/>
        </w:rPr>
        <w:t xml:space="preserve">הנאשם מואשם בשתי עבירות של ביצוע מעשה מגונה באדם - עבירה על </w:t>
      </w:r>
      <w:hyperlink r:id="rId29" w:history="1">
        <w:r w:rsidR="006A60ED" w:rsidRPr="006A60ED">
          <w:rPr>
            <w:rStyle w:val="Hyperlink"/>
            <w:rFonts w:hint="eastAsia"/>
            <w:rtl/>
          </w:rPr>
          <w:t>סעיף</w:t>
        </w:r>
        <w:r w:rsidR="006A60ED" w:rsidRPr="006A60ED">
          <w:rPr>
            <w:rStyle w:val="Hyperlink"/>
            <w:rtl/>
          </w:rPr>
          <w:t xml:space="preserve"> 348(ג)</w:t>
        </w:r>
      </w:hyperlink>
      <w:r>
        <w:rPr>
          <w:rFonts w:hint="cs"/>
          <w:rtl/>
        </w:rPr>
        <w:t xml:space="preserve"> ל</w:t>
      </w:r>
      <w:r w:rsidR="002A7E71" w:rsidRPr="006A60ED">
        <w:rPr>
          <w:rFonts w:hint="eastAsia"/>
          <w:rtl/>
        </w:rPr>
        <w:t>חוק</w:t>
      </w:r>
      <w:r w:rsidR="002A7E71" w:rsidRPr="006A60ED">
        <w:rPr>
          <w:rtl/>
        </w:rPr>
        <w:t xml:space="preserve"> העונשין</w:t>
      </w:r>
      <w:r>
        <w:rPr>
          <w:rFonts w:hint="cs"/>
          <w:rtl/>
        </w:rPr>
        <w:t>.</w:t>
      </w:r>
    </w:p>
    <w:p w14:paraId="454F5ADC" w14:textId="77777777" w:rsidR="002F0DE7" w:rsidRDefault="002F0DE7">
      <w:pPr>
        <w:rPr>
          <w:rFonts w:hint="cs"/>
          <w:rtl/>
        </w:rPr>
      </w:pPr>
    </w:p>
    <w:p w14:paraId="105D8E8E" w14:textId="77777777" w:rsidR="002F0DE7" w:rsidRDefault="006A60ED">
      <w:pPr>
        <w:rPr>
          <w:rFonts w:hint="cs"/>
          <w:rtl/>
        </w:rPr>
      </w:pPr>
      <w:hyperlink r:id="rId30" w:history="1">
        <w:r w:rsidRPr="006A60ED">
          <w:rPr>
            <w:rStyle w:val="Hyperlink"/>
            <w:rFonts w:hint="eastAsia"/>
            <w:rtl/>
          </w:rPr>
          <w:t>סעיף</w:t>
        </w:r>
        <w:r w:rsidRPr="006A60ED">
          <w:rPr>
            <w:rStyle w:val="Hyperlink"/>
            <w:rtl/>
          </w:rPr>
          <w:t xml:space="preserve"> 348(ג)</w:t>
        </w:r>
      </w:hyperlink>
      <w:r w:rsidR="002F0DE7">
        <w:rPr>
          <w:rFonts w:hint="cs"/>
          <w:rtl/>
        </w:rPr>
        <w:t xml:space="preserve"> ל</w:t>
      </w:r>
      <w:r w:rsidR="002A7E71" w:rsidRPr="006A60ED">
        <w:rPr>
          <w:rFonts w:hint="eastAsia"/>
          <w:rtl/>
        </w:rPr>
        <w:t>חוק</w:t>
      </w:r>
      <w:r w:rsidR="002A7E71" w:rsidRPr="006A60ED">
        <w:rPr>
          <w:rtl/>
        </w:rPr>
        <w:t xml:space="preserve"> העונשין</w:t>
      </w:r>
      <w:r w:rsidR="002F0DE7">
        <w:rPr>
          <w:rFonts w:hint="cs"/>
          <w:rtl/>
        </w:rPr>
        <w:t>:</w:t>
      </w:r>
    </w:p>
    <w:p w14:paraId="70328EE3" w14:textId="77777777" w:rsidR="002F0DE7" w:rsidRDefault="002F0DE7">
      <w:pPr>
        <w:rPr>
          <w:rFonts w:hint="cs"/>
          <w:rtl/>
        </w:rPr>
      </w:pPr>
    </w:p>
    <w:p w14:paraId="5EA0883C" w14:textId="77777777" w:rsidR="002F0DE7" w:rsidRDefault="002F0DE7">
      <w:pPr>
        <w:pStyle w:val="a0"/>
        <w:rPr>
          <w:rFonts w:hint="cs"/>
          <w:rtl/>
        </w:rPr>
      </w:pPr>
      <w:r>
        <w:rPr>
          <w:rFonts w:hint="cs"/>
          <w:rtl/>
        </w:rPr>
        <w:t xml:space="preserve">"העושה מעשה מגונה באדם בלא הסכמתו אך שלא בנסיבות כאמור בסעיפים קטנים (א), (ב) או (ג1),דינו - מאסר שלוש שנים". </w:t>
      </w:r>
    </w:p>
    <w:p w14:paraId="4F9743AE" w14:textId="77777777" w:rsidR="002F0DE7" w:rsidRDefault="002F0DE7">
      <w:pPr>
        <w:pStyle w:val="a0"/>
        <w:rPr>
          <w:rFonts w:hint="cs"/>
          <w:rtl/>
        </w:rPr>
      </w:pPr>
    </w:p>
    <w:p w14:paraId="790C5AE6" w14:textId="77777777" w:rsidR="002F0DE7" w:rsidRDefault="002F0DE7">
      <w:pPr>
        <w:pStyle w:val="a0"/>
        <w:rPr>
          <w:rFonts w:hint="cs"/>
          <w:rtl/>
        </w:rPr>
      </w:pPr>
    </w:p>
    <w:p w14:paraId="6A0830F3" w14:textId="77777777" w:rsidR="002F0DE7" w:rsidRDefault="006A60ED">
      <w:pPr>
        <w:rPr>
          <w:rFonts w:hint="cs"/>
          <w:rtl/>
        </w:rPr>
      </w:pPr>
      <w:hyperlink r:id="rId31" w:history="1">
        <w:r w:rsidRPr="006A60ED">
          <w:rPr>
            <w:rStyle w:val="Hyperlink"/>
            <w:rFonts w:hint="eastAsia"/>
            <w:rtl/>
          </w:rPr>
          <w:t>סעיף</w:t>
        </w:r>
        <w:r w:rsidRPr="006A60ED">
          <w:rPr>
            <w:rStyle w:val="Hyperlink"/>
            <w:rtl/>
          </w:rPr>
          <w:t xml:space="preserve"> 348(ו)</w:t>
        </w:r>
      </w:hyperlink>
      <w:r w:rsidR="002F0DE7">
        <w:rPr>
          <w:rFonts w:hint="cs"/>
          <w:rtl/>
        </w:rPr>
        <w:t xml:space="preserve"> ל</w:t>
      </w:r>
      <w:r w:rsidR="002A7E71" w:rsidRPr="006A60ED">
        <w:rPr>
          <w:rFonts w:hint="eastAsia"/>
          <w:rtl/>
        </w:rPr>
        <w:t>חוק</w:t>
      </w:r>
      <w:r w:rsidR="002A7E71" w:rsidRPr="006A60ED">
        <w:rPr>
          <w:rtl/>
        </w:rPr>
        <w:t xml:space="preserve"> העונשין</w:t>
      </w:r>
      <w:r w:rsidR="002F0DE7">
        <w:rPr>
          <w:rFonts w:hint="cs"/>
          <w:rtl/>
        </w:rPr>
        <w:t xml:space="preserve"> מגדיר מהו מעשה מגונה:</w:t>
      </w:r>
    </w:p>
    <w:p w14:paraId="574ABCCF" w14:textId="77777777" w:rsidR="002F0DE7" w:rsidRDefault="002F0DE7">
      <w:pPr>
        <w:rPr>
          <w:rFonts w:hint="cs"/>
          <w:rtl/>
        </w:rPr>
      </w:pPr>
    </w:p>
    <w:p w14:paraId="693A2591" w14:textId="77777777" w:rsidR="002F0DE7" w:rsidRDefault="002F0DE7">
      <w:pPr>
        <w:pStyle w:val="a0"/>
        <w:rPr>
          <w:rFonts w:hint="cs"/>
          <w:rtl/>
        </w:rPr>
      </w:pPr>
      <w:r>
        <w:rPr>
          <w:rFonts w:hint="cs"/>
          <w:rtl/>
        </w:rPr>
        <w:t>"סע' 348(ו):</w:t>
      </w:r>
    </w:p>
    <w:p w14:paraId="76C019BE" w14:textId="77777777" w:rsidR="002F0DE7" w:rsidRDefault="002F0DE7">
      <w:pPr>
        <w:pStyle w:val="a0"/>
        <w:rPr>
          <w:rFonts w:hint="cs"/>
          <w:rtl/>
        </w:rPr>
      </w:pPr>
      <w:r>
        <w:rPr>
          <w:rFonts w:hint="cs"/>
          <w:rtl/>
        </w:rPr>
        <w:t xml:space="preserve">  בסימן זה, "מעשה מגונה" - מעשה לשם גירוי, סיפוק או ביזוי מיניים".</w:t>
      </w:r>
    </w:p>
    <w:p w14:paraId="42A887B5" w14:textId="77777777" w:rsidR="002F0DE7" w:rsidRDefault="002F0DE7">
      <w:pPr>
        <w:pStyle w:val="a0"/>
        <w:rPr>
          <w:rFonts w:hint="cs"/>
          <w:rtl/>
        </w:rPr>
      </w:pPr>
    </w:p>
    <w:p w14:paraId="566B03FE" w14:textId="77777777" w:rsidR="002F0DE7" w:rsidRDefault="002F0DE7">
      <w:pPr>
        <w:pStyle w:val="a0"/>
        <w:rPr>
          <w:rFonts w:hint="cs"/>
          <w:rtl/>
        </w:rPr>
      </w:pPr>
    </w:p>
    <w:p w14:paraId="62850DEC" w14:textId="77777777" w:rsidR="002F0DE7" w:rsidRDefault="002F0DE7">
      <w:pPr>
        <w:pStyle w:val="a0"/>
        <w:rPr>
          <w:rFonts w:hint="cs"/>
          <w:rtl/>
        </w:rPr>
      </w:pPr>
    </w:p>
    <w:p w14:paraId="25741118" w14:textId="77777777" w:rsidR="002F0DE7" w:rsidRDefault="002F0DE7">
      <w:pPr>
        <w:pStyle w:val="a0"/>
        <w:rPr>
          <w:rFonts w:hint="cs"/>
          <w:rtl/>
        </w:rPr>
      </w:pPr>
    </w:p>
    <w:p w14:paraId="70C090F2" w14:textId="77777777" w:rsidR="002F0DE7" w:rsidRDefault="002F0DE7">
      <w:pPr>
        <w:pStyle w:val="a0"/>
        <w:rPr>
          <w:rFonts w:hint="cs"/>
          <w:rtl/>
        </w:rPr>
      </w:pPr>
    </w:p>
    <w:p w14:paraId="26857BD7" w14:textId="77777777" w:rsidR="002F0DE7" w:rsidRDefault="002F0DE7">
      <w:pPr>
        <w:pStyle w:val="a0"/>
        <w:rPr>
          <w:rFonts w:hint="cs"/>
          <w:rtl/>
        </w:rPr>
      </w:pPr>
    </w:p>
    <w:p w14:paraId="69ECBE8B" w14:textId="77777777" w:rsidR="002F0DE7" w:rsidRDefault="002F0DE7">
      <w:pPr>
        <w:pStyle w:val="a0"/>
        <w:rPr>
          <w:rFonts w:hint="cs"/>
          <w:rtl/>
        </w:rPr>
      </w:pPr>
    </w:p>
    <w:p w14:paraId="3A56D9BA" w14:textId="77777777" w:rsidR="002F0DE7" w:rsidRDefault="002F0DE7">
      <w:pPr>
        <w:rPr>
          <w:rFonts w:hint="cs"/>
          <w:rtl/>
        </w:rPr>
      </w:pPr>
      <w:r>
        <w:rPr>
          <w:rFonts w:hint="cs"/>
          <w:b/>
          <w:bCs/>
          <w:rtl/>
        </w:rPr>
        <w:t xml:space="preserve">באירוע הראשון - </w:t>
      </w:r>
      <w:r>
        <w:rPr>
          <w:rFonts w:hint="cs"/>
          <w:rtl/>
        </w:rPr>
        <w:t xml:space="preserve">בעת שהמתלוננת עבדה בקרון השמורים ברכבת הנוסעת לכיוון ת"א, הגיע הנאשם לקרון ושאל אותה אם היא חפצה לתת לו נשיקה. כאשר המתלוננת השיבה בשלילה, בעודה עומדת לפני המראה, עשה הנאשם מעשה מגונה במתלוננת, שלא כדין ומשלא קיבל את הסכמתה, בכך שדחף אותה לחדר השירותים, נעל את הדלת ואחז בה בחוזקה, הצמידה אל הקיר ונצמד אליה בגופו ואמר לה: </w:t>
      </w:r>
      <w:r>
        <w:rPr>
          <w:rFonts w:hint="cs"/>
          <w:b/>
          <w:bCs/>
          <w:rtl/>
        </w:rPr>
        <w:t>"אם אני אקח את זה בכוח - מה תעשי לי"</w:t>
      </w:r>
      <w:r>
        <w:rPr>
          <w:rFonts w:hint="cs"/>
          <w:rtl/>
        </w:rPr>
        <w:t xml:space="preserve"> ומשהרימה המתלוננת את רגלה לעבר אשכיו תוך אמירה כי תעשה אותו אימפוטנט לכל החיים, הרפה ממנה. </w:t>
      </w:r>
    </w:p>
    <w:p w14:paraId="30EB7862" w14:textId="77777777" w:rsidR="002F0DE7" w:rsidRDefault="002F0DE7">
      <w:pPr>
        <w:rPr>
          <w:rFonts w:hint="cs"/>
          <w:rtl/>
        </w:rPr>
      </w:pPr>
      <w:r>
        <w:rPr>
          <w:rFonts w:hint="cs"/>
          <w:rtl/>
        </w:rPr>
        <w:t>כל זאת עשה הנאשם לשם גירוי וסיפוק מיני.</w:t>
      </w:r>
    </w:p>
    <w:p w14:paraId="547609D6" w14:textId="77777777" w:rsidR="002F0DE7" w:rsidRDefault="002F0DE7">
      <w:pPr>
        <w:rPr>
          <w:rFonts w:hint="cs"/>
          <w:rtl/>
        </w:rPr>
      </w:pPr>
    </w:p>
    <w:p w14:paraId="4F644676" w14:textId="77777777" w:rsidR="002F0DE7" w:rsidRDefault="002F0DE7">
      <w:pPr>
        <w:rPr>
          <w:rFonts w:hint="cs"/>
          <w:rtl/>
        </w:rPr>
      </w:pPr>
      <w:r>
        <w:rPr>
          <w:rFonts w:hint="cs"/>
          <w:b/>
          <w:bCs/>
          <w:rtl/>
        </w:rPr>
        <w:t xml:space="preserve">באירוע שני - </w:t>
      </w:r>
      <w:r>
        <w:rPr>
          <w:rFonts w:hint="cs"/>
          <w:rtl/>
        </w:rPr>
        <w:t xml:space="preserve">הנאשם אחז בשפתיה של המתלוננת וכאשר המתלוננת הביעה את התנגדותה והשתחררה מאחיזתו, אחז שנית בשפתיה ואמר לה </w:t>
      </w:r>
      <w:r>
        <w:rPr>
          <w:rFonts w:hint="cs"/>
          <w:b/>
          <w:bCs/>
          <w:rtl/>
        </w:rPr>
        <w:t>"איזה שפתיים"</w:t>
      </w:r>
      <w:r>
        <w:rPr>
          <w:rFonts w:hint="cs"/>
          <w:rtl/>
        </w:rPr>
        <w:t>.</w:t>
      </w:r>
    </w:p>
    <w:p w14:paraId="54EFF009" w14:textId="77777777" w:rsidR="002F0DE7" w:rsidRDefault="002F0DE7">
      <w:pPr>
        <w:rPr>
          <w:rFonts w:hint="cs"/>
          <w:rtl/>
        </w:rPr>
      </w:pPr>
      <w:r>
        <w:rPr>
          <w:rFonts w:hint="cs"/>
          <w:rtl/>
        </w:rPr>
        <w:t xml:space="preserve">למרות התנגדות המתלוננת, הנאשם עשה במתלוננת כרצונו כאשר אינו מתחשב כלל ברצונה. </w:t>
      </w:r>
    </w:p>
    <w:p w14:paraId="13D87AF0" w14:textId="77777777" w:rsidR="002F0DE7" w:rsidRDefault="002F0DE7">
      <w:pPr>
        <w:rPr>
          <w:rFonts w:hint="cs"/>
          <w:u w:val="single"/>
          <w:rtl/>
        </w:rPr>
      </w:pPr>
    </w:p>
    <w:p w14:paraId="72F111B7" w14:textId="77777777" w:rsidR="002F0DE7" w:rsidRDefault="002F0DE7">
      <w:pPr>
        <w:rPr>
          <w:rFonts w:hint="cs"/>
          <w:rtl/>
        </w:rPr>
      </w:pPr>
      <w:r>
        <w:rPr>
          <w:rFonts w:hint="cs"/>
          <w:rtl/>
        </w:rPr>
        <w:t xml:space="preserve">באשר לקיום היסוד הפיסי של העבירה - </w:t>
      </w:r>
      <w:hyperlink r:id="rId32" w:history="1">
        <w:r w:rsidR="006A60ED" w:rsidRPr="006A60ED">
          <w:rPr>
            <w:rStyle w:val="Hyperlink"/>
            <w:rFonts w:hint="eastAsia"/>
            <w:rtl/>
          </w:rPr>
          <w:t>סעיף</w:t>
        </w:r>
        <w:r w:rsidR="006A60ED" w:rsidRPr="006A60ED">
          <w:rPr>
            <w:rStyle w:val="Hyperlink"/>
            <w:rtl/>
          </w:rPr>
          <w:t xml:space="preserve"> 348(ג)</w:t>
        </w:r>
      </w:hyperlink>
      <w:r>
        <w:rPr>
          <w:rFonts w:hint="cs"/>
          <w:rtl/>
        </w:rPr>
        <w:t xml:space="preserve"> ל</w:t>
      </w:r>
      <w:r w:rsidR="002A7E71" w:rsidRPr="006A60ED">
        <w:rPr>
          <w:rFonts w:hint="eastAsia"/>
          <w:rtl/>
        </w:rPr>
        <w:t>חוק</w:t>
      </w:r>
      <w:r w:rsidR="002A7E71" w:rsidRPr="006A60ED">
        <w:rPr>
          <w:rtl/>
        </w:rPr>
        <w:t xml:space="preserve"> העונשין</w:t>
      </w:r>
      <w:r>
        <w:rPr>
          <w:rFonts w:hint="cs"/>
          <w:rtl/>
        </w:rPr>
        <w:t xml:space="preserve"> קובע את העבירה הבסיסית של מעשה מגונה המבוצע באדם ללא הסכמתו ושאינו בנסיבות המנויות ב</w:t>
      </w:r>
      <w:hyperlink r:id="rId33" w:history="1">
        <w:r w:rsidR="006A60ED" w:rsidRPr="006A60ED">
          <w:rPr>
            <w:rStyle w:val="Hyperlink"/>
            <w:rFonts w:hint="eastAsia"/>
            <w:rtl/>
          </w:rPr>
          <w:t>סעיף</w:t>
        </w:r>
        <w:r w:rsidR="006A60ED" w:rsidRPr="006A60ED">
          <w:rPr>
            <w:rStyle w:val="Hyperlink"/>
            <w:rtl/>
          </w:rPr>
          <w:t xml:space="preserve"> 345</w:t>
        </w:r>
      </w:hyperlink>
      <w:r>
        <w:rPr>
          <w:rFonts w:hint="cs"/>
          <w:rtl/>
        </w:rPr>
        <w:t xml:space="preserve"> לחוק העונשין. </w:t>
      </w:r>
    </w:p>
    <w:p w14:paraId="25419317" w14:textId="77777777" w:rsidR="002F0DE7" w:rsidRDefault="002F0DE7">
      <w:pPr>
        <w:rPr>
          <w:rFonts w:hint="cs"/>
          <w:rtl/>
        </w:rPr>
      </w:pPr>
    </w:p>
    <w:p w14:paraId="5FB4ABB3" w14:textId="77777777" w:rsidR="002F0DE7" w:rsidRDefault="002F0DE7">
      <w:pPr>
        <w:rPr>
          <w:rFonts w:hint="cs"/>
          <w:rtl/>
        </w:rPr>
      </w:pPr>
      <w:r>
        <w:rPr>
          <w:rFonts w:hint="cs"/>
          <w:rtl/>
        </w:rPr>
        <w:t xml:space="preserve">משדחיתי את גירסת הנאשם לאירועים וקיבלתי את גירסת ודברי המתלוננת אשר קיבלו חיזוק מעדיות אחרים למצבה הנפשי לאחר האירועים, הרי שהתקיים היסוד הפיסי של עבירות המעשה המגונה. </w:t>
      </w:r>
    </w:p>
    <w:p w14:paraId="312BE3C5" w14:textId="77777777" w:rsidR="002F0DE7" w:rsidRDefault="002F0DE7">
      <w:pPr>
        <w:rPr>
          <w:rFonts w:hint="cs"/>
          <w:rtl/>
        </w:rPr>
      </w:pPr>
    </w:p>
    <w:p w14:paraId="7BCDCC10" w14:textId="77777777" w:rsidR="002F0DE7" w:rsidRDefault="002F0DE7">
      <w:pPr>
        <w:rPr>
          <w:rFonts w:hint="cs"/>
          <w:rtl/>
        </w:rPr>
      </w:pPr>
      <w:r>
        <w:rPr>
          <w:rFonts w:hint="cs"/>
          <w:rtl/>
        </w:rPr>
        <w:t xml:space="preserve">באירוע הראשון ובאירוע השני המתלוננת לא הסכימה לנשק את הנאשם ולהיצמד אל גופו ולא הסכימה כי יאחוז בשפתיה או כי הוא ינשקה ויצמד לגופה ולשפתיה, והביעה את התנגדותה המפורשת במילים ובמעשים, ולכן היסוד הפיסי מתקיים בשני האירועים. </w:t>
      </w:r>
    </w:p>
    <w:p w14:paraId="211A774D" w14:textId="77777777" w:rsidR="002F0DE7" w:rsidRDefault="002F0DE7">
      <w:pPr>
        <w:rPr>
          <w:rFonts w:hint="cs"/>
          <w:rtl/>
        </w:rPr>
      </w:pPr>
    </w:p>
    <w:p w14:paraId="0F5F979F" w14:textId="77777777" w:rsidR="002F0DE7" w:rsidRDefault="002F0DE7">
      <w:pPr>
        <w:rPr>
          <w:rFonts w:hint="cs"/>
          <w:rtl/>
        </w:rPr>
      </w:pPr>
      <w:r>
        <w:rPr>
          <w:rFonts w:hint="cs"/>
          <w:rtl/>
        </w:rPr>
        <w:t xml:space="preserve">באשר לקיום היסוד הנפשי של העבירה - לשון הגדרתה של העבירה אינה מציגה דרישה להלך נפש מסויים. לכן, יש לראות את העבירה כעבירה של כוונה "סתם", אשר די לעניין ההרשעה לפיה בקיומה של פזיזות כלפי רכיבי היסוד הפיסי. </w:t>
      </w:r>
    </w:p>
    <w:p w14:paraId="61486FA6" w14:textId="77777777" w:rsidR="002F0DE7" w:rsidRDefault="002F0DE7">
      <w:pPr>
        <w:rPr>
          <w:rFonts w:hint="cs"/>
          <w:rtl/>
        </w:rPr>
      </w:pPr>
      <w:r>
        <w:rPr>
          <w:rFonts w:hint="cs"/>
          <w:rtl/>
        </w:rPr>
        <w:t>עם זאת, הגישה הרווחת היא כי הנקיטה במושג "לשם" בהגדרתו של "מעשה מגונה" בס"ק (ו), מחייבת דרישה לקיומה של "כוונה מיוחדת" ומכוחה יש מקום להרשעה אך ורק אם נלוותה למעשה כוונה מיוחדת להשיג אחת משלוש התכליות המפורטות בהגדרה הנ"ל (י. קדמי "על הדין בפלילים", חלק שני, עמ' 785).</w:t>
      </w:r>
    </w:p>
    <w:p w14:paraId="32F018AF" w14:textId="77777777" w:rsidR="002F0DE7" w:rsidRDefault="002F0DE7">
      <w:pPr>
        <w:rPr>
          <w:rFonts w:hint="cs"/>
          <w:rtl/>
        </w:rPr>
      </w:pPr>
    </w:p>
    <w:p w14:paraId="3FEFC233" w14:textId="77777777" w:rsidR="002F0DE7" w:rsidRDefault="002F0DE7">
      <w:pPr>
        <w:rPr>
          <w:rFonts w:hint="cs"/>
          <w:rtl/>
        </w:rPr>
      </w:pPr>
      <w:r>
        <w:rPr>
          <w:rFonts w:hint="cs"/>
          <w:rtl/>
        </w:rPr>
        <w:t xml:space="preserve">במקרה שלפנינו, נסיבות שני האירועים מצביעות על כך שמעשיו של הנאשם לוו בכוונה מיוחדת שלו, שהיה בה משום גירוי, סיפוק או ביזוי מיניים ולכן אני קובעת כי הנאשם ביצע את שתי העבירות לפי </w:t>
      </w:r>
      <w:hyperlink r:id="rId34" w:history="1">
        <w:r w:rsidR="006A60ED" w:rsidRPr="006A60ED">
          <w:rPr>
            <w:rStyle w:val="Hyperlink"/>
            <w:rFonts w:hint="eastAsia"/>
            <w:rtl/>
          </w:rPr>
          <w:t>סעיף</w:t>
        </w:r>
        <w:r w:rsidR="006A60ED" w:rsidRPr="006A60ED">
          <w:rPr>
            <w:rStyle w:val="Hyperlink"/>
            <w:rtl/>
          </w:rPr>
          <w:t xml:space="preserve"> 348(ג)</w:t>
        </w:r>
      </w:hyperlink>
      <w:r>
        <w:rPr>
          <w:rFonts w:hint="cs"/>
          <w:rtl/>
        </w:rPr>
        <w:t xml:space="preserve"> ל</w:t>
      </w:r>
      <w:r w:rsidR="002A7E71" w:rsidRPr="006A60ED">
        <w:rPr>
          <w:rFonts w:hint="eastAsia"/>
          <w:rtl/>
        </w:rPr>
        <w:t>חוק</w:t>
      </w:r>
      <w:r w:rsidR="002A7E71" w:rsidRPr="006A60ED">
        <w:rPr>
          <w:rtl/>
        </w:rPr>
        <w:t xml:space="preserve"> העונשין</w:t>
      </w:r>
      <w:r>
        <w:rPr>
          <w:rFonts w:hint="cs"/>
          <w:rtl/>
        </w:rPr>
        <w:t xml:space="preserve"> המיוחסות לו בכתב האישום (אישומים ראשון ושלישי).</w:t>
      </w:r>
    </w:p>
    <w:p w14:paraId="6BF9E316" w14:textId="77777777" w:rsidR="002F0DE7" w:rsidRDefault="002F0DE7">
      <w:pPr>
        <w:pStyle w:val="BodyText"/>
        <w:rPr>
          <w:rFonts w:hint="cs"/>
          <w:rtl/>
        </w:rPr>
      </w:pPr>
    </w:p>
    <w:p w14:paraId="6C89A48C" w14:textId="77777777" w:rsidR="002F0DE7" w:rsidRDefault="002F0DE7">
      <w:pPr>
        <w:pStyle w:val="BodyText"/>
        <w:rPr>
          <w:rFonts w:hint="cs"/>
          <w:b/>
          <w:bCs/>
          <w:u w:val="single"/>
          <w:rtl/>
        </w:rPr>
      </w:pPr>
      <w:r>
        <w:rPr>
          <w:rFonts w:hint="cs"/>
          <w:b/>
          <w:bCs/>
          <w:u w:val="single"/>
          <w:rtl/>
        </w:rPr>
        <w:t>הטרדה מינית:</w:t>
      </w:r>
    </w:p>
    <w:p w14:paraId="777A7BE1" w14:textId="77777777" w:rsidR="002F0DE7" w:rsidRDefault="002F0DE7">
      <w:pPr>
        <w:pStyle w:val="BodyText"/>
        <w:rPr>
          <w:rFonts w:hint="cs"/>
          <w:rtl/>
        </w:rPr>
      </w:pPr>
      <w:r>
        <w:rPr>
          <w:rFonts w:hint="cs"/>
          <w:rtl/>
        </w:rPr>
        <w:t xml:space="preserve">הנאשם מואשם בשתי עבירות של הטרדה מינית  - לפי </w:t>
      </w:r>
      <w:hyperlink r:id="rId35" w:history="1">
        <w:r w:rsidR="006A60ED" w:rsidRPr="006A60ED">
          <w:rPr>
            <w:rStyle w:val="Hyperlink"/>
            <w:rFonts w:hint="eastAsia"/>
            <w:rtl/>
          </w:rPr>
          <w:t>סעיף</w:t>
        </w:r>
        <w:r w:rsidR="006A60ED" w:rsidRPr="006A60ED">
          <w:rPr>
            <w:rStyle w:val="Hyperlink"/>
            <w:rtl/>
          </w:rPr>
          <w:t xml:space="preserve"> 3(א)(3)+(4)</w:t>
        </w:r>
      </w:hyperlink>
      <w:r>
        <w:rPr>
          <w:rFonts w:hint="cs"/>
          <w:rtl/>
        </w:rPr>
        <w:t xml:space="preserve">, </w:t>
      </w:r>
      <w:hyperlink r:id="rId36" w:history="1">
        <w:r w:rsidR="006A60ED" w:rsidRPr="006A60ED">
          <w:rPr>
            <w:rStyle w:val="Hyperlink"/>
            <w:rFonts w:hint="eastAsia"/>
            <w:rtl/>
          </w:rPr>
          <w:t>סעיף</w:t>
        </w:r>
        <w:r w:rsidR="006A60ED" w:rsidRPr="006A60ED">
          <w:rPr>
            <w:rStyle w:val="Hyperlink"/>
            <w:rtl/>
          </w:rPr>
          <w:t xml:space="preserve"> 4</w:t>
        </w:r>
      </w:hyperlink>
      <w:r>
        <w:rPr>
          <w:rFonts w:hint="cs"/>
          <w:rtl/>
        </w:rPr>
        <w:t>, ו</w:t>
      </w:r>
      <w:hyperlink r:id="rId37" w:history="1">
        <w:r w:rsidR="006A60ED" w:rsidRPr="006A60ED">
          <w:rPr>
            <w:rStyle w:val="Hyperlink"/>
            <w:rFonts w:hint="eastAsia"/>
            <w:rtl/>
          </w:rPr>
          <w:t>סעיף</w:t>
        </w:r>
        <w:r w:rsidR="006A60ED" w:rsidRPr="006A60ED">
          <w:rPr>
            <w:rStyle w:val="Hyperlink"/>
            <w:rtl/>
          </w:rPr>
          <w:t xml:space="preserve"> 5(א)</w:t>
        </w:r>
      </w:hyperlink>
      <w:r>
        <w:rPr>
          <w:rFonts w:hint="cs"/>
          <w:rtl/>
        </w:rPr>
        <w:t xml:space="preserve"> ל</w:t>
      </w:r>
      <w:r w:rsidR="002A7E71" w:rsidRPr="006A60ED">
        <w:rPr>
          <w:rFonts w:hint="eastAsia"/>
          <w:rtl/>
        </w:rPr>
        <w:t>חוק</w:t>
      </w:r>
      <w:r w:rsidR="002A7E71" w:rsidRPr="006A60ED">
        <w:rPr>
          <w:rtl/>
        </w:rPr>
        <w:t xml:space="preserve"> למניעת הטרדה מינית</w:t>
      </w:r>
      <w:r>
        <w:rPr>
          <w:rFonts w:hint="cs"/>
          <w:rtl/>
        </w:rPr>
        <w:t>, תשנ"ח-1998.</w:t>
      </w:r>
    </w:p>
    <w:p w14:paraId="30EF4BAB" w14:textId="77777777" w:rsidR="002F0DE7" w:rsidRDefault="002F0DE7">
      <w:pPr>
        <w:pStyle w:val="BodyText"/>
        <w:rPr>
          <w:rFonts w:hint="cs"/>
          <w:rtl/>
        </w:rPr>
      </w:pPr>
    </w:p>
    <w:p w14:paraId="6736AC5F" w14:textId="77777777" w:rsidR="002F0DE7" w:rsidRDefault="002F0DE7">
      <w:pPr>
        <w:pStyle w:val="BodyText"/>
        <w:rPr>
          <w:rFonts w:hint="cs"/>
          <w:rtl/>
        </w:rPr>
      </w:pPr>
      <w:r>
        <w:rPr>
          <w:rFonts w:hint="cs"/>
          <w:rtl/>
        </w:rPr>
        <w:t xml:space="preserve">מטרתו של החוק לאסור הטרדה מינית כדי להגן על כבודו של אדם, על חירותו ועל פרטיותו, וכן לקדם שוויון בין המינים - </w:t>
      </w:r>
      <w:hyperlink r:id="rId38" w:history="1">
        <w:r w:rsidR="006A60ED" w:rsidRPr="006A60ED">
          <w:rPr>
            <w:rStyle w:val="Hyperlink"/>
            <w:rFonts w:hint="eastAsia"/>
            <w:rtl/>
          </w:rPr>
          <w:t>סע</w:t>
        </w:r>
        <w:r w:rsidR="006A60ED" w:rsidRPr="006A60ED">
          <w:rPr>
            <w:rStyle w:val="Hyperlink"/>
            <w:rtl/>
          </w:rPr>
          <w:t>' 1</w:t>
        </w:r>
      </w:hyperlink>
      <w:r>
        <w:rPr>
          <w:rFonts w:hint="cs"/>
          <w:rtl/>
        </w:rPr>
        <w:t xml:space="preserve"> לחוק.</w:t>
      </w:r>
    </w:p>
    <w:p w14:paraId="377F9CC4" w14:textId="77777777" w:rsidR="002F0DE7" w:rsidRDefault="002F0DE7">
      <w:pPr>
        <w:pStyle w:val="BodyText"/>
        <w:rPr>
          <w:rFonts w:hint="cs"/>
          <w:rtl/>
        </w:rPr>
      </w:pPr>
    </w:p>
    <w:p w14:paraId="35ADE664" w14:textId="77777777" w:rsidR="002F0DE7" w:rsidRDefault="002F0DE7">
      <w:pPr>
        <w:pStyle w:val="BodyText"/>
        <w:rPr>
          <w:rFonts w:hint="cs"/>
          <w:rtl/>
        </w:rPr>
      </w:pPr>
      <w:r>
        <w:rPr>
          <w:rFonts w:hint="cs"/>
          <w:rtl/>
        </w:rPr>
        <w:t>הטרדה מינית מוגדרת ב</w:t>
      </w:r>
      <w:hyperlink r:id="rId39" w:history="1">
        <w:r w:rsidR="006A60ED" w:rsidRPr="006A60ED">
          <w:rPr>
            <w:rStyle w:val="Hyperlink"/>
            <w:rFonts w:hint="eastAsia"/>
            <w:rtl/>
          </w:rPr>
          <w:t>סעיף</w:t>
        </w:r>
        <w:r w:rsidR="006A60ED" w:rsidRPr="006A60ED">
          <w:rPr>
            <w:rStyle w:val="Hyperlink"/>
            <w:rtl/>
          </w:rPr>
          <w:t xml:space="preserve"> 3</w:t>
        </w:r>
      </w:hyperlink>
      <w:r>
        <w:rPr>
          <w:rFonts w:hint="cs"/>
          <w:rtl/>
        </w:rPr>
        <w:t xml:space="preserve"> ל</w:t>
      </w:r>
      <w:r w:rsidR="002A7E71" w:rsidRPr="006A60ED">
        <w:rPr>
          <w:rFonts w:hint="eastAsia"/>
          <w:rtl/>
        </w:rPr>
        <w:t>חוק</w:t>
      </w:r>
      <w:r w:rsidR="002A7E71" w:rsidRPr="006A60ED">
        <w:rPr>
          <w:rtl/>
        </w:rPr>
        <w:t xml:space="preserve"> למניעת הטרדה מינית</w:t>
      </w:r>
      <w:r>
        <w:rPr>
          <w:rFonts w:hint="cs"/>
          <w:rtl/>
        </w:rPr>
        <w:t xml:space="preserve"> כך:</w:t>
      </w:r>
    </w:p>
    <w:p w14:paraId="6B6C6656" w14:textId="77777777" w:rsidR="002F0DE7" w:rsidRDefault="002F0DE7">
      <w:pPr>
        <w:pStyle w:val="BodyText"/>
        <w:rPr>
          <w:rFonts w:hint="cs"/>
          <w:rtl/>
        </w:rPr>
      </w:pPr>
    </w:p>
    <w:p w14:paraId="389EF38B" w14:textId="77777777" w:rsidR="002F0DE7" w:rsidRDefault="002F0DE7">
      <w:pPr>
        <w:pStyle w:val="a0"/>
        <w:rPr>
          <w:rFonts w:hint="cs"/>
          <w:rtl/>
        </w:rPr>
      </w:pPr>
      <w:r>
        <w:rPr>
          <w:rFonts w:hint="cs"/>
          <w:rtl/>
        </w:rPr>
        <w:t xml:space="preserve">"(א) הטרדה מינית היא כל אחד ממעשים אלה: </w:t>
      </w:r>
    </w:p>
    <w:p w14:paraId="44F1F08A" w14:textId="77777777" w:rsidR="002F0DE7" w:rsidRDefault="002F0DE7">
      <w:pPr>
        <w:pStyle w:val="a0"/>
        <w:rPr>
          <w:rFonts w:hint="cs"/>
          <w:rtl/>
        </w:rPr>
      </w:pPr>
      <w:r>
        <w:rPr>
          <w:rFonts w:hint="cs"/>
          <w:rtl/>
        </w:rPr>
        <w:t xml:space="preserve">        (3) הצעות חוזרות בעלות אופי מיני, המופנות לאדם אשר הראה למטריד כי </w:t>
      </w:r>
      <w:r>
        <w:rPr>
          <w:rFonts w:hint="cs"/>
          <w:rtl/>
        </w:rPr>
        <w:br/>
        <w:t xml:space="preserve">               אינו מעונין בהצעות האמורות; </w:t>
      </w:r>
    </w:p>
    <w:p w14:paraId="10A5BE32" w14:textId="77777777" w:rsidR="002F0DE7" w:rsidRDefault="002F0DE7">
      <w:pPr>
        <w:pStyle w:val="a0"/>
        <w:rPr>
          <w:rFonts w:hint="cs"/>
          <w:rtl/>
        </w:rPr>
      </w:pPr>
      <w:r>
        <w:rPr>
          <w:rFonts w:hint="cs"/>
          <w:rtl/>
        </w:rPr>
        <w:t xml:space="preserve">        (4) התייחסויות חוזרות המופנות לאדם, המתמקדות במיניותו, כאשר אותו </w:t>
      </w:r>
      <w:r>
        <w:rPr>
          <w:rFonts w:hint="cs"/>
          <w:rtl/>
        </w:rPr>
        <w:br/>
        <w:t xml:space="preserve">               אדם הראה למטריד כי אינו מעונין בהתייחסויות האמורות".</w:t>
      </w:r>
    </w:p>
    <w:p w14:paraId="417E3265" w14:textId="77777777" w:rsidR="002F0DE7" w:rsidRDefault="002F0DE7">
      <w:pPr>
        <w:rPr>
          <w:rFonts w:hint="cs"/>
          <w:rtl/>
        </w:rPr>
      </w:pPr>
    </w:p>
    <w:p w14:paraId="2160294E" w14:textId="77777777" w:rsidR="002F0DE7" w:rsidRDefault="006A60ED">
      <w:pPr>
        <w:pStyle w:val="BodyText"/>
        <w:rPr>
          <w:rFonts w:hint="cs"/>
          <w:rtl/>
        </w:rPr>
      </w:pPr>
      <w:hyperlink r:id="rId40" w:history="1">
        <w:r w:rsidRPr="006A60ED">
          <w:rPr>
            <w:rStyle w:val="Hyperlink"/>
            <w:rFonts w:hint="eastAsia"/>
            <w:rtl/>
          </w:rPr>
          <w:t>סעיף</w:t>
        </w:r>
        <w:r w:rsidRPr="006A60ED">
          <w:rPr>
            <w:rStyle w:val="Hyperlink"/>
            <w:rtl/>
          </w:rPr>
          <w:t xml:space="preserve"> 4</w:t>
        </w:r>
      </w:hyperlink>
      <w:r w:rsidR="002F0DE7">
        <w:rPr>
          <w:rFonts w:hint="cs"/>
          <w:rtl/>
        </w:rPr>
        <w:t xml:space="preserve"> ל</w:t>
      </w:r>
      <w:r w:rsidR="002A7E71" w:rsidRPr="006A60ED">
        <w:rPr>
          <w:rFonts w:hint="eastAsia"/>
          <w:rtl/>
        </w:rPr>
        <w:t>חוק</w:t>
      </w:r>
      <w:r w:rsidR="002A7E71" w:rsidRPr="006A60ED">
        <w:rPr>
          <w:rtl/>
        </w:rPr>
        <w:t xml:space="preserve"> למניעת הטרדה מינית</w:t>
      </w:r>
      <w:r w:rsidR="002F0DE7">
        <w:rPr>
          <w:rFonts w:hint="cs"/>
          <w:rtl/>
        </w:rPr>
        <w:t xml:space="preserve"> קובע את איסור ההטרדה מינית כך:</w:t>
      </w:r>
    </w:p>
    <w:p w14:paraId="011D5C4C" w14:textId="77777777" w:rsidR="002F0DE7" w:rsidRDefault="002F0DE7">
      <w:pPr>
        <w:pStyle w:val="BodyText"/>
        <w:rPr>
          <w:rFonts w:hint="cs"/>
          <w:rtl/>
        </w:rPr>
      </w:pPr>
    </w:p>
    <w:p w14:paraId="5E6A839C" w14:textId="77777777" w:rsidR="002F0DE7" w:rsidRDefault="002F0DE7">
      <w:pPr>
        <w:pStyle w:val="a0"/>
        <w:rPr>
          <w:rFonts w:hint="cs"/>
          <w:rtl/>
        </w:rPr>
      </w:pPr>
      <w:r>
        <w:rPr>
          <w:rFonts w:hint="cs"/>
          <w:rtl/>
        </w:rPr>
        <w:t>"לא יטריד אדם מינית את זולתו ולא יתנכל לו".</w:t>
      </w:r>
    </w:p>
    <w:p w14:paraId="3747D3C3" w14:textId="77777777" w:rsidR="002F0DE7" w:rsidRDefault="002F0DE7">
      <w:pPr>
        <w:pStyle w:val="a0"/>
        <w:rPr>
          <w:rFonts w:hint="cs"/>
          <w:rtl/>
        </w:rPr>
      </w:pPr>
    </w:p>
    <w:p w14:paraId="5993A7D8" w14:textId="77777777" w:rsidR="002F0DE7" w:rsidRDefault="002F0DE7">
      <w:pPr>
        <w:pStyle w:val="a0"/>
        <w:rPr>
          <w:rFonts w:hint="cs"/>
          <w:rtl/>
        </w:rPr>
      </w:pPr>
    </w:p>
    <w:p w14:paraId="109AF8AA" w14:textId="77777777" w:rsidR="002F0DE7" w:rsidRDefault="006A60ED">
      <w:pPr>
        <w:rPr>
          <w:rFonts w:hint="cs"/>
          <w:rtl/>
        </w:rPr>
      </w:pPr>
      <w:hyperlink r:id="rId41" w:history="1">
        <w:r w:rsidRPr="006A60ED">
          <w:rPr>
            <w:rStyle w:val="Hyperlink"/>
            <w:rFonts w:hint="eastAsia"/>
            <w:rtl/>
          </w:rPr>
          <w:t>סעיף</w:t>
        </w:r>
        <w:r w:rsidRPr="006A60ED">
          <w:rPr>
            <w:rStyle w:val="Hyperlink"/>
            <w:rtl/>
          </w:rPr>
          <w:t xml:space="preserve"> 5</w:t>
        </w:r>
      </w:hyperlink>
      <w:r w:rsidR="002F0DE7">
        <w:rPr>
          <w:rFonts w:hint="cs"/>
          <w:rtl/>
        </w:rPr>
        <w:t xml:space="preserve"> ל</w:t>
      </w:r>
      <w:r w:rsidR="002A7E71" w:rsidRPr="006A60ED">
        <w:rPr>
          <w:rFonts w:hint="eastAsia"/>
          <w:rtl/>
        </w:rPr>
        <w:t>חוק</w:t>
      </w:r>
      <w:r w:rsidR="002A7E71" w:rsidRPr="006A60ED">
        <w:rPr>
          <w:rtl/>
        </w:rPr>
        <w:t xml:space="preserve"> למניעת הטרדה מינית</w:t>
      </w:r>
      <w:r w:rsidR="002F0DE7">
        <w:rPr>
          <w:rFonts w:hint="cs"/>
          <w:rtl/>
        </w:rPr>
        <w:t xml:space="preserve"> קובע מה דינו של המטריד מינית: </w:t>
      </w:r>
    </w:p>
    <w:p w14:paraId="24425A84" w14:textId="77777777" w:rsidR="002F0DE7" w:rsidRDefault="002F0DE7">
      <w:pPr>
        <w:rPr>
          <w:rFonts w:hint="cs"/>
          <w:rtl/>
        </w:rPr>
      </w:pPr>
    </w:p>
    <w:p w14:paraId="20973BBE" w14:textId="77777777" w:rsidR="002F0DE7" w:rsidRDefault="002F0DE7">
      <w:pPr>
        <w:pStyle w:val="a0"/>
        <w:rPr>
          <w:rFonts w:hint="cs"/>
          <w:rtl/>
        </w:rPr>
      </w:pPr>
      <w:r>
        <w:rPr>
          <w:rFonts w:hint="cs"/>
          <w:rtl/>
        </w:rPr>
        <w:t>"(א) המטריד מינית אדם כאמור בסעיף 3(א)(3) עד (6), דינו - מאסר שנתיים".</w:t>
      </w:r>
    </w:p>
    <w:p w14:paraId="64DBADEE" w14:textId="77777777" w:rsidR="002F0DE7" w:rsidRDefault="002F0DE7">
      <w:pPr>
        <w:pStyle w:val="a0"/>
        <w:rPr>
          <w:rFonts w:hint="cs"/>
          <w:rtl/>
        </w:rPr>
      </w:pPr>
    </w:p>
    <w:p w14:paraId="5AAC6F5B" w14:textId="77777777" w:rsidR="002F0DE7" w:rsidRDefault="002F0DE7">
      <w:pPr>
        <w:pStyle w:val="a0"/>
        <w:rPr>
          <w:rFonts w:hint="cs"/>
          <w:rtl/>
        </w:rPr>
      </w:pPr>
    </w:p>
    <w:p w14:paraId="2438E57B" w14:textId="77777777" w:rsidR="002F0DE7" w:rsidRDefault="002F0DE7">
      <w:pPr>
        <w:pStyle w:val="a0"/>
        <w:rPr>
          <w:rFonts w:hint="cs"/>
          <w:rtl/>
        </w:rPr>
      </w:pPr>
    </w:p>
    <w:p w14:paraId="35C856FB" w14:textId="77777777" w:rsidR="002F0DE7" w:rsidRDefault="002F0DE7">
      <w:pPr>
        <w:pStyle w:val="a0"/>
        <w:rPr>
          <w:rFonts w:hint="cs"/>
          <w:rtl/>
        </w:rPr>
      </w:pPr>
    </w:p>
    <w:p w14:paraId="61BDB6F8" w14:textId="77777777" w:rsidR="002F0DE7" w:rsidRDefault="002F0DE7">
      <w:pPr>
        <w:pStyle w:val="a0"/>
        <w:rPr>
          <w:rFonts w:hint="cs"/>
          <w:rtl/>
        </w:rPr>
      </w:pPr>
    </w:p>
    <w:p w14:paraId="4621357D" w14:textId="77777777" w:rsidR="002F0DE7" w:rsidRDefault="002F0DE7">
      <w:pPr>
        <w:pStyle w:val="a0"/>
        <w:rPr>
          <w:rFonts w:hint="cs"/>
          <w:rtl/>
        </w:rPr>
      </w:pPr>
    </w:p>
    <w:p w14:paraId="030DDDBF" w14:textId="77777777" w:rsidR="002F0DE7" w:rsidRDefault="002F0DE7">
      <w:pPr>
        <w:pStyle w:val="a0"/>
        <w:rPr>
          <w:rFonts w:hint="cs"/>
          <w:rtl/>
        </w:rPr>
      </w:pPr>
    </w:p>
    <w:p w14:paraId="460099FD" w14:textId="77777777" w:rsidR="002F0DE7" w:rsidRDefault="002F0DE7">
      <w:pPr>
        <w:pStyle w:val="a0"/>
        <w:rPr>
          <w:rFonts w:hint="cs"/>
          <w:rtl/>
        </w:rPr>
      </w:pPr>
    </w:p>
    <w:p w14:paraId="20206232" w14:textId="77777777" w:rsidR="002F0DE7" w:rsidRDefault="002F0DE7">
      <w:pPr>
        <w:pStyle w:val="a0"/>
        <w:rPr>
          <w:rFonts w:hint="cs"/>
          <w:rtl/>
        </w:rPr>
      </w:pPr>
    </w:p>
    <w:p w14:paraId="1563D622" w14:textId="77777777" w:rsidR="002F0DE7" w:rsidRDefault="002F0DE7">
      <w:pPr>
        <w:rPr>
          <w:rFonts w:hint="cs"/>
          <w:rtl/>
        </w:rPr>
      </w:pPr>
      <w:r>
        <w:rPr>
          <w:rFonts w:hint="cs"/>
          <w:rtl/>
        </w:rPr>
        <w:t>על הפגיעה הנובעת מהטרדה מינית נאמר במבוא להצעת ה</w:t>
      </w:r>
      <w:r w:rsidR="002A7E71" w:rsidRPr="006A60ED">
        <w:rPr>
          <w:rFonts w:hint="eastAsia"/>
          <w:rtl/>
        </w:rPr>
        <w:t>חוק</w:t>
      </w:r>
      <w:r w:rsidR="002A7E71" w:rsidRPr="006A60ED">
        <w:rPr>
          <w:rtl/>
        </w:rPr>
        <w:t xml:space="preserve"> למניעת הטרדה מינית</w:t>
      </w:r>
      <w:r>
        <w:rPr>
          <w:rFonts w:hint="cs"/>
          <w:rtl/>
        </w:rPr>
        <w:t xml:space="preserve">        התשנ"ז-1997 כך: </w:t>
      </w:r>
    </w:p>
    <w:p w14:paraId="321A9225" w14:textId="77777777" w:rsidR="002F0DE7" w:rsidRDefault="002F0DE7">
      <w:pPr>
        <w:rPr>
          <w:rFonts w:hint="cs"/>
          <w:rtl/>
        </w:rPr>
      </w:pPr>
    </w:p>
    <w:p w14:paraId="40656D55" w14:textId="77777777" w:rsidR="002F0DE7" w:rsidRDefault="002F0DE7">
      <w:pPr>
        <w:pStyle w:val="a0"/>
        <w:rPr>
          <w:rFonts w:hint="cs"/>
          <w:rtl/>
        </w:rPr>
      </w:pPr>
      <w:r>
        <w:rPr>
          <w:rFonts w:hint="cs"/>
          <w:rtl/>
        </w:rPr>
        <w:t>"הטרדה מינית היא פגיעה בכבוד האדם, בחירותו, בפרטיותו ובזכותו לשוויון. היא פוגעת בכבודו העצמי ובכבודו החברתי של המוטרד. היא משפילה ומבזה את אנושיותו, בין השאר על ידי התייחסות אל האדם כאל אובייקט מיני לשימושו של המטריד. הטרדה מינית שוללת את האוטונומיה של המוטרד ואת שליטתו בגופו ומיניותו, פוגעת בזכותו להגדרה עצמית ופולשת לפרטיותו, וכן מפלה אותו לרעה לעומת אנשים אחרים. הטרדה מינית כלפי נשים גורמת להשפלתן ביחס למינן או למיניותן ומקשה עליהן להשתלב כחברות שוות בעולם העבודה וביתר תחומי החיים, ובכך היא פוגעת בשוויונן".</w:t>
      </w:r>
    </w:p>
    <w:p w14:paraId="0E203232" w14:textId="77777777" w:rsidR="002F0DE7" w:rsidRDefault="002F0DE7">
      <w:pPr>
        <w:pStyle w:val="a0"/>
        <w:rPr>
          <w:rFonts w:hint="cs"/>
          <w:rtl/>
        </w:rPr>
      </w:pPr>
    </w:p>
    <w:p w14:paraId="04325340" w14:textId="77777777" w:rsidR="002F0DE7" w:rsidRDefault="002F0DE7">
      <w:pPr>
        <w:pStyle w:val="a0"/>
        <w:rPr>
          <w:rFonts w:hint="cs"/>
          <w:rtl/>
        </w:rPr>
      </w:pPr>
    </w:p>
    <w:p w14:paraId="19B082BD" w14:textId="77777777" w:rsidR="002F0DE7" w:rsidRDefault="002F0DE7">
      <w:pPr>
        <w:rPr>
          <w:rFonts w:hint="cs"/>
          <w:rtl/>
        </w:rPr>
      </w:pPr>
      <w:r>
        <w:rPr>
          <w:rFonts w:hint="cs"/>
          <w:rtl/>
        </w:rPr>
        <w:t>מאחר ונקבע לעיל כי הוכח על ידי התביעה מעשיו של הנאשם כלפי המתלוננת, הרי שנתקיימו בהם גם יסודות העבירה של הטרדה מינית, כאשר הנאשם לא ייחס כל חשיבות להתנגדותה המפורשת של המתלוננת באירועים השני והרביעי המפורטים בכתב האישום והמשיך להטרידה בשאלות בוטות בעלות אופי מיני מובהק.</w:t>
      </w:r>
    </w:p>
    <w:p w14:paraId="239440E3" w14:textId="77777777" w:rsidR="002F0DE7" w:rsidRDefault="002F0DE7">
      <w:pPr>
        <w:pStyle w:val="BodyText"/>
        <w:rPr>
          <w:rFonts w:hint="cs"/>
          <w:rtl/>
        </w:rPr>
      </w:pPr>
    </w:p>
    <w:p w14:paraId="098A0F19" w14:textId="77777777" w:rsidR="002F0DE7" w:rsidRDefault="002F0DE7">
      <w:pPr>
        <w:pStyle w:val="BodyText"/>
        <w:rPr>
          <w:rFonts w:hint="cs"/>
          <w:rtl/>
        </w:rPr>
      </w:pPr>
      <w:r>
        <w:rPr>
          <w:rFonts w:hint="cs"/>
          <w:rtl/>
        </w:rPr>
        <w:t xml:space="preserve">במעשיו אלו, הנאשם פגע בכבודה של המתלוננת, ואני קובעת כי הנאשם ביצע שתי עבירות של הטרדה מינית  לפי </w:t>
      </w:r>
      <w:hyperlink r:id="rId42" w:history="1">
        <w:r w:rsidR="006A60ED" w:rsidRPr="006A60ED">
          <w:rPr>
            <w:rStyle w:val="Hyperlink"/>
            <w:rFonts w:hint="eastAsia"/>
            <w:rtl/>
          </w:rPr>
          <w:t>סעיף</w:t>
        </w:r>
        <w:r w:rsidR="006A60ED" w:rsidRPr="006A60ED">
          <w:rPr>
            <w:rStyle w:val="Hyperlink"/>
            <w:rtl/>
          </w:rPr>
          <w:t xml:space="preserve"> 5</w:t>
        </w:r>
      </w:hyperlink>
      <w:r>
        <w:rPr>
          <w:rFonts w:hint="cs"/>
          <w:rtl/>
        </w:rPr>
        <w:t xml:space="preserve"> ל</w:t>
      </w:r>
      <w:r w:rsidR="002A7E71" w:rsidRPr="006A60ED">
        <w:rPr>
          <w:rFonts w:hint="eastAsia"/>
          <w:rtl/>
        </w:rPr>
        <w:t>חוק</w:t>
      </w:r>
      <w:r w:rsidR="002A7E71" w:rsidRPr="006A60ED">
        <w:rPr>
          <w:rtl/>
        </w:rPr>
        <w:t xml:space="preserve"> למניעת הטרדה מינית</w:t>
      </w:r>
      <w:r>
        <w:rPr>
          <w:rFonts w:hint="cs"/>
          <w:rtl/>
        </w:rPr>
        <w:t xml:space="preserve"> (אישומים שני ורביעי בכתב האישום).</w:t>
      </w:r>
    </w:p>
    <w:p w14:paraId="1071E244" w14:textId="77777777" w:rsidR="002F0DE7" w:rsidRDefault="002F0DE7">
      <w:pPr>
        <w:pStyle w:val="BodyText"/>
        <w:rPr>
          <w:rFonts w:hint="cs"/>
          <w:rtl/>
        </w:rPr>
      </w:pPr>
    </w:p>
    <w:p w14:paraId="7C01F64F" w14:textId="77777777" w:rsidR="002F0DE7" w:rsidRDefault="002F0DE7">
      <w:pPr>
        <w:pStyle w:val="BodyText"/>
        <w:rPr>
          <w:rFonts w:hint="cs"/>
          <w:b/>
          <w:bCs/>
          <w:u w:val="single"/>
          <w:rtl/>
        </w:rPr>
      </w:pPr>
      <w:r>
        <w:rPr>
          <w:rFonts w:hint="cs"/>
          <w:b/>
          <w:bCs/>
          <w:u w:val="single"/>
          <w:rtl/>
        </w:rPr>
        <w:t>לסיכום:</w:t>
      </w:r>
    </w:p>
    <w:p w14:paraId="725329F6" w14:textId="77777777" w:rsidR="002F0DE7" w:rsidRDefault="002F0DE7">
      <w:pPr>
        <w:pStyle w:val="BodyText"/>
        <w:rPr>
          <w:rFonts w:hint="cs"/>
          <w:rtl/>
        </w:rPr>
      </w:pPr>
      <w:r>
        <w:rPr>
          <w:rFonts w:hint="cs"/>
          <w:rtl/>
        </w:rPr>
        <w:t>התביעה בראיותיה הוכיחה ברמה הנדרשת במשפט הפלילי כי הנאשם ביצע את כל העבירות אשר יוחסו לו בכתב האישום ולכן אני מרשיעה אותו:</w:t>
      </w:r>
    </w:p>
    <w:p w14:paraId="7B7DA68B" w14:textId="77777777" w:rsidR="002F0DE7" w:rsidRDefault="002F0DE7">
      <w:pPr>
        <w:pStyle w:val="BodyText"/>
        <w:rPr>
          <w:rFonts w:hint="cs"/>
          <w:rtl/>
        </w:rPr>
      </w:pPr>
      <w:r>
        <w:rPr>
          <w:rFonts w:hint="cs"/>
          <w:rtl/>
        </w:rPr>
        <w:t xml:space="preserve">ב-2 עבירות של מעשה מגונה באדם - עבירה לפי </w:t>
      </w:r>
      <w:hyperlink r:id="rId43" w:history="1">
        <w:r w:rsidR="006A60ED" w:rsidRPr="006A60ED">
          <w:rPr>
            <w:rStyle w:val="Hyperlink"/>
            <w:rFonts w:hint="eastAsia"/>
            <w:rtl/>
          </w:rPr>
          <w:t>סע</w:t>
        </w:r>
        <w:r w:rsidR="006A60ED" w:rsidRPr="006A60ED">
          <w:rPr>
            <w:rStyle w:val="Hyperlink"/>
            <w:rtl/>
          </w:rPr>
          <w:t>' 348(ג)</w:t>
        </w:r>
      </w:hyperlink>
      <w:r>
        <w:rPr>
          <w:rFonts w:hint="cs"/>
          <w:rtl/>
        </w:rPr>
        <w:t xml:space="preserve"> ל</w:t>
      </w:r>
      <w:r w:rsidR="002A7E71" w:rsidRPr="006A60ED">
        <w:rPr>
          <w:rFonts w:hint="eastAsia"/>
          <w:rtl/>
        </w:rPr>
        <w:t>חוק</w:t>
      </w:r>
      <w:r w:rsidR="002A7E71" w:rsidRPr="006A60ED">
        <w:rPr>
          <w:rtl/>
        </w:rPr>
        <w:t xml:space="preserve"> העונשין</w:t>
      </w:r>
      <w:r>
        <w:rPr>
          <w:rFonts w:hint="cs"/>
          <w:rtl/>
        </w:rPr>
        <w:t>.</w:t>
      </w:r>
    </w:p>
    <w:p w14:paraId="1E6B1D28" w14:textId="77777777" w:rsidR="002F0DE7" w:rsidRDefault="002F0DE7">
      <w:pPr>
        <w:pStyle w:val="BodyText"/>
        <w:rPr>
          <w:rFonts w:hint="cs"/>
          <w:rtl/>
        </w:rPr>
      </w:pPr>
      <w:r>
        <w:rPr>
          <w:rFonts w:hint="cs"/>
          <w:rtl/>
        </w:rPr>
        <w:t xml:space="preserve">וב-2 עבירות של הטרדה מינית - עבירה לפי </w:t>
      </w:r>
      <w:hyperlink r:id="rId44" w:history="1">
        <w:r w:rsidR="006A60ED" w:rsidRPr="006A60ED">
          <w:rPr>
            <w:rStyle w:val="Hyperlink"/>
            <w:rFonts w:hint="eastAsia"/>
            <w:rtl/>
          </w:rPr>
          <w:t>סע</w:t>
        </w:r>
        <w:r w:rsidR="006A60ED" w:rsidRPr="006A60ED">
          <w:rPr>
            <w:rStyle w:val="Hyperlink"/>
            <w:rtl/>
          </w:rPr>
          <w:t>' 3(ד)</w:t>
        </w:r>
      </w:hyperlink>
      <w:r>
        <w:rPr>
          <w:rFonts w:hint="cs"/>
          <w:rtl/>
        </w:rPr>
        <w:t xml:space="preserve"> ו-</w:t>
      </w:r>
      <w:hyperlink r:id="rId45" w:history="1">
        <w:r w:rsidR="006A60ED" w:rsidRPr="006A60ED">
          <w:rPr>
            <w:rStyle w:val="Hyperlink"/>
            <w:rtl/>
          </w:rPr>
          <w:t>(4)</w:t>
        </w:r>
      </w:hyperlink>
      <w:r>
        <w:rPr>
          <w:rFonts w:hint="cs"/>
          <w:rtl/>
        </w:rPr>
        <w:t xml:space="preserve"> + </w:t>
      </w:r>
      <w:hyperlink r:id="rId46" w:history="1">
        <w:r w:rsidR="006A60ED" w:rsidRPr="006A60ED">
          <w:rPr>
            <w:rStyle w:val="Hyperlink"/>
            <w:rFonts w:hint="eastAsia"/>
            <w:rtl/>
          </w:rPr>
          <w:t>סע</w:t>
        </w:r>
        <w:r w:rsidR="006A60ED" w:rsidRPr="006A60ED">
          <w:rPr>
            <w:rStyle w:val="Hyperlink"/>
            <w:rtl/>
          </w:rPr>
          <w:t>' 4</w:t>
        </w:r>
      </w:hyperlink>
      <w:r>
        <w:rPr>
          <w:rFonts w:hint="cs"/>
          <w:rtl/>
        </w:rPr>
        <w:t xml:space="preserve"> + </w:t>
      </w:r>
      <w:hyperlink r:id="rId47" w:history="1">
        <w:r w:rsidR="006A60ED" w:rsidRPr="006A60ED">
          <w:rPr>
            <w:rStyle w:val="Hyperlink"/>
            <w:rFonts w:hint="eastAsia"/>
            <w:rtl/>
          </w:rPr>
          <w:t>סע</w:t>
        </w:r>
        <w:r w:rsidR="006A60ED" w:rsidRPr="006A60ED">
          <w:rPr>
            <w:rStyle w:val="Hyperlink"/>
            <w:rtl/>
          </w:rPr>
          <w:t>' 5(א)</w:t>
        </w:r>
      </w:hyperlink>
      <w:r>
        <w:rPr>
          <w:rFonts w:hint="cs"/>
          <w:rtl/>
        </w:rPr>
        <w:t xml:space="preserve"> ל</w:t>
      </w:r>
      <w:r w:rsidR="002A7E71" w:rsidRPr="006A60ED">
        <w:rPr>
          <w:rFonts w:hint="eastAsia"/>
          <w:rtl/>
        </w:rPr>
        <w:t>חוק</w:t>
      </w:r>
      <w:r w:rsidR="002A7E71" w:rsidRPr="006A60ED">
        <w:rPr>
          <w:rtl/>
        </w:rPr>
        <w:t xml:space="preserve"> למניעת הטרדה מינית</w:t>
      </w:r>
      <w:r>
        <w:rPr>
          <w:rFonts w:hint="cs"/>
          <w:rtl/>
        </w:rPr>
        <w:t>, תשנ"ח-1998.</w:t>
      </w:r>
    </w:p>
    <w:p w14:paraId="0E4A4859" w14:textId="77777777" w:rsidR="002F0DE7" w:rsidRDefault="002F0DE7">
      <w:pPr>
        <w:pStyle w:val="BodyText"/>
        <w:rPr>
          <w:rFonts w:hint="cs"/>
          <w:rtl/>
        </w:rPr>
      </w:pPr>
    </w:p>
    <w:p w14:paraId="52C63661" w14:textId="77777777" w:rsidR="002F0DE7" w:rsidRDefault="002F0DE7">
      <w:pPr>
        <w:rPr>
          <w:rFonts w:hint="cs"/>
          <w:b/>
          <w:bCs/>
          <w:color w:val="000000"/>
          <w:rtl/>
        </w:rPr>
      </w:pPr>
      <w:r>
        <w:rPr>
          <w:rFonts w:hint="cs"/>
          <w:b/>
          <w:bCs/>
          <w:color w:val="000000"/>
          <w:rtl/>
        </w:rPr>
        <w:t xml:space="preserve">ניתנה היום כ"א בשבט, תשס"ה (31 בינואר 2005), במעמד הצדדים. </w:t>
      </w:r>
    </w:p>
    <w:p w14:paraId="1920FBFC" w14:textId="77777777" w:rsidR="002F0DE7" w:rsidRDefault="002F0DE7">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51"/>
      </w:tblGrid>
      <w:tr w:rsidR="002F0DE7" w14:paraId="55C20903" w14:textId="77777777">
        <w:tc>
          <w:tcPr>
            <w:tcW w:w="1951" w:type="dxa"/>
            <w:tcBorders>
              <w:top w:val="single" w:sz="4" w:space="0" w:color="auto"/>
              <w:left w:val="nil"/>
              <w:bottom w:val="nil"/>
              <w:right w:val="nil"/>
            </w:tcBorders>
          </w:tcPr>
          <w:p w14:paraId="216FB6BC" w14:textId="77777777" w:rsidR="002F0DE7" w:rsidRDefault="002F0DE7">
            <w:pPr>
              <w:jc w:val="right"/>
              <w:rPr>
                <w:b/>
                <w:bCs/>
              </w:rPr>
            </w:pPr>
            <w:r>
              <w:rPr>
                <w:rFonts w:hint="cs"/>
                <w:b/>
                <w:bCs/>
                <w:rtl/>
              </w:rPr>
              <w:t>ניצה שרון, שופטת</w:t>
            </w:r>
          </w:p>
        </w:tc>
      </w:tr>
    </w:tbl>
    <w:p w14:paraId="0FE09335" w14:textId="77777777" w:rsidR="002F0DE7" w:rsidRDefault="002F0DE7">
      <w:pPr>
        <w:rPr>
          <w:rFonts w:hint="cs"/>
          <w:rtl/>
        </w:rPr>
      </w:pPr>
    </w:p>
    <w:p w14:paraId="357C06EF" w14:textId="77777777" w:rsidR="002F0DE7" w:rsidRDefault="002F0DE7">
      <w:pPr>
        <w:rPr>
          <w:rFonts w:hint="cs"/>
          <w:rtl/>
        </w:rPr>
      </w:pPr>
    </w:p>
    <w:p w14:paraId="7222DEE1" w14:textId="77777777" w:rsidR="002F0DE7" w:rsidRDefault="002F0DE7">
      <w:pPr>
        <w:rPr>
          <w:rFonts w:hint="cs"/>
          <w:rtl/>
        </w:rPr>
      </w:pPr>
    </w:p>
    <w:p w14:paraId="3ECD58B2" w14:textId="77777777" w:rsidR="002F0DE7" w:rsidRDefault="002F0DE7">
      <w:pPr>
        <w:pStyle w:val="Heading4"/>
        <w:rPr>
          <w:rtl/>
        </w:rPr>
      </w:pPr>
      <w:r>
        <w:rPr>
          <w:rFonts w:hint="cs"/>
          <w:rtl/>
        </w:rPr>
        <w:t>עו"ד לטי:</w:t>
      </w:r>
    </w:p>
    <w:p w14:paraId="66D08159" w14:textId="77777777" w:rsidR="002F0DE7" w:rsidRDefault="002F0DE7">
      <w:pPr>
        <w:pStyle w:val="a3"/>
        <w:rPr>
          <w:rFonts w:hint="cs"/>
          <w:sz w:val="20"/>
          <w:rtl/>
        </w:rPr>
      </w:pPr>
      <w:r>
        <w:rPr>
          <w:rFonts w:hint="cs"/>
          <w:sz w:val="20"/>
          <w:rtl/>
        </w:rPr>
        <w:t xml:space="preserve">אני מבקשת דחיה לטיעונים לעונש. </w:t>
      </w:r>
    </w:p>
    <w:p w14:paraId="67FF279E" w14:textId="77777777" w:rsidR="002F0DE7" w:rsidRDefault="002F0DE7">
      <w:pPr>
        <w:pStyle w:val="a3"/>
        <w:rPr>
          <w:rFonts w:hint="cs"/>
          <w:sz w:val="20"/>
          <w:rtl/>
        </w:rPr>
      </w:pPr>
    </w:p>
    <w:p w14:paraId="429FD501" w14:textId="77777777" w:rsidR="002F0DE7" w:rsidRDefault="002F0DE7">
      <w:pPr>
        <w:pStyle w:val="a3"/>
        <w:rPr>
          <w:rFonts w:hint="cs"/>
          <w:b/>
          <w:bCs/>
          <w:sz w:val="20"/>
          <w:u w:val="single"/>
          <w:rtl/>
        </w:rPr>
      </w:pPr>
      <w:r>
        <w:rPr>
          <w:rFonts w:hint="cs"/>
          <w:b/>
          <w:bCs/>
          <w:sz w:val="20"/>
          <w:u w:val="single"/>
          <w:rtl/>
        </w:rPr>
        <w:t>גב' בורובסקי:</w:t>
      </w:r>
    </w:p>
    <w:p w14:paraId="08BB63D4" w14:textId="77777777" w:rsidR="002F0DE7" w:rsidRDefault="002F0DE7">
      <w:pPr>
        <w:pStyle w:val="a3"/>
        <w:rPr>
          <w:rFonts w:hint="cs"/>
          <w:sz w:val="20"/>
          <w:rtl/>
        </w:rPr>
      </w:pPr>
      <w:r>
        <w:rPr>
          <w:rFonts w:hint="cs"/>
          <w:sz w:val="20"/>
          <w:rtl/>
        </w:rPr>
        <w:t>אין לי התנגדות לדחיה ובלבד שינתן תאריך מוקדם.</w:t>
      </w:r>
    </w:p>
    <w:p w14:paraId="17F1750A" w14:textId="77777777" w:rsidR="002F0DE7" w:rsidRDefault="002F0DE7">
      <w:pPr>
        <w:pStyle w:val="a3"/>
        <w:rPr>
          <w:rFonts w:hint="cs"/>
          <w:sz w:val="20"/>
          <w:rtl/>
        </w:rPr>
      </w:pPr>
    </w:p>
    <w:p w14:paraId="2523BCE1" w14:textId="77777777" w:rsidR="002F0DE7" w:rsidRDefault="002F0DE7">
      <w:pPr>
        <w:pStyle w:val="Heading1"/>
        <w:rPr>
          <w:rFonts w:hint="cs"/>
          <w:rtl/>
        </w:rPr>
      </w:pPr>
      <w:bookmarkStart w:id="10" w:name="Decision1"/>
      <w:r>
        <w:rPr>
          <w:rFonts w:hint="cs"/>
          <w:rtl/>
        </w:rPr>
        <w:t>החלטה</w:t>
      </w:r>
    </w:p>
    <w:p w14:paraId="6711B8B6" w14:textId="77777777" w:rsidR="002F0DE7" w:rsidRDefault="002F0DE7">
      <w:pPr>
        <w:suppressLineNumbers/>
        <w:rPr>
          <w:rFonts w:hint="cs"/>
          <w:rtl/>
        </w:rPr>
      </w:pPr>
    </w:p>
    <w:p w14:paraId="2DE80811" w14:textId="77777777" w:rsidR="002F0DE7" w:rsidRDefault="002F0DE7">
      <w:pPr>
        <w:rPr>
          <w:rFonts w:hint="cs"/>
          <w:rtl/>
        </w:rPr>
      </w:pPr>
      <w:r>
        <w:rPr>
          <w:rFonts w:hint="cs"/>
          <w:b/>
          <w:bCs/>
          <w:rtl/>
        </w:rPr>
        <w:t xml:space="preserve">נקבע לטיעונים לעונש ליום 9.2.05  בשעה 08:30. </w:t>
      </w:r>
    </w:p>
    <w:p w14:paraId="398A47DF" w14:textId="77777777" w:rsidR="002F0DE7" w:rsidRDefault="002F0DE7">
      <w:pPr>
        <w:suppressLineNumbers/>
        <w:rPr>
          <w:rFonts w:hint="cs"/>
          <w:b/>
          <w:bCs/>
          <w:rtl/>
        </w:rPr>
      </w:pPr>
    </w:p>
    <w:p w14:paraId="08F40BBC" w14:textId="77777777" w:rsidR="002F0DE7" w:rsidRDefault="002F0DE7">
      <w:pPr>
        <w:suppressLineNumbers/>
        <w:rPr>
          <w:rFonts w:hint="cs"/>
          <w:b/>
          <w:bCs/>
          <w:rtl/>
        </w:rPr>
      </w:pPr>
      <w:r>
        <w:rPr>
          <w:rFonts w:hint="cs"/>
          <w:b/>
          <w:bCs/>
          <w:rtl/>
        </w:rPr>
        <w:t xml:space="preserve">ניתנה היום כ"א בשבט, תשס"ה (31 בינואר 2005), במעמד הצדדים. </w:t>
      </w:r>
    </w:p>
    <w:p w14:paraId="1572D6FC" w14:textId="77777777" w:rsidR="002F0DE7" w:rsidRDefault="002F0DE7">
      <w:pPr>
        <w:rPr>
          <w:rFonts w:hint="cs"/>
          <w:rtl/>
        </w:rPr>
      </w:pP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51"/>
      </w:tblGrid>
      <w:tr w:rsidR="002F0DE7" w14:paraId="429C9FB5" w14:textId="77777777">
        <w:tc>
          <w:tcPr>
            <w:tcW w:w="1951" w:type="dxa"/>
            <w:tcBorders>
              <w:top w:val="single" w:sz="4" w:space="0" w:color="auto"/>
              <w:left w:val="nil"/>
              <w:bottom w:val="nil"/>
              <w:right w:val="nil"/>
            </w:tcBorders>
          </w:tcPr>
          <w:p w14:paraId="71AE310C" w14:textId="77777777" w:rsidR="002F0DE7" w:rsidRDefault="002F0DE7">
            <w:pPr>
              <w:jc w:val="right"/>
              <w:rPr>
                <w:b/>
                <w:bCs/>
              </w:rPr>
            </w:pPr>
            <w:r>
              <w:rPr>
                <w:rFonts w:hint="cs"/>
                <w:b/>
                <w:bCs/>
                <w:rtl/>
              </w:rPr>
              <w:t>ניצה שרון, שופטת</w:t>
            </w:r>
          </w:p>
        </w:tc>
      </w:tr>
    </w:tbl>
    <w:p w14:paraId="0DA7B075" w14:textId="77777777" w:rsidR="002F0DE7" w:rsidRDefault="002F0DE7">
      <w:pPr>
        <w:rPr>
          <w:rFonts w:hint="cs"/>
          <w:sz w:val="24"/>
          <w:rtl/>
        </w:rPr>
      </w:pPr>
      <w:r>
        <w:rPr>
          <w:rFonts w:hint="cs"/>
          <w:sz w:val="24"/>
          <w:rtl/>
        </w:rPr>
        <w:t>הקלדנית: עירית ת.</w:t>
      </w:r>
      <w:bookmarkEnd w:id="10"/>
    </w:p>
    <w:p w14:paraId="752939D7" w14:textId="77777777" w:rsidR="002F0DE7" w:rsidRDefault="002F0DE7">
      <w:pPr>
        <w:rPr>
          <w:rFonts w:hint="cs"/>
          <w:rtl/>
        </w:rPr>
      </w:pPr>
      <w:r>
        <w:rPr>
          <w:rtl/>
        </w:rPr>
        <w:t>נוסח מסמך זה כפוף לשינויי ניסוח ועריכה</w:t>
      </w:r>
    </w:p>
    <w:sectPr w:rsidR="002F0DE7">
      <w:headerReference w:type="even" r:id="rId48"/>
      <w:headerReference w:type="default" r:id="rId49"/>
      <w:footerReference w:type="even" r:id="rId50"/>
      <w:footerReference w:type="default" r:id="rId51"/>
      <w:headerReference w:type="first" r:id="rId52"/>
      <w:footerReference w:type="first" r:id="rId53"/>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2AA46" w14:textId="77777777" w:rsidR="001B4929" w:rsidRDefault="001B4929">
      <w:r>
        <w:separator/>
      </w:r>
    </w:p>
  </w:endnote>
  <w:endnote w:type="continuationSeparator" w:id="0">
    <w:p w14:paraId="621D77AD" w14:textId="77777777" w:rsidR="001B4929" w:rsidRDefault="001B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AD41" w14:textId="77777777" w:rsidR="001B4929" w:rsidRDefault="001B492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30DF8F53" w14:textId="77777777" w:rsidR="001B4929" w:rsidRDefault="001B492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8A2E9C" w14:textId="77777777" w:rsidR="001B4929" w:rsidRDefault="001B492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M:\00000000\05-02-01\ps-all\01 = 05-01-31-tali\OutDoc\s03001975-128.doc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8B4C" w14:textId="77777777" w:rsidR="001B4929" w:rsidRDefault="001B492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66919">
      <w:rPr>
        <w:rFonts w:hAnsi="FrankRuehl" w:cs="FrankRuehl"/>
        <w:noProof/>
        <w:sz w:val="24"/>
        <w:rtl/>
      </w:rPr>
      <w:t>1</w:t>
    </w:r>
    <w:r>
      <w:rPr>
        <w:rFonts w:hAnsi="FrankRuehl" w:cs="FrankRuehl"/>
        <w:sz w:val="24"/>
        <w:rtl/>
      </w:rPr>
      <w:fldChar w:fldCharType="end"/>
    </w:r>
  </w:p>
  <w:p w14:paraId="43A4B5A1" w14:textId="77777777" w:rsidR="001B4929" w:rsidRDefault="001B492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D8C538" w14:textId="77777777" w:rsidR="001B4929" w:rsidRDefault="001B492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M:\00000000\05-02-01\ps-all\01 = 05-01-31-tali\OutDoc\s03001975-128.doc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16FD" w14:textId="77777777" w:rsidR="001B4929" w:rsidRDefault="001B4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D5EE" w14:textId="77777777" w:rsidR="001B4929" w:rsidRDefault="001B4929">
      <w:r>
        <w:separator/>
      </w:r>
    </w:p>
  </w:footnote>
  <w:footnote w:type="continuationSeparator" w:id="0">
    <w:p w14:paraId="306104E3" w14:textId="77777777" w:rsidR="001B4929" w:rsidRDefault="001B4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471C" w14:textId="77777777" w:rsidR="001B4929" w:rsidRDefault="001B492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1975/03</w:t>
    </w:r>
    <w:r>
      <w:rPr>
        <w:rFonts w:hAnsi="David"/>
        <w:color w:val="000000"/>
        <w:sz w:val="22"/>
        <w:szCs w:val="22"/>
        <w:rtl/>
      </w:rPr>
      <w:tab/>
      <w:t xml:space="preserve"> מדינת ישראל נ' רפאל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EFCC" w14:textId="77777777" w:rsidR="001B4929" w:rsidRDefault="001B492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1975/03</w:t>
    </w:r>
    <w:r>
      <w:rPr>
        <w:rFonts w:hAnsi="David"/>
        <w:color w:val="000000"/>
        <w:sz w:val="22"/>
        <w:szCs w:val="22"/>
        <w:rtl/>
      </w:rPr>
      <w:tab/>
      <w:t xml:space="preserve"> מדינת ישראל נ' רפאל פרץ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3F64" w14:textId="77777777" w:rsidR="001B4929" w:rsidRDefault="001B49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2F0DE7"/>
    <w:rsid w:val="00173E1B"/>
    <w:rsid w:val="001B4929"/>
    <w:rsid w:val="002616B0"/>
    <w:rsid w:val="002A7E71"/>
    <w:rsid w:val="002F0DE7"/>
    <w:rsid w:val="00397BA5"/>
    <w:rsid w:val="006A60ED"/>
    <w:rsid w:val="00914497"/>
    <w:rsid w:val="00966919"/>
    <w:rsid w:val="00C15C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84D170"/>
  <w15:chartTrackingRefBased/>
  <w15:docId w15:val="{A18B4588-36AD-4FD0-BD5E-D35F8026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30"/>
      <w:szCs w:val="30"/>
      <w:u w:val="single"/>
    </w:rPr>
  </w:style>
  <w:style w:type="paragraph" w:styleId="BodyText">
    <w:name w:val="Body Text"/>
    <w:basedOn w:val="Normal"/>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עירית תוכמה"/>
    <w:basedOn w:val="Normal"/>
    <w:autoRedefine/>
    <w:rPr>
      <w:sz w:val="24"/>
    </w:rPr>
  </w:style>
  <w:style w:type="character" w:styleId="PageNumber">
    <w:name w:val="page number"/>
    <w:rPr>
      <w:rFonts w:cs="David"/>
    </w:rPr>
  </w:style>
  <w:style w:type="character" w:styleId="Hyperlink">
    <w:name w:val="Hyperlink"/>
    <w:rsid w:val="002A7E71"/>
    <w:rPr>
      <w:color w:val="0000FF"/>
      <w:u w:val="single"/>
    </w:rPr>
  </w:style>
  <w:style w:type="character" w:styleId="FollowedHyperlink">
    <w:name w:val="FollowedHyperlink"/>
    <w:rsid w:val="006A60E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3." TargetMode="External"/><Relationship Id="rId18" Type="http://schemas.openxmlformats.org/officeDocument/2006/relationships/hyperlink" Target="http://www.nevo.co.il/law/72507/4.a" TargetMode="External"/><Relationship Id="rId26" Type="http://schemas.openxmlformats.org/officeDocument/2006/relationships/hyperlink" Target="http://www.nevo.co.il/case/6024185" TargetMode="External"/><Relationship Id="rId39" Type="http://schemas.openxmlformats.org/officeDocument/2006/relationships/hyperlink" Target="http://www.nevo.co.il/law/72507/3" TargetMode="External"/><Relationship Id="rId21" Type="http://schemas.openxmlformats.org/officeDocument/2006/relationships/hyperlink" Target="http://www.nevo.co.il/law/98569" TargetMode="External"/><Relationship Id="rId34" Type="http://schemas.openxmlformats.org/officeDocument/2006/relationships/hyperlink" Target="http://www.nevo.co.il/law/70301/348.c" TargetMode="External"/><Relationship Id="rId42" Type="http://schemas.openxmlformats.org/officeDocument/2006/relationships/hyperlink" Target="http://www.nevo.co.il/law/72507/5" TargetMode="External"/><Relationship Id="rId47" Type="http://schemas.openxmlformats.org/officeDocument/2006/relationships/hyperlink" Target="http://www.nevo.co.il/law/72507/5.a"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www.nevo.co.il/law/70301/345" TargetMode="External"/><Relationship Id="rId2" Type="http://schemas.openxmlformats.org/officeDocument/2006/relationships/settings" Target="settings.xml"/><Relationship Id="rId16" Type="http://schemas.openxmlformats.org/officeDocument/2006/relationships/hyperlink" Target="http://www.nevo.co.il/law/72507/3.d.4" TargetMode="External"/><Relationship Id="rId29" Type="http://schemas.openxmlformats.org/officeDocument/2006/relationships/hyperlink" Target="http://www.nevo.co.il/law/70301/348.c" TargetMode="External"/><Relationship Id="rId11" Type="http://schemas.openxmlformats.org/officeDocument/2006/relationships/hyperlink" Target="http://www.nevo.co.il/law/72507/1" TargetMode="External"/><Relationship Id="rId24" Type="http://schemas.openxmlformats.org/officeDocument/2006/relationships/hyperlink" Target="http://www.nevo.co.il/law/72507/3.a.3.;3.a.4.;5;4.a" TargetMode="External"/><Relationship Id="rId32" Type="http://schemas.openxmlformats.org/officeDocument/2006/relationships/hyperlink" Target="http://www.nevo.co.il/law/70301/348.c" TargetMode="External"/><Relationship Id="rId37" Type="http://schemas.openxmlformats.org/officeDocument/2006/relationships/hyperlink" Target="http://www.nevo.co.il/law/72507/5.a" TargetMode="External"/><Relationship Id="rId40" Type="http://schemas.openxmlformats.org/officeDocument/2006/relationships/hyperlink" Target="http://www.nevo.co.il/law/72507/4" TargetMode="External"/><Relationship Id="rId45" Type="http://schemas.openxmlformats.org/officeDocument/2006/relationships/hyperlink" Target="http://www.nevo.co.il/law/72507/3.d.4" TargetMode="External"/><Relationship Id="rId53"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http://www.nevo.co.il/law/72507" TargetMode="External"/><Relationship Id="rId19" Type="http://schemas.openxmlformats.org/officeDocument/2006/relationships/hyperlink" Target="http://www.nevo.co.il/law/72507/5" TargetMode="External"/><Relationship Id="rId31" Type="http://schemas.openxmlformats.org/officeDocument/2006/relationships/hyperlink" Target="http://www.nevo.co.il/law/70301/348.f" TargetMode="External"/><Relationship Id="rId44" Type="http://schemas.openxmlformats.org/officeDocument/2006/relationships/hyperlink" Target="http://www.nevo.co.il/law/72507/3.d" TargetMode="External"/><Relationship Id="rId52"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2507/3.a.4." TargetMode="External"/><Relationship Id="rId22" Type="http://schemas.openxmlformats.org/officeDocument/2006/relationships/hyperlink" Target="http://www.nevo.co.il/law/98569/53" TargetMode="External"/><Relationship Id="rId27" Type="http://schemas.openxmlformats.org/officeDocument/2006/relationships/hyperlink" Target="http://www.nevo.co.il/case/18742532"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72507/3.a.3.;3.a.4" TargetMode="External"/><Relationship Id="rId43" Type="http://schemas.openxmlformats.org/officeDocument/2006/relationships/hyperlink" Target="http://www.nevo.co.il/law/70301/348.c" TargetMode="External"/><Relationship Id="rId48" Type="http://schemas.openxmlformats.org/officeDocument/2006/relationships/header" Target="header1.xml"/><Relationship Id="rId8" Type="http://schemas.openxmlformats.org/officeDocument/2006/relationships/hyperlink" Target="http://www.nevo.co.il/law/70301/348.c"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2507/3" TargetMode="External"/><Relationship Id="rId17" Type="http://schemas.openxmlformats.org/officeDocument/2006/relationships/hyperlink" Target="http://www.nevo.co.il/law/72507/4" TargetMode="External"/><Relationship Id="rId25" Type="http://schemas.openxmlformats.org/officeDocument/2006/relationships/hyperlink" Target="http://www.nevo.co.il/case/17946334" TargetMode="External"/><Relationship Id="rId33" Type="http://schemas.openxmlformats.org/officeDocument/2006/relationships/hyperlink" Target="http://www.nevo.co.il/law/70301/345" TargetMode="External"/><Relationship Id="rId38" Type="http://schemas.openxmlformats.org/officeDocument/2006/relationships/hyperlink" Target="http://www.nevo.co.il/law/72507/1" TargetMode="External"/><Relationship Id="rId46" Type="http://schemas.openxmlformats.org/officeDocument/2006/relationships/hyperlink" Target="http://www.nevo.co.il/law/72507/4" TargetMode="External"/><Relationship Id="rId20" Type="http://schemas.openxmlformats.org/officeDocument/2006/relationships/hyperlink" Target="http://www.nevo.co.il/law/72507/5.a" TargetMode="External"/><Relationship Id="rId41" Type="http://schemas.openxmlformats.org/officeDocument/2006/relationships/hyperlink" Target="http://www.nevo.co.il/law/72507/5"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2507/3.d"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98569/53" TargetMode="External"/><Relationship Id="rId36" Type="http://schemas.openxmlformats.org/officeDocument/2006/relationships/hyperlink" Target="http://www.nevo.co.il/law/72507/4"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3664</Words>
  <Characters>20885</Characters>
  <Application>Microsoft Office Word</Application>
  <DocSecurity>0</DocSecurity>
  <Lines>174</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24501</CharactersWithSpaces>
  <SharedDoc>false</SharedDoc>
  <HLinks>
    <vt:vector size="252" baseType="variant">
      <vt:variant>
        <vt:i4>7929952</vt:i4>
      </vt:variant>
      <vt:variant>
        <vt:i4>123</vt:i4>
      </vt:variant>
      <vt:variant>
        <vt:i4>0</vt:i4>
      </vt:variant>
      <vt:variant>
        <vt:i4>5</vt:i4>
      </vt:variant>
      <vt:variant>
        <vt:lpwstr>http://www.nevo.co.il/law/72507/5.a</vt:lpwstr>
      </vt:variant>
      <vt:variant>
        <vt:lpwstr/>
      </vt:variant>
      <vt:variant>
        <vt:i4>5701717</vt:i4>
      </vt:variant>
      <vt:variant>
        <vt:i4>120</vt:i4>
      </vt:variant>
      <vt:variant>
        <vt:i4>0</vt:i4>
      </vt:variant>
      <vt:variant>
        <vt:i4>5</vt:i4>
      </vt:variant>
      <vt:variant>
        <vt:lpwstr>http://www.nevo.co.il/law/72507/4</vt:lpwstr>
      </vt:variant>
      <vt:variant>
        <vt:lpwstr/>
      </vt:variant>
      <vt:variant>
        <vt:i4>5701634</vt:i4>
      </vt:variant>
      <vt:variant>
        <vt:i4>117</vt:i4>
      </vt:variant>
      <vt:variant>
        <vt:i4>0</vt:i4>
      </vt:variant>
      <vt:variant>
        <vt:i4>5</vt:i4>
      </vt:variant>
      <vt:variant>
        <vt:lpwstr>http://www.nevo.co.il/law/72507/3.d.4</vt:lpwstr>
      </vt:variant>
      <vt:variant>
        <vt:lpwstr/>
      </vt:variant>
      <vt:variant>
        <vt:i4>7929958</vt:i4>
      </vt:variant>
      <vt:variant>
        <vt:i4>114</vt:i4>
      </vt:variant>
      <vt:variant>
        <vt:i4>0</vt:i4>
      </vt:variant>
      <vt:variant>
        <vt:i4>5</vt:i4>
      </vt:variant>
      <vt:variant>
        <vt:lpwstr>http://www.nevo.co.il/law/72507/3.d</vt:lpwstr>
      </vt:variant>
      <vt:variant>
        <vt:lpwstr/>
      </vt:variant>
      <vt:variant>
        <vt:i4>5177438</vt:i4>
      </vt:variant>
      <vt:variant>
        <vt:i4>111</vt:i4>
      </vt:variant>
      <vt:variant>
        <vt:i4>0</vt:i4>
      </vt:variant>
      <vt:variant>
        <vt:i4>5</vt:i4>
      </vt:variant>
      <vt:variant>
        <vt:lpwstr>http://www.nevo.co.il/law/70301/348.c</vt:lpwstr>
      </vt:variant>
      <vt:variant>
        <vt:lpwstr/>
      </vt:variant>
      <vt:variant>
        <vt:i4>5701717</vt:i4>
      </vt:variant>
      <vt:variant>
        <vt:i4>108</vt:i4>
      </vt:variant>
      <vt:variant>
        <vt:i4>0</vt:i4>
      </vt:variant>
      <vt:variant>
        <vt:i4>5</vt:i4>
      </vt:variant>
      <vt:variant>
        <vt:lpwstr>http://www.nevo.co.il/law/72507/5</vt:lpwstr>
      </vt:variant>
      <vt:variant>
        <vt:lpwstr/>
      </vt:variant>
      <vt:variant>
        <vt:i4>5701717</vt:i4>
      </vt:variant>
      <vt:variant>
        <vt:i4>105</vt:i4>
      </vt:variant>
      <vt:variant>
        <vt:i4>0</vt:i4>
      </vt:variant>
      <vt:variant>
        <vt:i4>5</vt:i4>
      </vt:variant>
      <vt:variant>
        <vt:lpwstr>http://www.nevo.co.il/law/72507/5</vt:lpwstr>
      </vt:variant>
      <vt:variant>
        <vt:lpwstr/>
      </vt:variant>
      <vt:variant>
        <vt:i4>5701717</vt:i4>
      </vt:variant>
      <vt:variant>
        <vt:i4>102</vt:i4>
      </vt:variant>
      <vt:variant>
        <vt:i4>0</vt:i4>
      </vt:variant>
      <vt:variant>
        <vt:i4>5</vt:i4>
      </vt:variant>
      <vt:variant>
        <vt:lpwstr>http://www.nevo.co.il/law/72507/4</vt:lpwstr>
      </vt:variant>
      <vt:variant>
        <vt:lpwstr/>
      </vt:variant>
      <vt:variant>
        <vt:i4>5701717</vt:i4>
      </vt:variant>
      <vt:variant>
        <vt:i4>99</vt:i4>
      </vt:variant>
      <vt:variant>
        <vt:i4>0</vt:i4>
      </vt:variant>
      <vt:variant>
        <vt:i4>5</vt:i4>
      </vt:variant>
      <vt:variant>
        <vt:lpwstr>http://www.nevo.co.il/law/72507/3</vt:lpwstr>
      </vt:variant>
      <vt:variant>
        <vt:lpwstr/>
      </vt:variant>
      <vt:variant>
        <vt:i4>5701717</vt:i4>
      </vt:variant>
      <vt:variant>
        <vt:i4>96</vt:i4>
      </vt:variant>
      <vt:variant>
        <vt:i4>0</vt:i4>
      </vt:variant>
      <vt:variant>
        <vt:i4>5</vt:i4>
      </vt:variant>
      <vt:variant>
        <vt:lpwstr>http://www.nevo.co.il/law/72507/1</vt:lpwstr>
      </vt:variant>
      <vt:variant>
        <vt:lpwstr/>
      </vt:variant>
      <vt:variant>
        <vt:i4>7929952</vt:i4>
      </vt:variant>
      <vt:variant>
        <vt:i4>93</vt:i4>
      </vt:variant>
      <vt:variant>
        <vt:i4>0</vt:i4>
      </vt:variant>
      <vt:variant>
        <vt:i4>5</vt:i4>
      </vt:variant>
      <vt:variant>
        <vt:lpwstr>http://www.nevo.co.il/law/72507/5.a</vt:lpwstr>
      </vt:variant>
      <vt:variant>
        <vt:lpwstr/>
      </vt:variant>
      <vt:variant>
        <vt:i4>5701717</vt:i4>
      </vt:variant>
      <vt:variant>
        <vt:i4>90</vt:i4>
      </vt:variant>
      <vt:variant>
        <vt:i4>0</vt:i4>
      </vt:variant>
      <vt:variant>
        <vt:i4>5</vt:i4>
      </vt:variant>
      <vt:variant>
        <vt:lpwstr>http://www.nevo.co.il/law/72507/4</vt:lpwstr>
      </vt:variant>
      <vt:variant>
        <vt:lpwstr/>
      </vt:variant>
      <vt:variant>
        <vt:i4>2031631</vt:i4>
      </vt:variant>
      <vt:variant>
        <vt:i4>87</vt:i4>
      </vt:variant>
      <vt:variant>
        <vt:i4>0</vt:i4>
      </vt:variant>
      <vt:variant>
        <vt:i4>5</vt:i4>
      </vt:variant>
      <vt:variant>
        <vt:lpwstr>http://www.nevo.co.il/law/72507/3.a.3.;3.a.4</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6357094</vt:i4>
      </vt:variant>
      <vt:variant>
        <vt:i4>81</vt:i4>
      </vt:variant>
      <vt:variant>
        <vt:i4>0</vt:i4>
      </vt:variant>
      <vt:variant>
        <vt:i4>5</vt:i4>
      </vt:variant>
      <vt:variant>
        <vt:lpwstr>http://www.nevo.co.il/law/70301/345</vt:lpwstr>
      </vt:variant>
      <vt:variant>
        <vt:lpwstr/>
      </vt:variant>
      <vt:variant>
        <vt:i4>5177438</vt:i4>
      </vt:variant>
      <vt:variant>
        <vt:i4>78</vt:i4>
      </vt:variant>
      <vt:variant>
        <vt:i4>0</vt:i4>
      </vt:variant>
      <vt:variant>
        <vt:i4>5</vt:i4>
      </vt:variant>
      <vt:variant>
        <vt:lpwstr>http://www.nevo.co.il/law/70301/348.c</vt:lpwstr>
      </vt:variant>
      <vt:variant>
        <vt:lpwstr/>
      </vt:variant>
      <vt:variant>
        <vt:i4>5177438</vt:i4>
      </vt:variant>
      <vt:variant>
        <vt:i4>75</vt:i4>
      </vt:variant>
      <vt:variant>
        <vt:i4>0</vt:i4>
      </vt:variant>
      <vt:variant>
        <vt:i4>5</vt:i4>
      </vt:variant>
      <vt:variant>
        <vt:lpwstr>http://www.nevo.co.il/law/70301/348.f</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6815840</vt:i4>
      </vt:variant>
      <vt:variant>
        <vt:i4>66</vt:i4>
      </vt:variant>
      <vt:variant>
        <vt:i4>0</vt:i4>
      </vt:variant>
      <vt:variant>
        <vt:i4>5</vt:i4>
      </vt:variant>
      <vt:variant>
        <vt:lpwstr>http://www.nevo.co.il/law/98569/53</vt:lpwstr>
      </vt:variant>
      <vt:variant>
        <vt:lpwstr/>
      </vt:variant>
      <vt:variant>
        <vt:i4>3604605</vt:i4>
      </vt:variant>
      <vt:variant>
        <vt:i4>63</vt:i4>
      </vt:variant>
      <vt:variant>
        <vt:i4>0</vt:i4>
      </vt:variant>
      <vt:variant>
        <vt:i4>5</vt:i4>
      </vt:variant>
      <vt:variant>
        <vt:lpwstr>http://www.nevo.co.il/case/18742532</vt:lpwstr>
      </vt:variant>
      <vt:variant>
        <vt:lpwstr/>
      </vt:variant>
      <vt:variant>
        <vt:i4>3145848</vt:i4>
      </vt:variant>
      <vt:variant>
        <vt:i4>60</vt:i4>
      </vt:variant>
      <vt:variant>
        <vt:i4>0</vt:i4>
      </vt:variant>
      <vt:variant>
        <vt:i4>5</vt:i4>
      </vt:variant>
      <vt:variant>
        <vt:lpwstr>http://www.nevo.co.il/case/6024185</vt:lpwstr>
      </vt:variant>
      <vt:variant>
        <vt:lpwstr/>
      </vt:variant>
      <vt:variant>
        <vt:i4>3997812</vt:i4>
      </vt:variant>
      <vt:variant>
        <vt:i4>57</vt:i4>
      </vt:variant>
      <vt:variant>
        <vt:i4>0</vt:i4>
      </vt:variant>
      <vt:variant>
        <vt:i4>5</vt:i4>
      </vt:variant>
      <vt:variant>
        <vt:lpwstr>http://www.nevo.co.il/case/17946334</vt:lpwstr>
      </vt:variant>
      <vt:variant>
        <vt:lpwstr/>
      </vt:variant>
      <vt:variant>
        <vt:i4>3211296</vt:i4>
      </vt:variant>
      <vt:variant>
        <vt:i4>54</vt:i4>
      </vt:variant>
      <vt:variant>
        <vt:i4>0</vt:i4>
      </vt:variant>
      <vt:variant>
        <vt:i4>5</vt:i4>
      </vt:variant>
      <vt:variant>
        <vt:lpwstr>http://www.nevo.co.il/law/72507/3.a.3.;3.a.4.;5;4.a</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6815840</vt:i4>
      </vt:variant>
      <vt:variant>
        <vt:i4>48</vt:i4>
      </vt:variant>
      <vt:variant>
        <vt:i4>0</vt:i4>
      </vt:variant>
      <vt:variant>
        <vt:i4>5</vt:i4>
      </vt:variant>
      <vt:variant>
        <vt:lpwstr>http://www.nevo.co.il/law/98569/53</vt:lpwstr>
      </vt:variant>
      <vt:variant>
        <vt:lpwstr/>
      </vt:variant>
      <vt:variant>
        <vt:i4>7602284</vt:i4>
      </vt:variant>
      <vt:variant>
        <vt:i4>45</vt:i4>
      </vt:variant>
      <vt:variant>
        <vt:i4>0</vt:i4>
      </vt:variant>
      <vt:variant>
        <vt:i4>5</vt:i4>
      </vt:variant>
      <vt:variant>
        <vt:lpwstr>http://www.nevo.co.il/law/98569</vt:lpwstr>
      </vt:variant>
      <vt:variant>
        <vt:lpwstr/>
      </vt:variant>
      <vt:variant>
        <vt:i4>7929952</vt:i4>
      </vt:variant>
      <vt:variant>
        <vt:i4>42</vt:i4>
      </vt:variant>
      <vt:variant>
        <vt:i4>0</vt:i4>
      </vt:variant>
      <vt:variant>
        <vt:i4>5</vt:i4>
      </vt:variant>
      <vt:variant>
        <vt:lpwstr>http://www.nevo.co.il/law/72507/5.a</vt:lpwstr>
      </vt:variant>
      <vt:variant>
        <vt:lpwstr/>
      </vt:variant>
      <vt:variant>
        <vt:i4>5701717</vt:i4>
      </vt:variant>
      <vt:variant>
        <vt:i4>39</vt:i4>
      </vt:variant>
      <vt:variant>
        <vt:i4>0</vt:i4>
      </vt:variant>
      <vt:variant>
        <vt:i4>5</vt:i4>
      </vt:variant>
      <vt:variant>
        <vt:lpwstr>http://www.nevo.co.il/law/72507/5</vt:lpwstr>
      </vt:variant>
      <vt:variant>
        <vt:lpwstr/>
      </vt:variant>
      <vt:variant>
        <vt:i4>7929953</vt:i4>
      </vt:variant>
      <vt:variant>
        <vt:i4>36</vt:i4>
      </vt:variant>
      <vt:variant>
        <vt:i4>0</vt:i4>
      </vt:variant>
      <vt:variant>
        <vt:i4>5</vt:i4>
      </vt:variant>
      <vt:variant>
        <vt:lpwstr>http://www.nevo.co.il/law/72507/4.a</vt:lpwstr>
      </vt:variant>
      <vt:variant>
        <vt:lpwstr/>
      </vt:variant>
      <vt:variant>
        <vt:i4>5701717</vt:i4>
      </vt:variant>
      <vt:variant>
        <vt:i4>33</vt:i4>
      </vt:variant>
      <vt:variant>
        <vt:i4>0</vt:i4>
      </vt:variant>
      <vt:variant>
        <vt:i4>5</vt:i4>
      </vt:variant>
      <vt:variant>
        <vt:lpwstr>http://www.nevo.co.il/law/72507/4</vt:lpwstr>
      </vt:variant>
      <vt:variant>
        <vt:lpwstr/>
      </vt:variant>
      <vt:variant>
        <vt:i4>5701634</vt:i4>
      </vt:variant>
      <vt:variant>
        <vt:i4>30</vt:i4>
      </vt:variant>
      <vt:variant>
        <vt:i4>0</vt:i4>
      </vt:variant>
      <vt:variant>
        <vt:i4>5</vt:i4>
      </vt:variant>
      <vt:variant>
        <vt:lpwstr>http://www.nevo.co.il/law/72507/3.d.4</vt:lpwstr>
      </vt:variant>
      <vt:variant>
        <vt:lpwstr/>
      </vt:variant>
      <vt:variant>
        <vt:i4>7929958</vt:i4>
      </vt:variant>
      <vt:variant>
        <vt:i4>27</vt:i4>
      </vt:variant>
      <vt:variant>
        <vt:i4>0</vt:i4>
      </vt:variant>
      <vt:variant>
        <vt:i4>5</vt:i4>
      </vt:variant>
      <vt:variant>
        <vt:lpwstr>http://www.nevo.co.il/law/72507/3.d</vt:lpwstr>
      </vt:variant>
      <vt:variant>
        <vt:lpwstr/>
      </vt:variant>
      <vt:variant>
        <vt:i4>7929907</vt:i4>
      </vt:variant>
      <vt:variant>
        <vt:i4>24</vt:i4>
      </vt:variant>
      <vt:variant>
        <vt:i4>0</vt:i4>
      </vt:variant>
      <vt:variant>
        <vt:i4>5</vt:i4>
      </vt:variant>
      <vt:variant>
        <vt:lpwstr>http://www.nevo.co.il/law/72507/3.a.4.</vt:lpwstr>
      </vt:variant>
      <vt:variant>
        <vt:lpwstr/>
      </vt:variant>
      <vt:variant>
        <vt:i4>7929908</vt:i4>
      </vt:variant>
      <vt:variant>
        <vt:i4>21</vt:i4>
      </vt:variant>
      <vt:variant>
        <vt:i4>0</vt:i4>
      </vt:variant>
      <vt:variant>
        <vt:i4>5</vt:i4>
      </vt:variant>
      <vt:variant>
        <vt:lpwstr>http://www.nevo.co.il/law/72507/3.a.3.</vt:lpwstr>
      </vt:variant>
      <vt:variant>
        <vt:lpwstr/>
      </vt:variant>
      <vt:variant>
        <vt:i4>5701717</vt:i4>
      </vt:variant>
      <vt:variant>
        <vt:i4>18</vt:i4>
      </vt:variant>
      <vt:variant>
        <vt:i4>0</vt:i4>
      </vt:variant>
      <vt:variant>
        <vt:i4>5</vt:i4>
      </vt:variant>
      <vt:variant>
        <vt:lpwstr>http://www.nevo.co.il/law/72507/3</vt:lpwstr>
      </vt:variant>
      <vt:variant>
        <vt:lpwstr/>
      </vt:variant>
      <vt:variant>
        <vt:i4>5701717</vt:i4>
      </vt:variant>
      <vt:variant>
        <vt:i4>15</vt:i4>
      </vt:variant>
      <vt:variant>
        <vt:i4>0</vt:i4>
      </vt:variant>
      <vt:variant>
        <vt:i4>5</vt:i4>
      </vt:variant>
      <vt:variant>
        <vt:lpwstr>http://www.nevo.co.il/law/72507/1</vt:lpwstr>
      </vt:variant>
      <vt:variant>
        <vt:lpwstr/>
      </vt:variant>
      <vt:variant>
        <vt:i4>7864418</vt:i4>
      </vt:variant>
      <vt:variant>
        <vt:i4>12</vt:i4>
      </vt:variant>
      <vt:variant>
        <vt:i4>0</vt:i4>
      </vt:variant>
      <vt:variant>
        <vt:i4>5</vt:i4>
      </vt:variant>
      <vt:variant>
        <vt:lpwstr>http://www.nevo.co.il/law/72507</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2005-01-31T06:52:00Z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1975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רפאל פרץ</vt:lpwstr>
  </property>
  <property fmtid="{D5CDD505-2E9C-101B-9397-08002B2CF9AE}" pid="9" name="LAWYER">
    <vt:lpwstr>שרון בורובסקי;סיגל לטי</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20050131</vt:lpwstr>
  </property>
  <property fmtid="{D5CDD505-2E9C-101B-9397-08002B2CF9AE}" pid="13" name="WORDNUMPAGES">
    <vt:lpwstr>15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17946334;6024185;18742532</vt:lpwstr>
  </property>
  <property fmtid="{D5CDD505-2E9C-101B-9397-08002B2CF9AE}" pid="32" name="LAWLISTTMP1">
    <vt:lpwstr>70301/348.c:6;348.f;345</vt:lpwstr>
  </property>
  <property fmtid="{D5CDD505-2E9C-101B-9397-08002B2CF9AE}" pid="33" name="LAWLISTTMP2">
    <vt:lpwstr>72507/003.a.3:2;003.a.4:2;005:3;004.a;004:3;005.a:2;001;003;003.d;003.d.4</vt:lpwstr>
  </property>
  <property fmtid="{D5CDD505-2E9C-101B-9397-08002B2CF9AE}" pid="34" name="LAWLISTTMP3">
    <vt:lpwstr>98569/053</vt:lpwstr>
  </property>
</Properties>
</file>