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D7418" w14:textId="77777777" w:rsidR="005E3FBB" w:rsidRDefault="005E3FBB">
      <w:pPr>
        <w:jc w:val="center"/>
        <w:rPr>
          <w:rtl/>
        </w:rPr>
      </w:pPr>
      <w:bookmarkStart w:id="0"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586"/>
        <w:gridCol w:w="1134"/>
        <w:gridCol w:w="1809"/>
      </w:tblGrid>
      <w:tr w:rsidR="005E3FBB" w14:paraId="61B28CDA" w14:textId="77777777">
        <w:trPr>
          <w:trHeight w:val="195"/>
        </w:trPr>
        <w:tc>
          <w:tcPr>
            <w:tcW w:w="5586" w:type="dxa"/>
            <w:tcBorders>
              <w:top w:val="single" w:sz="4" w:space="0" w:color="auto"/>
              <w:left w:val="single" w:sz="4" w:space="0" w:color="auto"/>
              <w:bottom w:val="single" w:sz="4" w:space="0" w:color="auto"/>
              <w:right w:val="single" w:sz="4" w:space="0" w:color="auto"/>
            </w:tcBorders>
          </w:tcPr>
          <w:p w14:paraId="64CB9355" w14:textId="77777777" w:rsidR="005E3FBB" w:rsidRDefault="005E3FBB">
            <w:pPr>
              <w:pStyle w:val="Heading1"/>
              <w:rPr>
                <w:u w:val="none"/>
              </w:rPr>
            </w:pPr>
            <w:r>
              <w:rPr>
                <w:rFonts w:hint="cs"/>
                <w:u w:val="none"/>
                <w:rtl/>
              </w:rPr>
              <w:t>בית משפט השלום בכפר סבא</w:t>
            </w:r>
          </w:p>
        </w:tc>
        <w:tc>
          <w:tcPr>
            <w:tcW w:w="2943" w:type="dxa"/>
            <w:gridSpan w:val="2"/>
            <w:tcBorders>
              <w:top w:val="single" w:sz="4" w:space="0" w:color="auto"/>
              <w:left w:val="single" w:sz="4" w:space="0" w:color="auto"/>
              <w:bottom w:val="single" w:sz="4" w:space="0" w:color="auto"/>
              <w:right w:val="single" w:sz="4" w:space="0" w:color="auto"/>
            </w:tcBorders>
          </w:tcPr>
          <w:p w14:paraId="70E0232E" w14:textId="77777777" w:rsidR="005E3FBB" w:rsidRDefault="005E3FBB">
            <w:pPr>
              <w:rPr>
                <w:sz w:val="28"/>
                <w:szCs w:val="28"/>
              </w:rPr>
            </w:pPr>
            <w:r>
              <w:rPr>
                <w:rFonts w:hint="cs"/>
                <w:sz w:val="28"/>
                <w:szCs w:val="28"/>
                <w:rtl/>
              </w:rPr>
              <w:t>פ  002197/03</w:t>
            </w:r>
          </w:p>
        </w:tc>
      </w:tr>
      <w:tr w:rsidR="005E3FBB" w14:paraId="07F8F233" w14:textId="77777777">
        <w:trPr>
          <w:trHeight w:val="286"/>
        </w:trPr>
        <w:tc>
          <w:tcPr>
            <w:tcW w:w="5586" w:type="dxa"/>
            <w:tcBorders>
              <w:top w:val="single" w:sz="4" w:space="0" w:color="auto"/>
              <w:left w:val="single" w:sz="4" w:space="0" w:color="auto"/>
              <w:bottom w:val="single" w:sz="4" w:space="0" w:color="auto"/>
              <w:right w:val="single" w:sz="4" w:space="0" w:color="auto"/>
            </w:tcBorders>
          </w:tcPr>
          <w:p w14:paraId="19D26BD4" w14:textId="77777777" w:rsidR="005E3FBB" w:rsidRDefault="005E3FBB">
            <w:pPr>
              <w:rPr>
                <w:b/>
                <w:bCs/>
                <w:sz w:val="28"/>
                <w:szCs w:val="28"/>
              </w:rPr>
            </w:pPr>
          </w:p>
        </w:tc>
        <w:tc>
          <w:tcPr>
            <w:tcW w:w="2943" w:type="dxa"/>
            <w:gridSpan w:val="2"/>
            <w:tcBorders>
              <w:top w:val="single" w:sz="4" w:space="0" w:color="auto"/>
              <w:left w:val="single" w:sz="4" w:space="0" w:color="auto"/>
              <w:bottom w:val="single" w:sz="4" w:space="0" w:color="auto"/>
              <w:right w:val="single" w:sz="4" w:space="0" w:color="auto"/>
            </w:tcBorders>
          </w:tcPr>
          <w:p w14:paraId="387F5552" w14:textId="77777777" w:rsidR="005E3FBB" w:rsidRDefault="005E3FBB">
            <w:pPr>
              <w:rPr>
                <w:b/>
                <w:bCs/>
                <w:sz w:val="28"/>
                <w:szCs w:val="28"/>
              </w:rPr>
            </w:pPr>
          </w:p>
        </w:tc>
      </w:tr>
      <w:tr w:rsidR="005E3FBB" w14:paraId="7191C83C" w14:textId="77777777">
        <w:trPr>
          <w:trHeight w:val="286"/>
        </w:trPr>
        <w:tc>
          <w:tcPr>
            <w:tcW w:w="5586" w:type="dxa"/>
            <w:tcBorders>
              <w:top w:val="single" w:sz="4" w:space="0" w:color="auto"/>
              <w:left w:val="single" w:sz="4" w:space="0" w:color="auto"/>
              <w:bottom w:val="single" w:sz="4" w:space="0" w:color="auto"/>
              <w:right w:val="single" w:sz="4" w:space="0" w:color="auto"/>
            </w:tcBorders>
          </w:tcPr>
          <w:p w14:paraId="747045F9" w14:textId="77777777" w:rsidR="005E3FBB" w:rsidRDefault="005E3FBB">
            <w:pPr>
              <w:rPr>
                <w:b/>
                <w:bCs/>
                <w:sz w:val="36"/>
                <w:szCs w:val="28"/>
              </w:rPr>
            </w:pPr>
            <w:r>
              <w:rPr>
                <w:b/>
                <w:bCs/>
                <w:sz w:val="36"/>
                <w:szCs w:val="28"/>
              </w:rPr>
              <w:t xml:space="preserve">         </w:t>
            </w:r>
            <w:r>
              <w:rPr>
                <w:rFonts w:hint="cs"/>
                <w:b/>
                <w:bCs/>
                <w:sz w:val="36"/>
                <w:szCs w:val="28"/>
                <w:rtl/>
              </w:rPr>
              <w:t>בפני כב' השופטת ק. רג'יניאנו</w:t>
            </w:r>
          </w:p>
        </w:tc>
        <w:tc>
          <w:tcPr>
            <w:tcW w:w="1134" w:type="dxa"/>
            <w:tcBorders>
              <w:top w:val="single" w:sz="4" w:space="0" w:color="auto"/>
              <w:left w:val="single" w:sz="4" w:space="0" w:color="auto"/>
              <w:bottom w:val="single" w:sz="4" w:space="0" w:color="auto"/>
              <w:right w:val="single" w:sz="4" w:space="0" w:color="auto"/>
            </w:tcBorders>
          </w:tcPr>
          <w:p w14:paraId="12394B2F" w14:textId="77777777" w:rsidR="005E3FBB" w:rsidRDefault="005E3FBB">
            <w:pPr>
              <w:rPr>
                <w:b/>
                <w:bCs/>
                <w:sz w:val="28"/>
                <w:szCs w:val="28"/>
              </w:rPr>
            </w:pPr>
            <w:r>
              <w:rPr>
                <w:rFonts w:hint="cs"/>
                <w:b/>
                <w:bCs/>
                <w:sz w:val="28"/>
                <w:szCs w:val="28"/>
                <w:rtl/>
              </w:rPr>
              <w:t xml:space="preserve"> תאריך:</w:t>
            </w:r>
          </w:p>
        </w:tc>
        <w:tc>
          <w:tcPr>
            <w:tcW w:w="1809" w:type="dxa"/>
            <w:tcBorders>
              <w:top w:val="single" w:sz="4" w:space="0" w:color="auto"/>
              <w:left w:val="single" w:sz="4" w:space="0" w:color="auto"/>
              <w:bottom w:val="single" w:sz="4" w:space="0" w:color="auto"/>
              <w:right w:val="single" w:sz="4" w:space="0" w:color="auto"/>
            </w:tcBorders>
          </w:tcPr>
          <w:p w14:paraId="3B0608F1" w14:textId="77777777" w:rsidR="005E3FBB" w:rsidRDefault="005E3FBB">
            <w:pPr>
              <w:rPr>
                <w:b/>
                <w:bCs/>
                <w:sz w:val="28"/>
                <w:szCs w:val="28"/>
              </w:rPr>
            </w:pPr>
            <w:r>
              <w:rPr>
                <w:rFonts w:hint="cs"/>
                <w:b/>
                <w:bCs/>
                <w:sz w:val="28"/>
                <w:szCs w:val="28"/>
                <w:rtl/>
              </w:rPr>
              <w:t>24/11/2005</w:t>
            </w:r>
          </w:p>
        </w:tc>
      </w:tr>
    </w:tbl>
    <w:p w14:paraId="00BB98F7" w14:textId="77777777" w:rsidR="005E3FBB" w:rsidRDefault="005E3FBB">
      <w:pPr>
        <w:rPr>
          <w:rFonts w:hint="cs"/>
          <w:rtl/>
        </w:rPr>
      </w:pPr>
    </w:p>
    <w:tbl>
      <w:tblPr>
        <w:bidiVisual/>
        <w:tblW w:w="8647" w:type="dxa"/>
        <w:tblCellMar>
          <w:left w:w="107" w:type="dxa"/>
          <w:right w:w="107" w:type="dxa"/>
        </w:tblCellMar>
        <w:tblLook w:val="0000" w:firstRow="0" w:lastRow="0" w:firstColumn="0" w:lastColumn="0" w:noHBand="0" w:noVBand="0"/>
      </w:tblPr>
      <w:tblGrid>
        <w:gridCol w:w="1474"/>
        <w:gridCol w:w="4764"/>
        <w:gridCol w:w="2409"/>
      </w:tblGrid>
      <w:tr w:rsidR="005E3FBB" w14:paraId="7D028EE8" w14:textId="77777777">
        <w:tc>
          <w:tcPr>
            <w:tcW w:w="1474" w:type="dxa"/>
          </w:tcPr>
          <w:p w14:paraId="37E7F640" w14:textId="77777777" w:rsidR="005E3FBB" w:rsidRDefault="005E3FBB">
            <w:pPr>
              <w:rPr>
                <w:b/>
                <w:bCs/>
                <w:sz w:val="24"/>
                <w:szCs w:val="24"/>
              </w:rPr>
            </w:pPr>
            <w:bookmarkStart w:id="1" w:name="FirstAppellant"/>
            <w:r>
              <w:rPr>
                <w:rFonts w:hint="cs"/>
                <w:b/>
                <w:bCs/>
                <w:sz w:val="24"/>
                <w:szCs w:val="24"/>
                <w:rtl/>
              </w:rPr>
              <w:t>המאשימה:</w:t>
            </w:r>
          </w:p>
        </w:tc>
        <w:tc>
          <w:tcPr>
            <w:tcW w:w="4764" w:type="dxa"/>
          </w:tcPr>
          <w:p w14:paraId="58DEC9C5" w14:textId="77777777" w:rsidR="005E3FBB" w:rsidRDefault="005E3FBB">
            <w:pPr>
              <w:rPr>
                <w:b/>
                <w:bCs/>
                <w:sz w:val="24"/>
                <w:szCs w:val="24"/>
              </w:rPr>
            </w:pPr>
            <w:r>
              <w:rPr>
                <w:rFonts w:hint="cs"/>
                <w:b/>
                <w:bCs/>
                <w:sz w:val="24"/>
                <w:szCs w:val="24"/>
                <w:rtl/>
              </w:rPr>
              <w:t xml:space="preserve">מדינת ישראל  </w:t>
            </w:r>
          </w:p>
        </w:tc>
        <w:tc>
          <w:tcPr>
            <w:tcW w:w="2409" w:type="dxa"/>
          </w:tcPr>
          <w:p w14:paraId="75EF6BAC" w14:textId="77777777" w:rsidR="005E3FBB" w:rsidRDefault="005E3FBB"/>
        </w:tc>
      </w:tr>
      <w:bookmarkEnd w:id="1"/>
      <w:tr w:rsidR="005E3FBB" w14:paraId="689A4CF4" w14:textId="77777777">
        <w:tc>
          <w:tcPr>
            <w:tcW w:w="1474" w:type="dxa"/>
          </w:tcPr>
          <w:p w14:paraId="663149FF" w14:textId="77777777" w:rsidR="005E3FBB" w:rsidRDefault="005E3FBB">
            <w:pPr>
              <w:rPr>
                <w:b/>
                <w:bCs/>
                <w:sz w:val="24"/>
                <w:szCs w:val="24"/>
              </w:rPr>
            </w:pPr>
          </w:p>
        </w:tc>
        <w:tc>
          <w:tcPr>
            <w:tcW w:w="4764" w:type="dxa"/>
          </w:tcPr>
          <w:p w14:paraId="0BF0B540" w14:textId="77777777" w:rsidR="005E3FBB" w:rsidRDefault="005E3FBB">
            <w:pPr>
              <w:jc w:val="center"/>
            </w:pPr>
            <w:r>
              <w:rPr>
                <w:rFonts w:hint="cs"/>
                <w:rtl/>
              </w:rPr>
              <w:t>נגד</w:t>
            </w:r>
          </w:p>
          <w:p w14:paraId="2C660429" w14:textId="77777777" w:rsidR="005E3FBB" w:rsidRDefault="005E3FBB"/>
        </w:tc>
        <w:tc>
          <w:tcPr>
            <w:tcW w:w="2409" w:type="dxa"/>
          </w:tcPr>
          <w:p w14:paraId="60BA5D4D" w14:textId="77777777" w:rsidR="005E3FBB" w:rsidRDefault="005E3FBB"/>
        </w:tc>
      </w:tr>
      <w:tr w:rsidR="005E3FBB" w14:paraId="2BC394D0" w14:textId="77777777">
        <w:tc>
          <w:tcPr>
            <w:tcW w:w="1474" w:type="dxa"/>
          </w:tcPr>
          <w:p w14:paraId="028721C2" w14:textId="77777777" w:rsidR="005E3FBB" w:rsidRDefault="005E3FBB">
            <w:pPr>
              <w:rPr>
                <w:b/>
                <w:bCs/>
                <w:sz w:val="24"/>
                <w:szCs w:val="24"/>
              </w:rPr>
            </w:pPr>
            <w:r>
              <w:rPr>
                <w:rFonts w:hint="cs"/>
                <w:b/>
                <w:bCs/>
                <w:sz w:val="24"/>
                <w:szCs w:val="24"/>
                <w:rtl/>
              </w:rPr>
              <w:t>הנאשם:</w:t>
            </w:r>
          </w:p>
        </w:tc>
        <w:tc>
          <w:tcPr>
            <w:tcW w:w="4764" w:type="dxa"/>
          </w:tcPr>
          <w:p w14:paraId="1526BF49" w14:textId="77777777" w:rsidR="005E3FBB" w:rsidRDefault="005E3FBB">
            <w:pPr>
              <w:rPr>
                <w:sz w:val="24"/>
                <w:szCs w:val="24"/>
              </w:rPr>
            </w:pPr>
            <w:r>
              <w:rPr>
                <w:rFonts w:hint="cs"/>
                <w:b/>
                <w:bCs/>
                <w:sz w:val="24"/>
                <w:szCs w:val="24"/>
                <w:rtl/>
              </w:rPr>
              <w:t>פדילה בן אחמד אשרף</w:t>
            </w:r>
            <w:bookmarkStart w:id="2" w:name="שם_ב"/>
            <w:bookmarkEnd w:id="2"/>
            <w:r>
              <w:rPr>
                <w:rFonts w:hint="cs"/>
                <w:b/>
                <w:bCs/>
                <w:sz w:val="24"/>
                <w:szCs w:val="24"/>
                <w:rtl/>
              </w:rPr>
              <w:t xml:space="preserve"> (ת.ז. </w:t>
            </w:r>
            <w:r w:rsidR="009E5205">
              <w:rPr>
                <w:b/>
                <w:bCs/>
                <w:sz w:val="24"/>
                <w:szCs w:val="24"/>
              </w:rPr>
              <w:t>xxxxxxxxx</w:t>
            </w:r>
            <w:r>
              <w:rPr>
                <w:rFonts w:hint="cs"/>
                <w:b/>
                <w:bCs/>
                <w:sz w:val="24"/>
                <w:szCs w:val="24"/>
                <w:rtl/>
              </w:rPr>
              <w:t>)</w:t>
            </w:r>
          </w:p>
        </w:tc>
        <w:tc>
          <w:tcPr>
            <w:tcW w:w="2409" w:type="dxa"/>
          </w:tcPr>
          <w:p w14:paraId="0A8502A8" w14:textId="77777777" w:rsidR="005E3FBB" w:rsidRDefault="005E3FBB"/>
        </w:tc>
      </w:tr>
    </w:tbl>
    <w:p w14:paraId="0930C8BB" w14:textId="77777777" w:rsidR="00B519C5" w:rsidRDefault="00B519C5">
      <w:pPr>
        <w:rPr>
          <w:rtl/>
        </w:rPr>
      </w:pPr>
      <w:bookmarkStart w:id="3" w:name="LawTable"/>
      <w:bookmarkEnd w:id="3"/>
    </w:p>
    <w:p w14:paraId="2F916741" w14:textId="77777777" w:rsidR="00B519C5" w:rsidRPr="00B519C5" w:rsidRDefault="00B519C5" w:rsidP="00B519C5">
      <w:pPr>
        <w:spacing w:after="120" w:line="240" w:lineRule="exact"/>
        <w:ind w:left="283" w:hanging="283"/>
        <w:jc w:val="both"/>
        <w:rPr>
          <w:rFonts w:ascii="FrankRuehl" w:hAnsi="FrankRuehl" w:cs="FrankRuehl"/>
          <w:sz w:val="24"/>
          <w:szCs w:val="24"/>
          <w:rtl/>
        </w:rPr>
      </w:pPr>
    </w:p>
    <w:p w14:paraId="783300BA" w14:textId="77777777" w:rsidR="00B519C5" w:rsidRPr="00B519C5" w:rsidRDefault="00B519C5" w:rsidP="00B519C5">
      <w:pPr>
        <w:spacing w:after="120" w:line="240" w:lineRule="exact"/>
        <w:ind w:left="283" w:hanging="283"/>
        <w:jc w:val="both"/>
        <w:rPr>
          <w:rFonts w:ascii="FrankRuehl" w:hAnsi="FrankRuehl" w:cs="FrankRuehl"/>
          <w:sz w:val="24"/>
          <w:szCs w:val="24"/>
          <w:rtl/>
        </w:rPr>
      </w:pPr>
      <w:r w:rsidRPr="00B519C5">
        <w:rPr>
          <w:rFonts w:ascii="FrankRuehl" w:hAnsi="FrankRuehl" w:cs="FrankRuehl"/>
          <w:sz w:val="24"/>
          <w:szCs w:val="24"/>
          <w:rtl/>
        </w:rPr>
        <w:t xml:space="preserve">חקיקה שאוזכרה: </w:t>
      </w:r>
    </w:p>
    <w:p w14:paraId="57AFD0C9" w14:textId="77777777" w:rsidR="00B519C5" w:rsidRPr="00B519C5" w:rsidRDefault="00B519C5" w:rsidP="00B519C5">
      <w:pPr>
        <w:spacing w:after="120" w:line="240" w:lineRule="exact"/>
        <w:ind w:left="283" w:hanging="283"/>
        <w:jc w:val="both"/>
        <w:rPr>
          <w:rFonts w:ascii="FrankRuehl" w:hAnsi="FrankRuehl" w:cs="FrankRuehl"/>
          <w:color w:val="0000FF"/>
          <w:sz w:val="24"/>
          <w:szCs w:val="24"/>
          <w:u w:val="single"/>
          <w:rtl/>
        </w:rPr>
      </w:pPr>
      <w:hyperlink r:id="rId6" w:history="1">
        <w:r w:rsidRPr="00B519C5">
          <w:rPr>
            <w:rStyle w:val="Hyperlink"/>
            <w:rFonts w:ascii="FrankRuehl" w:hAnsi="FrankRuehl" w:cs="FrankRuehl"/>
            <w:sz w:val="24"/>
            <w:szCs w:val="24"/>
            <w:rtl/>
          </w:rPr>
          <w:t>חוק העונשין, תשל"ז-1977</w:t>
        </w:r>
      </w:hyperlink>
      <w:r w:rsidRPr="00B519C5">
        <w:rPr>
          <w:rFonts w:ascii="FrankRuehl" w:hAnsi="FrankRuehl" w:cs="FrankRuehl"/>
          <w:color w:val="0000FF"/>
          <w:sz w:val="24"/>
          <w:szCs w:val="24"/>
          <w:u w:val="single"/>
          <w:rtl/>
        </w:rPr>
        <w:t xml:space="preserve">: סע'  </w:t>
      </w:r>
      <w:hyperlink r:id="rId7" w:history="1">
        <w:r w:rsidRPr="00B519C5">
          <w:rPr>
            <w:rStyle w:val="Hyperlink"/>
            <w:rFonts w:ascii="FrankRuehl" w:hAnsi="FrankRuehl" w:cs="FrankRuehl"/>
            <w:sz w:val="24"/>
            <w:szCs w:val="24"/>
          </w:rPr>
          <w:t>25</w:t>
        </w:r>
      </w:hyperlink>
      <w:r w:rsidRPr="00B519C5">
        <w:rPr>
          <w:rFonts w:ascii="FrankRuehl" w:hAnsi="FrankRuehl" w:cs="FrankRuehl"/>
          <w:color w:val="0000FF"/>
          <w:sz w:val="24"/>
          <w:szCs w:val="24"/>
          <w:u w:val="single"/>
          <w:rtl/>
        </w:rPr>
        <w:t xml:space="preserve">, </w:t>
      </w:r>
      <w:hyperlink r:id="rId8" w:history="1">
        <w:r w:rsidRPr="00B519C5">
          <w:rPr>
            <w:rStyle w:val="Hyperlink"/>
            <w:rFonts w:ascii="FrankRuehl" w:hAnsi="FrankRuehl" w:cs="FrankRuehl"/>
            <w:sz w:val="24"/>
            <w:szCs w:val="24"/>
          </w:rPr>
          <w:t>349(</w:t>
        </w:r>
        <w:r w:rsidRPr="00B519C5">
          <w:rPr>
            <w:rStyle w:val="Hyperlink"/>
            <w:rFonts w:ascii="FrankRuehl" w:hAnsi="FrankRuehl" w:cs="FrankRuehl"/>
            <w:sz w:val="24"/>
            <w:szCs w:val="24"/>
            <w:rtl/>
          </w:rPr>
          <w:t>א</w:t>
        </w:r>
        <w:r w:rsidRPr="00B519C5">
          <w:rPr>
            <w:rStyle w:val="Hyperlink"/>
            <w:rFonts w:ascii="FrankRuehl" w:hAnsi="FrankRuehl" w:cs="FrankRuehl"/>
            <w:sz w:val="24"/>
            <w:szCs w:val="24"/>
          </w:rPr>
          <w:t>)</w:t>
        </w:r>
      </w:hyperlink>
      <w:r w:rsidRPr="00B519C5">
        <w:rPr>
          <w:rFonts w:ascii="FrankRuehl" w:hAnsi="FrankRuehl" w:cs="FrankRuehl"/>
          <w:color w:val="0000FF"/>
          <w:sz w:val="24"/>
          <w:szCs w:val="24"/>
          <w:u w:val="single"/>
          <w:rtl/>
        </w:rPr>
        <w:t xml:space="preserve">, </w:t>
      </w:r>
      <w:hyperlink r:id="rId9" w:history="1">
        <w:r w:rsidRPr="00B519C5">
          <w:rPr>
            <w:rStyle w:val="Hyperlink"/>
            <w:rFonts w:ascii="FrankRuehl" w:hAnsi="FrankRuehl" w:cs="FrankRuehl"/>
            <w:sz w:val="24"/>
            <w:szCs w:val="24"/>
          </w:rPr>
          <w:t>379</w:t>
        </w:r>
      </w:hyperlink>
    </w:p>
    <w:p w14:paraId="0EE99A8C" w14:textId="77777777" w:rsidR="00B519C5" w:rsidRPr="00B519C5" w:rsidRDefault="00B519C5" w:rsidP="00B519C5">
      <w:pPr>
        <w:spacing w:after="120" w:line="240" w:lineRule="exact"/>
        <w:ind w:left="283" w:hanging="283"/>
        <w:jc w:val="both"/>
        <w:rPr>
          <w:rFonts w:ascii="FrankRuehl" w:hAnsi="FrankRuehl" w:cs="FrankRuehl"/>
          <w:sz w:val="24"/>
          <w:szCs w:val="24"/>
          <w:rtl/>
        </w:rPr>
      </w:pPr>
    </w:p>
    <w:p w14:paraId="32DA9313" w14:textId="77777777" w:rsidR="00B519C5" w:rsidRPr="00B519C5" w:rsidRDefault="00B519C5">
      <w:pPr>
        <w:rPr>
          <w:rtl/>
        </w:rPr>
      </w:pPr>
      <w:bookmarkStart w:id="4" w:name="LawTable_End"/>
      <w:bookmarkEnd w:id="4"/>
    </w:p>
    <w:p w14:paraId="06490BCF" w14:textId="77777777" w:rsidR="000464DA" w:rsidRPr="000464DA" w:rsidRDefault="000464DA">
      <w:pPr>
        <w:rPr>
          <w:rtl/>
        </w:rPr>
      </w:pPr>
    </w:p>
    <w:p w14:paraId="3B56B7C0" w14:textId="77777777" w:rsidR="000464DA" w:rsidRPr="000464DA" w:rsidRDefault="000464DA">
      <w:pPr>
        <w:rPr>
          <w:rtl/>
        </w:rPr>
      </w:pPr>
    </w:p>
    <w:p w14:paraId="08D41965" w14:textId="77777777" w:rsidR="000464DA" w:rsidRPr="000464DA" w:rsidRDefault="000464DA">
      <w:pPr>
        <w:rPr>
          <w:rtl/>
        </w:rPr>
      </w:pPr>
    </w:p>
    <w:p w14:paraId="4BDEE699" w14:textId="77777777" w:rsidR="009E5205" w:rsidRPr="009E5205" w:rsidRDefault="009E5205">
      <w:pPr>
        <w:rPr>
          <w:rtl/>
        </w:rPr>
      </w:pPr>
    </w:p>
    <w:p w14:paraId="41414A2F" w14:textId="77777777" w:rsidR="009E5205" w:rsidRPr="009E5205" w:rsidRDefault="009E5205">
      <w:pPr>
        <w:rPr>
          <w:rtl/>
        </w:rPr>
      </w:pPr>
    </w:p>
    <w:p w14:paraId="00C7B54F" w14:textId="77777777" w:rsidR="005E3FBB" w:rsidRPr="009E5205" w:rsidRDefault="005E3FBB">
      <w:pPr>
        <w:rPr>
          <w:rFonts w:hint="cs"/>
          <w:rtl/>
        </w:rPr>
      </w:pPr>
    </w:p>
    <w:p w14:paraId="08834F13" w14:textId="77777777" w:rsidR="005E3FBB" w:rsidRDefault="005E3FBB">
      <w:pPr>
        <w:jc w:val="center"/>
        <w:rPr>
          <w:b/>
          <w:bCs/>
          <w:sz w:val="26"/>
          <w:u w:val="single"/>
          <w:rtl/>
        </w:rPr>
      </w:pPr>
      <w:bookmarkStart w:id="5" w:name="סוג_מסמך"/>
      <w:bookmarkStart w:id="6" w:name="PsakDin"/>
      <w:bookmarkEnd w:id="0"/>
      <w:bookmarkEnd w:id="5"/>
      <w:r>
        <w:rPr>
          <w:b/>
          <w:bCs/>
          <w:sz w:val="26"/>
          <w:u w:val="single"/>
          <w:rtl/>
        </w:rPr>
        <w:t>הכרעת - דין</w:t>
      </w:r>
    </w:p>
    <w:bookmarkEnd w:id="6"/>
    <w:p w14:paraId="307D484C" w14:textId="77777777" w:rsidR="005E3FBB" w:rsidRDefault="005E3FBB">
      <w:pPr>
        <w:rPr>
          <w:rFonts w:hint="cs"/>
          <w:rtl/>
        </w:rPr>
      </w:pPr>
    </w:p>
    <w:p w14:paraId="514B5A05" w14:textId="77777777" w:rsidR="005E3FBB" w:rsidRDefault="005E3FBB">
      <w:pPr>
        <w:jc w:val="both"/>
        <w:rPr>
          <w:rFonts w:hint="cs"/>
          <w:rtl/>
        </w:rPr>
      </w:pPr>
      <w:r>
        <w:rPr>
          <w:rFonts w:hint="cs"/>
          <w:rtl/>
        </w:rPr>
        <w:t>1.</w:t>
      </w:r>
      <w:r>
        <w:rPr>
          <w:rFonts w:hint="cs"/>
          <w:rtl/>
        </w:rPr>
        <w:tab/>
        <w:t xml:space="preserve">הכרעת הדין מתייחסת לשני כתבי אישום שהדיון בהם אוחד. </w:t>
      </w:r>
    </w:p>
    <w:p w14:paraId="52C9622C" w14:textId="77777777" w:rsidR="005E3FBB" w:rsidRDefault="005E3FBB">
      <w:pPr>
        <w:pStyle w:val="Heading6"/>
        <w:jc w:val="both"/>
        <w:rPr>
          <w:rFonts w:hint="cs"/>
          <w:rtl/>
        </w:rPr>
      </w:pPr>
      <w:r>
        <w:rPr>
          <w:rFonts w:hint="cs"/>
          <w:rtl/>
        </w:rPr>
        <w:t>ת.פ 2197/04</w:t>
      </w:r>
    </w:p>
    <w:p w14:paraId="12C806CE" w14:textId="77777777" w:rsidR="005E3FBB" w:rsidRDefault="005E3FBB">
      <w:pPr>
        <w:pStyle w:val="BodyTextIndent"/>
        <w:jc w:val="both"/>
        <w:rPr>
          <w:rFonts w:hint="cs"/>
          <w:rtl/>
        </w:rPr>
      </w:pPr>
      <w:r>
        <w:rPr>
          <w:rFonts w:hint="cs"/>
          <w:rtl/>
        </w:rPr>
        <w:t>נטען כי ב 19/09/02, בשעה 16:00 לערך, לייד רשת בפרדס הגובל ברחוב השחר בהוד השרון, פתח הנאשם את מכנסיו, הוציא את איבר מינו ובמשך כ 40-15 דקות, אונן למראה הנשים העוברות במקום וזאת לשם סיפוק גירוי או ביזוי מיניים.</w:t>
      </w:r>
    </w:p>
    <w:p w14:paraId="1EB9D7FE" w14:textId="77777777" w:rsidR="005E3FBB" w:rsidRDefault="005E3FBB">
      <w:pPr>
        <w:ind w:left="720"/>
        <w:jc w:val="both"/>
        <w:rPr>
          <w:rFonts w:hint="cs"/>
          <w:sz w:val="26"/>
          <w:rtl/>
        </w:rPr>
      </w:pPr>
      <w:r>
        <w:rPr>
          <w:rFonts w:hint="cs"/>
          <w:sz w:val="26"/>
          <w:rtl/>
        </w:rPr>
        <w:t xml:space="preserve">בגין כך, הוא עומד לדין בעבירה של מעשה מגונה בפומבי – עבירה לפי </w:t>
      </w:r>
      <w:hyperlink r:id="rId10" w:history="1">
        <w:r w:rsidR="000464DA" w:rsidRPr="000464DA">
          <w:rPr>
            <w:rStyle w:val="Hyperlink"/>
            <w:rFonts w:hint="eastAsia"/>
            <w:sz w:val="26"/>
            <w:rtl/>
          </w:rPr>
          <w:t>סעיף</w:t>
        </w:r>
        <w:r w:rsidR="000464DA" w:rsidRPr="000464DA">
          <w:rPr>
            <w:rStyle w:val="Hyperlink"/>
            <w:sz w:val="26"/>
            <w:rtl/>
          </w:rPr>
          <w:t xml:space="preserve"> 349(א)</w:t>
        </w:r>
      </w:hyperlink>
      <w:r>
        <w:rPr>
          <w:rFonts w:hint="cs"/>
          <w:sz w:val="26"/>
          <w:rtl/>
        </w:rPr>
        <w:t xml:space="preserve"> ל</w:t>
      </w:r>
      <w:r w:rsidR="009E5205" w:rsidRPr="000464DA">
        <w:rPr>
          <w:rFonts w:hint="eastAsia"/>
          <w:sz w:val="26"/>
          <w:rtl/>
        </w:rPr>
        <w:t>חוק</w:t>
      </w:r>
      <w:r w:rsidR="009E5205" w:rsidRPr="000464DA">
        <w:rPr>
          <w:sz w:val="26"/>
          <w:rtl/>
        </w:rPr>
        <w:t xml:space="preserve"> העונשין</w:t>
      </w:r>
      <w:r>
        <w:rPr>
          <w:rFonts w:hint="cs"/>
          <w:sz w:val="26"/>
          <w:rtl/>
        </w:rPr>
        <w:t>-תשל"ז 1977.</w:t>
      </w:r>
    </w:p>
    <w:p w14:paraId="5A9FE5DE" w14:textId="77777777" w:rsidR="005E3FBB" w:rsidRDefault="000464DA">
      <w:pPr>
        <w:pStyle w:val="Heading7"/>
        <w:jc w:val="both"/>
        <w:rPr>
          <w:rFonts w:hint="cs"/>
          <w:rtl/>
        </w:rPr>
      </w:pPr>
      <w:r w:rsidRPr="000464DA">
        <w:rPr>
          <w:rFonts w:hint="eastAsia"/>
          <w:u w:val="none"/>
          <w:rtl/>
        </w:rPr>
        <w:lastRenderedPageBreak/>
        <w:t>ת</w:t>
      </w:r>
      <w:r w:rsidRPr="000464DA">
        <w:rPr>
          <w:u w:val="none"/>
          <w:rtl/>
        </w:rPr>
        <w:t xml:space="preserve">.פ. </w:t>
      </w:r>
      <w:r w:rsidRPr="000464DA">
        <w:rPr>
          <w:u w:val="none"/>
          <w:rtl/>
        </w:rPr>
        <w:t>2</w:t>
      </w:r>
      <w:r w:rsidRPr="000464DA">
        <w:rPr>
          <w:u w:val="none"/>
          <w:rtl/>
        </w:rPr>
        <w:t>243/04</w:t>
      </w:r>
    </w:p>
    <w:p w14:paraId="43425123" w14:textId="77777777" w:rsidR="005E3FBB" w:rsidRDefault="005E3FBB">
      <w:pPr>
        <w:pStyle w:val="BodyTextIndent"/>
        <w:jc w:val="both"/>
        <w:rPr>
          <w:rFonts w:hint="cs"/>
          <w:rtl/>
        </w:rPr>
      </w:pPr>
      <w:r>
        <w:rPr>
          <w:rFonts w:hint="cs"/>
          <w:rtl/>
        </w:rPr>
        <w:t>נטען כי ב-08/09/04, בשעה 07:45, ברחוב ז'בוטינסקי בכפר סבא, ישב הנאשם על ספסל, פתח את רוכסן מכנסיו, הוציא את איבר מינו, אחז בו ואונן למראה הנשים העוברות במקום וזאת לשם סיפוק, גירוי או ביזוי מיניים.</w:t>
      </w:r>
    </w:p>
    <w:p w14:paraId="622F7D3C" w14:textId="77777777" w:rsidR="005E3FBB" w:rsidRDefault="005E3FBB">
      <w:pPr>
        <w:pStyle w:val="BodyTextIndent"/>
        <w:jc w:val="both"/>
        <w:rPr>
          <w:rFonts w:hint="cs"/>
          <w:rtl/>
        </w:rPr>
      </w:pPr>
      <w:r>
        <w:rPr>
          <w:rFonts w:hint="cs"/>
          <w:rtl/>
        </w:rPr>
        <w:t>בהמשך נטען, כי רוני סקה (בעלה של המתלוננת), הגיע למקום, וכשפנה לנאשם לברר פשר מעשיו, קפץ לעברו הנאשם וניסה להכותו.</w:t>
      </w:r>
    </w:p>
    <w:p w14:paraId="52E4589D" w14:textId="77777777" w:rsidR="005E3FBB" w:rsidRDefault="005E3FBB">
      <w:pPr>
        <w:pStyle w:val="BodyTextIndent"/>
        <w:jc w:val="both"/>
        <w:rPr>
          <w:rFonts w:hint="cs"/>
          <w:rtl/>
        </w:rPr>
      </w:pPr>
      <w:r>
        <w:rPr>
          <w:rFonts w:hint="cs"/>
          <w:rtl/>
        </w:rPr>
        <w:t>בגין כך, עומד הנאשם לדין בעבירות של מעשה מגונה בפומבי ונסיון לתקיפה-עבירות לפי ה</w:t>
      </w:r>
      <w:hyperlink r:id="rId11" w:history="1">
        <w:r w:rsidR="000464DA" w:rsidRPr="000464DA">
          <w:rPr>
            <w:rStyle w:val="Hyperlink"/>
            <w:rFonts w:hint="eastAsia"/>
            <w:rtl/>
          </w:rPr>
          <w:t>סעיפים</w:t>
        </w:r>
        <w:r w:rsidR="000464DA" w:rsidRPr="000464DA">
          <w:rPr>
            <w:rStyle w:val="Hyperlink"/>
            <w:rtl/>
          </w:rPr>
          <w:t xml:space="preserve"> 349(א)</w:t>
        </w:r>
      </w:hyperlink>
      <w:r>
        <w:rPr>
          <w:rFonts w:hint="cs"/>
          <w:rtl/>
        </w:rPr>
        <w:t xml:space="preserve"> ו </w:t>
      </w:r>
      <w:hyperlink r:id="rId12" w:history="1">
        <w:r w:rsidR="000464DA" w:rsidRPr="000464DA">
          <w:rPr>
            <w:rStyle w:val="Hyperlink"/>
            <w:rFonts w:hint="eastAsia"/>
            <w:rtl/>
          </w:rPr>
          <w:t>סעיפים</w:t>
        </w:r>
        <w:r w:rsidR="000464DA" w:rsidRPr="000464DA">
          <w:rPr>
            <w:rStyle w:val="Hyperlink"/>
            <w:rtl/>
          </w:rPr>
          <w:t xml:space="preserve"> 379+25</w:t>
        </w:r>
      </w:hyperlink>
      <w:r>
        <w:rPr>
          <w:rFonts w:hint="cs"/>
          <w:rtl/>
        </w:rPr>
        <w:t xml:space="preserve"> ל</w:t>
      </w:r>
      <w:r w:rsidR="009E5205" w:rsidRPr="000464DA">
        <w:rPr>
          <w:rFonts w:hint="eastAsia"/>
          <w:rtl/>
        </w:rPr>
        <w:t>חוק</w:t>
      </w:r>
      <w:r w:rsidR="009E5205" w:rsidRPr="000464DA">
        <w:rPr>
          <w:rtl/>
        </w:rPr>
        <w:t xml:space="preserve"> העונשין</w:t>
      </w:r>
      <w:r>
        <w:rPr>
          <w:rFonts w:hint="cs"/>
          <w:rtl/>
        </w:rPr>
        <w:t>-התשל"ז 1977.</w:t>
      </w:r>
    </w:p>
    <w:p w14:paraId="1D285581" w14:textId="77777777" w:rsidR="005E3FBB" w:rsidRDefault="005E3FBB">
      <w:pPr>
        <w:pStyle w:val="BodyTextIndent"/>
        <w:rPr>
          <w:rFonts w:hint="cs"/>
          <w:rtl/>
        </w:rPr>
      </w:pPr>
    </w:p>
    <w:p w14:paraId="2F6500DE" w14:textId="77777777" w:rsidR="005E3FBB" w:rsidRDefault="005E3FBB">
      <w:pPr>
        <w:pStyle w:val="BodyTextIndent"/>
        <w:ind w:left="771" w:hanging="771"/>
        <w:jc w:val="both"/>
        <w:rPr>
          <w:rFonts w:hint="cs"/>
          <w:rtl/>
        </w:rPr>
      </w:pPr>
      <w:r>
        <w:rPr>
          <w:rFonts w:hint="cs"/>
          <w:rtl/>
        </w:rPr>
        <w:t>2.</w:t>
      </w:r>
      <w:r>
        <w:rPr>
          <w:rFonts w:hint="cs"/>
          <w:rtl/>
        </w:rPr>
        <w:tab/>
        <w:t>בתשובה לכתב האישום (ב 21/11/04), הודה הנאשם כי בתאריכים הרלוונטים היה במקום, כנטען, בשני כתבי האישום וכפר בביצוע העבירות המיוחסות לו.</w:t>
      </w:r>
    </w:p>
    <w:p w14:paraId="50DF17AB" w14:textId="77777777" w:rsidR="005E3FBB" w:rsidRDefault="005E3FBB">
      <w:pPr>
        <w:pStyle w:val="BodyTextIndent"/>
        <w:ind w:left="771" w:hanging="771"/>
        <w:jc w:val="both"/>
        <w:rPr>
          <w:rFonts w:hint="cs"/>
          <w:rtl/>
        </w:rPr>
      </w:pPr>
      <w:r>
        <w:rPr>
          <w:rFonts w:hint="cs"/>
          <w:rtl/>
        </w:rPr>
        <w:tab/>
        <w:t xml:space="preserve">לאחר שמיעת הראיות, בישיבת הסיכומים ביום 07/09/05, לא התייצבו הנאשם וב"כ. </w:t>
      </w:r>
    </w:p>
    <w:p w14:paraId="199BDEDA" w14:textId="77777777" w:rsidR="005E3FBB" w:rsidRDefault="005E3FBB">
      <w:pPr>
        <w:pStyle w:val="BodyTextIndent"/>
        <w:jc w:val="both"/>
        <w:rPr>
          <w:rFonts w:hint="cs"/>
          <w:rtl/>
        </w:rPr>
      </w:pPr>
      <w:r>
        <w:rPr>
          <w:rFonts w:hint="cs"/>
          <w:rtl/>
        </w:rPr>
        <w:t>סיכומי התביעה נשמעו בהעדרם.</w:t>
      </w:r>
    </w:p>
    <w:p w14:paraId="0BC121F9" w14:textId="77777777" w:rsidR="005E3FBB" w:rsidRDefault="005E3FBB">
      <w:pPr>
        <w:pStyle w:val="BodyTextIndent"/>
        <w:jc w:val="both"/>
        <w:rPr>
          <w:rFonts w:hint="cs"/>
          <w:rtl/>
        </w:rPr>
      </w:pPr>
      <w:r>
        <w:rPr>
          <w:rFonts w:hint="cs"/>
          <w:rtl/>
        </w:rPr>
        <w:t>הסניגור לא נתן הסבר להעדרותו ולא ביקש להשמיע סיכומים במועד מאוחר יותר. מאחר וכך, אין לי אלא להניח שהסניגור וויתר על זכותו לסכם.</w:t>
      </w:r>
    </w:p>
    <w:p w14:paraId="0B40F998" w14:textId="77777777" w:rsidR="005E3FBB" w:rsidRDefault="005E3FBB">
      <w:pPr>
        <w:pStyle w:val="BodyTextIndent"/>
        <w:ind w:left="771" w:hanging="771"/>
        <w:jc w:val="both"/>
        <w:rPr>
          <w:rFonts w:hint="cs"/>
          <w:rtl/>
        </w:rPr>
      </w:pPr>
    </w:p>
    <w:p w14:paraId="56B3EF2B" w14:textId="77777777" w:rsidR="005E3FBB" w:rsidRDefault="005E3FBB">
      <w:pPr>
        <w:pStyle w:val="BodyTextIndent"/>
        <w:ind w:left="771" w:hanging="771"/>
        <w:rPr>
          <w:rFonts w:hint="cs"/>
          <w:b/>
          <w:bCs/>
          <w:u w:val="single"/>
          <w:rtl/>
        </w:rPr>
      </w:pPr>
      <w:r>
        <w:rPr>
          <w:rFonts w:hint="cs"/>
          <w:rtl/>
        </w:rPr>
        <w:t>3.</w:t>
      </w:r>
      <w:r>
        <w:rPr>
          <w:rFonts w:hint="cs"/>
          <w:rtl/>
        </w:rPr>
        <w:tab/>
      </w:r>
      <w:r>
        <w:rPr>
          <w:rFonts w:hint="cs"/>
          <w:b/>
          <w:bCs/>
          <w:u w:val="single"/>
          <w:rtl/>
        </w:rPr>
        <w:t>ת.פ. 2197/04</w:t>
      </w:r>
    </w:p>
    <w:p w14:paraId="4FEB323E" w14:textId="77777777" w:rsidR="005E3FBB" w:rsidRDefault="005E3FBB">
      <w:pPr>
        <w:pStyle w:val="BodyTextIndent"/>
        <w:ind w:left="771" w:hanging="771"/>
        <w:jc w:val="both"/>
        <w:rPr>
          <w:rFonts w:hint="cs"/>
          <w:rtl/>
        </w:rPr>
      </w:pPr>
      <w:r>
        <w:rPr>
          <w:rFonts w:hint="cs"/>
          <w:rtl/>
        </w:rPr>
        <w:tab/>
        <w:t xml:space="preserve">ראיות התביעה מבוססות על עדותו של מנחם חממי. </w:t>
      </w:r>
    </w:p>
    <w:p w14:paraId="0CF34467" w14:textId="77777777" w:rsidR="005E3FBB" w:rsidRDefault="005E3FBB">
      <w:pPr>
        <w:pStyle w:val="BodyTextIndent"/>
        <w:jc w:val="both"/>
        <w:rPr>
          <w:rFonts w:hint="cs"/>
          <w:rtl/>
        </w:rPr>
      </w:pPr>
      <w:r>
        <w:rPr>
          <w:rFonts w:hint="cs"/>
          <w:rtl/>
        </w:rPr>
        <w:t>בתאריך הרלוונטי, התגורר העד ברח' השחר בהוד השרון. הוא מתגורר בקומה שמינית. הוא השקיף ממרפסת ביתו לעבר הפרדס (המתין שבתו תחזור מבית הספר) והבחין בנאשם כשהוא בפרדס, במקום בו עוברים אנשים, בשביל המשמש לקיצורי דרך, זז מפינה לפינה. בהתחלה חשב שהוא "משתין או מחרבן" ואז ראה שהוא יושב ומאונן, כשהוא נצמד לשורת העצים הקרובה יותר לרחוב. העד העיד כי הנאשם החזיק את איבר מינו בידו, כאשר מכנסיו מופשלים והוא מחזיק אותם ביד השנייה. זה נמשך בערך כ-40 דקות.</w:t>
      </w:r>
    </w:p>
    <w:p w14:paraId="6B93C8A8" w14:textId="77777777" w:rsidR="005E3FBB" w:rsidRDefault="005E3FBB">
      <w:pPr>
        <w:pStyle w:val="BodyTextIndent"/>
        <w:jc w:val="both"/>
        <w:rPr>
          <w:rFonts w:hint="cs"/>
          <w:rtl/>
        </w:rPr>
      </w:pPr>
      <w:r>
        <w:rPr>
          <w:rFonts w:hint="cs"/>
          <w:rtl/>
        </w:rPr>
        <w:t>בהמשך הסביר שהנאשם עמד בצורה שפופה, החזיק את איבר מינו ונענע אותו.</w:t>
      </w:r>
    </w:p>
    <w:p w14:paraId="1F85B970" w14:textId="77777777" w:rsidR="005E3FBB" w:rsidRDefault="005E3FBB">
      <w:pPr>
        <w:pStyle w:val="BodyTextIndent"/>
        <w:jc w:val="both"/>
        <w:rPr>
          <w:rFonts w:hint="cs"/>
          <w:rtl/>
        </w:rPr>
      </w:pPr>
    </w:p>
    <w:p w14:paraId="6827C072" w14:textId="77777777" w:rsidR="005E3FBB" w:rsidRDefault="005E3FBB">
      <w:pPr>
        <w:pStyle w:val="BodyTextIndent"/>
        <w:jc w:val="both"/>
        <w:rPr>
          <w:rFonts w:hint="cs"/>
          <w:rtl/>
        </w:rPr>
      </w:pPr>
      <w:r>
        <w:rPr>
          <w:rFonts w:hint="cs"/>
          <w:rtl/>
        </w:rPr>
        <w:t>גרסת הנאשם</w:t>
      </w:r>
    </w:p>
    <w:p w14:paraId="580ECF8C" w14:textId="77777777" w:rsidR="005E3FBB" w:rsidRDefault="005E3FBB">
      <w:pPr>
        <w:pStyle w:val="BodyTextIndent"/>
        <w:jc w:val="both"/>
        <w:rPr>
          <w:rFonts w:hint="cs"/>
          <w:rtl/>
        </w:rPr>
      </w:pPr>
      <w:r>
        <w:rPr>
          <w:rFonts w:hint="cs"/>
          <w:rtl/>
        </w:rPr>
        <w:t xml:space="preserve">הנאשם מודה שהיה בפרדס. עבד בפנצ'ריה הסמוכה לפרדס. לדבריו, יצא מהעבודה כדי להפקיד כסף בבנק. בדרכו חזרה קנה כמה בקבוקי בירה ועשה קיצור דרך, דרך השביל בפרדס. לאחר ששתה בקבוק בירה, נשאר בפרדס. הוא ידע ששם משתינים </w:t>
      </w:r>
      <w:r>
        <w:rPr>
          <w:rFonts w:hint="cs"/>
          <w:rtl/>
        </w:rPr>
        <w:lastRenderedPageBreak/>
        <w:t>ומחרבנים ונשאר במקום כדי להשתין. הוא הסביר כי מדי פעם קם והלך להשתין בפינה וחזר (כ-3-4 פעמים).</w:t>
      </w:r>
    </w:p>
    <w:p w14:paraId="4B3D0A8C" w14:textId="77777777" w:rsidR="005E3FBB" w:rsidRDefault="005E3FBB">
      <w:pPr>
        <w:pStyle w:val="BodyTextIndent"/>
        <w:jc w:val="both"/>
        <w:rPr>
          <w:rFonts w:hint="cs"/>
          <w:rtl/>
        </w:rPr>
      </w:pPr>
    </w:p>
    <w:p w14:paraId="7FCA6AC8" w14:textId="77777777" w:rsidR="005E3FBB" w:rsidRDefault="005E3FBB">
      <w:pPr>
        <w:pStyle w:val="BodyTextIndent"/>
        <w:jc w:val="both"/>
        <w:rPr>
          <w:rFonts w:hint="cs"/>
          <w:rtl/>
        </w:rPr>
      </w:pPr>
      <w:r>
        <w:rPr>
          <w:rFonts w:hint="cs"/>
          <w:rtl/>
        </w:rPr>
        <w:t>בחקירה נגדית, חזר על עיקרי הדברים. הוא אישר כי השביל משמש מעבר להולכי רגל.</w:t>
      </w:r>
    </w:p>
    <w:p w14:paraId="136F7744" w14:textId="77777777" w:rsidR="005E3FBB" w:rsidRDefault="005E3FBB">
      <w:pPr>
        <w:pStyle w:val="BodyTextIndent"/>
        <w:jc w:val="both"/>
        <w:rPr>
          <w:rFonts w:hint="cs"/>
          <w:rtl/>
        </w:rPr>
      </w:pPr>
    </w:p>
    <w:p w14:paraId="363F21E1" w14:textId="77777777" w:rsidR="005E3FBB" w:rsidRDefault="005E3FBB">
      <w:pPr>
        <w:pStyle w:val="BodyTextIndent"/>
        <w:jc w:val="both"/>
        <w:rPr>
          <w:rFonts w:hint="cs"/>
          <w:b/>
          <w:bCs/>
          <w:u w:val="single"/>
          <w:rtl/>
        </w:rPr>
      </w:pPr>
    </w:p>
    <w:p w14:paraId="2F0374BA" w14:textId="77777777" w:rsidR="005E3FBB" w:rsidRDefault="005E3FBB">
      <w:pPr>
        <w:pStyle w:val="BodyTextIndent"/>
        <w:jc w:val="both"/>
        <w:rPr>
          <w:rFonts w:hint="cs"/>
          <w:b/>
          <w:bCs/>
          <w:u w:val="single"/>
          <w:rtl/>
        </w:rPr>
      </w:pPr>
      <w:r>
        <w:rPr>
          <w:rFonts w:hint="cs"/>
          <w:b/>
          <w:bCs/>
          <w:u w:val="single"/>
          <w:rtl/>
        </w:rPr>
        <w:t>קביעת מהימנות</w:t>
      </w:r>
    </w:p>
    <w:p w14:paraId="32A1E20E" w14:textId="77777777" w:rsidR="005E3FBB" w:rsidRDefault="005E3FBB">
      <w:pPr>
        <w:pStyle w:val="BodyTextIndent"/>
        <w:jc w:val="both"/>
        <w:rPr>
          <w:rFonts w:hint="cs"/>
          <w:rtl/>
        </w:rPr>
      </w:pPr>
      <w:r>
        <w:rPr>
          <w:rFonts w:hint="cs"/>
          <w:rtl/>
        </w:rPr>
        <w:t>בפני עדות יחידה של עד התביעה ומנגד גרסת הנאשם.</w:t>
      </w:r>
    </w:p>
    <w:p w14:paraId="076A0ECD" w14:textId="77777777" w:rsidR="005E3FBB" w:rsidRDefault="005E3FBB">
      <w:pPr>
        <w:pStyle w:val="BodyTextIndent"/>
        <w:jc w:val="both"/>
        <w:rPr>
          <w:rFonts w:hint="cs"/>
          <w:rtl/>
        </w:rPr>
      </w:pPr>
      <w:r>
        <w:rPr>
          <w:rFonts w:hint="cs"/>
          <w:rtl/>
        </w:rPr>
        <w:t>גירסתו של עד התביעה הייתה ברורה ולא הותירה אצלי ספק כי העד תיאר את הדברים כהוויתם. לא נטען ולא מצאתי סיבה מתקבלת על הדעת מדוע יטפול עליו העד "סיפור" מעין זה.</w:t>
      </w:r>
    </w:p>
    <w:p w14:paraId="0AC68E8A" w14:textId="77777777" w:rsidR="005E3FBB" w:rsidRDefault="005E3FBB">
      <w:pPr>
        <w:pStyle w:val="BodyTextIndent"/>
        <w:jc w:val="both"/>
        <w:rPr>
          <w:rFonts w:hint="cs"/>
          <w:rtl/>
        </w:rPr>
      </w:pPr>
      <w:r>
        <w:rPr>
          <w:rFonts w:hint="cs"/>
          <w:rtl/>
        </w:rPr>
        <w:t xml:space="preserve">הנאשם קושר עצמו למקום וההסבר שנתן לגבי המצאותו במקום והתנהגותו במקום, אינם אמינים עלי. הנאשם עובד בפנצ'ריה בסמוך למקום, וגרסתו כי המקום משמש לעשיית הצרכים נשמעת מופרכת. כך גם הטענה שהוא בחר לשתות את הבירה במקום זה כדי שיוכל לעשות שם את צרכיו. </w:t>
      </w:r>
    </w:p>
    <w:p w14:paraId="7E570338" w14:textId="77777777" w:rsidR="005E3FBB" w:rsidRDefault="005E3FBB">
      <w:pPr>
        <w:pStyle w:val="BodyTextIndent"/>
        <w:jc w:val="both"/>
        <w:rPr>
          <w:rFonts w:hint="cs"/>
          <w:rtl/>
        </w:rPr>
      </w:pPr>
      <w:r>
        <w:rPr>
          <w:rFonts w:hint="cs"/>
          <w:rtl/>
        </w:rPr>
        <w:t>הקביעות הנ"ל מביאות אותי למסקנה להעדיף עדותו של עד התביעה על פני עדות הנאשם.</w:t>
      </w:r>
    </w:p>
    <w:p w14:paraId="6B23794C" w14:textId="77777777" w:rsidR="005E3FBB" w:rsidRDefault="005E3FBB">
      <w:pPr>
        <w:pStyle w:val="BodyTextIndent"/>
        <w:jc w:val="both"/>
        <w:rPr>
          <w:rFonts w:hint="cs"/>
          <w:rtl/>
        </w:rPr>
      </w:pPr>
    </w:p>
    <w:p w14:paraId="4AF13F7C" w14:textId="77777777" w:rsidR="005E3FBB" w:rsidRDefault="005E3FBB">
      <w:pPr>
        <w:pStyle w:val="BodyTextIndent"/>
        <w:ind w:left="0"/>
        <w:jc w:val="both"/>
        <w:rPr>
          <w:rFonts w:hint="cs"/>
          <w:rtl/>
        </w:rPr>
      </w:pPr>
      <w:r>
        <w:rPr>
          <w:rFonts w:hint="cs"/>
          <w:rtl/>
        </w:rPr>
        <w:t>4.</w:t>
      </w:r>
      <w:r>
        <w:rPr>
          <w:rFonts w:hint="cs"/>
          <w:rtl/>
        </w:rPr>
        <w:tab/>
      </w:r>
      <w:hyperlink r:id="rId13" w:history="1">
        <w:r w:rsidR="000464DA" w:rsidRPr="000464DA">
          <w:rPr>
            <w:rStyle w:val="Hyperlink"/>
            <w:rFonts w:hint="eastAsia"/>
            <w:rtl/>
          </w:rPr>
          <w:t>ת</w:t>
        </w:r>
        <w:r w:rsidR="000464DA" w:rsidRPr="000464DA">
          <w:rPr>
            <w:rStyle w:val="Hyperlink"/>
            <w:rtl/>
          </w:rPr>
          <w:t>.פ. 2243/04</w:t>
        </w:r>
      </w:hyperlink>
    </w:p>
    <w:p w14:paraId="241D6106" w14:textId="77777777" w:rsidR="005E3FBB" w:rsidRDefault="005E3FBB">
      <w:pPr>
        <w:pStyle w:val="BodyTextIndent"/>
        <w:jc w:val="both"/>
        <w:rPr>
          <w:rFonts w:hint="cs"/>
          <w:rtl/>
        </w:rPr>
      </w:pPr>
      <w:r>
        <w:rPr>
          <w:rFonts w:hint="cs"/>
          <w:rtl/>
        </w:rPr>
        <w:t>התביעה זימנה לעדות שני עדים.</w:t>
      </w:r>
    </w:p>
    <w:p w14:paraId="161FE904" w14:textId="77777777" w:rsidR="005E3FBB" w:rsidRDefault="005E3FBB">
      <w:pPr>
        <w:pStyle w:val="BodyTextIndent"/>
        <w:jc w:val="both"/>
        <w:rPr>
          <w:rFonts w:hint="cs"/>
          <w:rtl/>
        </w:rPr>
      </w:pPr>
      <w:r>
        <w:rPr>
          <w:rFonts w:hint="cs"/>
          <w:rtl/>
        </w:rPr>
        <w:t xml:space="preserve">עת/2 אלכסנדרה גולוב סקה היא עדת ראייה לאירוע. היא מתגוררת ברח' ז'בוטינסקי בכפר סבא. בתאריך הרלוונטי, בשעה 06:30 – 07:00 הייתה בדרכה מהמכולת לביתה. בצומת פגשה באישה שביקשה ממנה להזעיק משטרה כי במקום נמצא אדם שמאונן ליד ילדה קטנה. היא המשיכה בדרכה וראתה את הנאשם כשהוא יושב על גוש בטון כשרגליו פתוחות, איבר מינו היה בחוץ והוא מאונן. היא המשיכה לביתה וסיפרה על כך לבעלה. </w:t>
      </w:r>
    </w:p>
    <w:p w14:paraId="613AFD04" w14:textId="77777777" w:rsidR="005E3FBB" w:rsidRDefault="005E3FBB">
      <w:pPr>
        <w:pStyle w:val="BodyTextIndent"/>
        <w:jc w:val="both"/>
        <w:rPr>
          <w:rFonts w:hint="cs"/>
          <w:rtl/>
        </w:rPr>
      </w:pPr>
      <w:r>
        <w:rPr>
          <w:rFonts w:hint="cs"/>
          <w:rtl/>
        </w:rPr>
        <w:t>בחקירה נגדית חזרה והעידה כי ראתה את הנאשם כשהוא מתנועע ואיבר מינו היה בין הידיים.</w:t>
      </w:r>
    </w:p>
    <w:p w14:paraId="2F0975FE" w14:textId="77777777" w:rsidR="005E3FBB" w:rsidRDefault="005E3FBB">
      <w:pPr>
        <w:pStyle w:val="BodyTextIndent"/>
        <w:jc w:val="both"/>
        <w:rPr>
          <w:rFonts w:hint="cs"/>
          <w:rtl/>
        </w:rPr>
      </w:pPr>
    </w:p>
    <w:p w14:paraId="19006E90" w14:textId="77777777" w:rsidR="005E3FBB" w:rsidRDefault="005E3FBB">
      <w:pPr>
        <w:pStyle w:val="BodyTextIndent"/>
        <w:jc w:val="both"/>
        <w:rPr>
          <w:rFonts w:hint="cs"/>
          <w:rtl/>
        </w:rPr>
      </w:pPr>
      <w:r>
        <w:rPr>
          <w:rFonts w:hint="cs"/>
          <w:rtl/>
        </w:rPr>
        <w:t>עת/1 רוני סקה, הוא בעלה של עת/2. הוא הגיע למקום, לאחר ששמע מאשתו שמישהו מאונן במקום. הוא ראה את הנאשם יושב על בטון כאשר רוכסן מכנסיו פתוח, רגליו פשוקות, איבר מינו בחוץ וידיו על איבר המין.</w:t>
      </w:r>
    </w:p>
    <w:p w14:paraId="409E4342" w14:textId="77777777" w:rsidR="005E3FBB" w:rsidRDefault="005E3FBB">
      <w:pPr>
        <w:pStyle w:val="BodyTextIndent"/>
        <w:jc w:val="both"/>
        <w:rPr>
          <w:rFonts w:hint="cs"/>
          <w:rtl/>
        </w:rPr>
      </w:pPr>
      <w:r>
        <w:rPr>
          <w:rFonts w:hint="cs"/>
          <w:rtl/>
        </w:rPr>
        <w:lastRenderedPageBreak/>
        <w:t>הוא שאל אותו למעשיו. הנאשם הכחיש. כאשר העד השיב לו שראה אותו עושה ביד, קם הנאשם ודחף אותו. העד התחמק, דחף את הנאשם וזה נפל על הרצפה.</w:t>
      </w:r>
    </w:p>
    <w:p w14:paraId="1287169E" w14:textId="77777777" w:rsidR="005E3FBB" w:rsidRDefault="005E3FBB">
      <w:pPr>
        <w:pStyle w:val="BodyTextIndent"/>
        <w:jc w:val="both"/>
        <w:rPr>
          <w:rFonts w:hint="cs"/>
          <w:rtl/>
        </w:rPr>
      </w:pPr>
      <w:r>
        <w:rPr>
          <w:rFonts w:hint="cs"/>
          <w:rtl/>
        </w:rPr>
        <w:t>שוטר שהוזעק למקום, פגש את העד במקום. הנאשם שכב על הרצפה ופונה באמבולנס לבית החולים.</w:t>
      </w:r>
    </w:p>
    <w:p w14:paraId="637B647E" w14:textId="77777777" w:rsidR="005E3FBB" w:rsidRDefault="005E3FBB">
      <w:pPr>
        <w:pStyle w:val="BodyTextIndent"/>
        <w:jc w:val="both"/>
        <w:rPr>
          <w:rFonts w:hint="cs"/>
          <w:rtl/>
        </w:rPr>
      </w:pPr>
    </w:p>
    <w:p w14:paraId="0FCB1F5A" w14:textId="77777777" w:rsidR="005E3FBB" w:rsidRDefault="005E3FBB">
      <w:pPr>
        <w:pStyle w:val="BodyTextIndent"/>
        <w:jc w:val="both"/>
        <w:rPr>
          <w:rFonts w:hint="cs"/>
          <w:rtl/>
        </w:rPr>
      </w:pPr>
      <w:r>
        <w:rPr>
          <w:rFonts w:hint="cs"/>
          <w:rtl/>
        </w:rPr>
        <w:t>גרסת הנאשם</w:t>
      </w:r>
    </w:p>
    <w:p w14:paraId="7E7E708C" w14:textId="77777777" w:rsidR="005E3FBB" w:rsidRDefault="005E3FBB">
      <w:pPr>
        <w:pStyle w:val="BodyTextIndent"/>
        <w:jc w:val="both"/>
        <w:rPr>
          <w:rFonts w:hint="cs"/>
          <w:rtl/>
        </w:rPr>
      </w:pPr>
      <w:r>
        <w:rPr>
          <w:rFonts w:hint="cs"/>
          <w:rtl/>
        </w:rPr>
        <w:t>הנאשם מודה שהיה במקום, בדרכו הביתה. היו לו סיגריות בלי מצית והוא ישב בגן הציבורי וחכה שמשהו יעבור עם סגריה.</w:t>
      </w:r>
    </w:p>
    <w:p w14:paraId="53B0952F" w14:textId="77777777" w:rsidR="005E3FBB" w:rsidRDefault="005E3FBB">
      <w:pPr>
        <w:pStyle w:val="BodyTextIndent"/>
        <w:jc w:val="both"/>
        <w:rPr>
          <w:rFonts w:hint="cs"/>
          <w:rtl/>
        </w:rPr>
      </w:pPr>
      <w:r>
        <w:rPr>
          <w:rFonts w:hint="cs"/>
          <w:rtl/>
        </w:rPr>
        <w:t>ישב במקום כ 15-10 דקות וקם כמה פעמים להשתין בצד. משהוא רץ לכוון שלו, שאל אותו מה הוא עושה במקום. הוא הגיב, שאינו עושה דבר ובתגובה לכך האיש תקף אותו במכות חזקות בגב ובבעיטות. הוא נפל והתעלף. אמבולנס שהוזמן למקום לקח אותו לבית החולים. הוגשה תעודה רפואית נ/5.</w:t>
      </w:r>
    </w:p>
    <w:p w14:paraId="3857FC53" w14:textId="77777777" w:rsidR="005E3FBB" w:rsidRDefault="005E3FBB">
      <w:pPr>
        <w:pStyle w:val="BodyTextIndent"/>
        <w:jc w:val="both"/>
        <w:rPr>
          <w:rFonts w:hint="cs"/>
          <w:rtl/>
        </w:rPr>
      </w:pPr>
      <w:r>
        <w:rPr>
          <w:rFonts w:hint="cs"/>
          <w:rtl/>
        </w:rPr>
        <w:t>הוא מכחיש שהרוכסן היה פתוח. מאשר שכפתור אחד היה פתוח.</w:t>
      </w:r>
    </w:p>
    <w:p w14:paraId="2277C43C" w14:textId="77777777" w:rsidR="005E3FBB" w:rsidRDefault="005E3FBB">
      <w:pPr>
        <w:pStyle w:val="BodyTextIndent"/>
        <w:jc w:val="both"/>
        <w:rPr>
          <w:rFonts w:hint="cs"/>
          <w:rtl/>
        </w:rPr>
      </w:pPr>
    </w:p>
    <w:p w14:paraId="67B00198" w14:textId="77777777" w:rsidR="005E3FBB" w:rsidRDefault="005E3FBB">
      <w:pPr>
        <w:pStyle w:val="BodyTextIndent"/>
        <w:jc w:val="both"/>
        <w:rPr>
          <w:rFonts w:hint="cs"/>
          <w:b/>
          <w:bCs/>
          <w:u w:val="single"/>
          <w:rtl/>
        </w:rPr>
      </w:pPr>
      <w:r>
        <w:rPr>
          <w:rFonts w:hint="cs"/>
          <w:b/>
          <w:bCs/>
          <w:u w:val="single"/>
          <w:rtl/>
        </w:rPr>
        <w:t>קביעת מהימנות</w:t>
      </w:r>
    </w:p>
    <w:p w14:paraId="663A0F37" w14:textId="77777777" w:rsidR="005E3FBB" w:rsidRDefault="005E3FBB">
      <w:pPr>
        <w:pStyle w:val="BodyTextIndent"/>
        <w:jc w:val="both"/>
        <w:rPr>
          <w:rFonts w:hint="cs"/>
          <w:rtl/>
        </w:rPr>
      </w:pPr>
      <w:r>
        <w:rPr>
          <w:rFonts w:hint="cs"/>
          <w:rtl/>
        </w:rPr>
        <w:t>גירסת התביעה, בעבירה המינית מבוססת על עדותם של שני עדים שתיארו באופן שאינו מותיר מקום לספק כי מדובר במעשה מגונה ,כהגדרתו בחוק. עדותם של כל אחד מהעדים עומדת בפני עצמה.</w:t>
      </w:r>
    </w:p>
    <w:p w14:paraId="5C669981" w14:textId="77777777" w:rsidR="005E3FBB" w:rsidRDefault="005E3FBB">
      <w:pPr>
        <w:pStyle w:val="BodyTextIndent"/>
        <w:jc w:val="both"/>
        <w:rPr>
          <w:rFonts w:hint="cs"/>
          <w:rtl/>
        </w:rPr>
      </w:pPr>
      <w:r>
        <w:rPr>
          <w:rFonts w:hint="cs"/>
          <w:rtl/>
        </w:rPr>
        <w:t>ההסבר שנתן הנאשם שהוא קם מדי פעם כדי להשתין, הוא מופרך ואינו עולה בקנה אחד עם התאור שנתנו העדים שהמכנסיים היו פתוחים, איבר מינו בחוץ והוא מתנועע כאשר איבר מינו ביד.</w:t>
      </w:r>
    </w:p>
    <w:p w14:paraId="671BD29C" w14:textId="77777777" w:rsidR="005E3FBB" w:rsidRDefault="005E3FBB">
      <w:pPr>
        <w:pStyle w:val="BodyTextIndent"/>
        <w:jc w:val="both"/>
        <w:rPr>
          <w:rFonts w:hint="cs"/>
          <w:rtl/>
        </w:rPr>
      </w:pPr>
      <w:r>
        <w:rPr>
          <w:rFonts w:hint="cs"/>
          <w:rtl/>
        </w:rPr>
        <w:t>לא מצאתי סיבה מתקבלת על הדעת מדוע יטפלו עליו העדים, דברים כגון אלה.</w:t>
      </w:r>
    </w:p>
    <w:p w14:paraId="316BA854" w14:textId="77777777" w:rsidR="005E3FBB" w:rsidRDefault="005E3FBB">
      <w:pPr>
        <w:pStyle w:val="BodyTextIndent"/>
        <w:jc w:val="both"/>
        <w:rPr>
          <w:rFonts w:hint="cs"/>
          <w:rtl/>
        </w:rPr>
      </w:pPr>
      <w:r>
        <w:rPr>
          <w:rFonts w:hint="cs"/>
          <w:rtl/>
        </w:rPr>
        <w:t>התיאור שנתנו שני העדים זהה, כאשר הם לא נוכחים בצוותא במקום ועדותו של כל אחד מהם מתייחסת לפרק זמן שונה (בסמיכות גדולה).</w:t>
      </w:r>
    </w:p>
    <w:p w14:paraId="0A256973" w14:textId="77777777" w:rsidR="005E3FBB" w:rsidRDefault="005E3FBB">
      <w:pPr>
        <w:pStyle w:val="BodyTextIndent"/>
        <w:jc w:val="both"/>
        <w:rPr>
          <w:rFonts w:hint="cs"/>
          <w:rtl/>
        </w:rPr>
      </w:pPr>
    </w:p>
    <w:p w14:paraId="584B0677" w14:textId="77777777" w:rsidR="005E3FBB" w:rsidRDefault="005E3FBB">
      <w:pPr>
        <w:pStyle w:val="BodyTextIndent"/>
        <w:jc w:val="both"/>
        <w:rPr>
          <w:rFonts w:hint="cs"/>
          <w:rtl/>
        </w:rPr>
      </w:pPr>
    </w:p>
    <w:p w14:paraId="5143EB15" w14:textId="77777777" w:rsidR="005E3FBB" w:rsidRDefault="005E3FBB">
      <w:pPr>
        <w:pStyle w:val="BodyTextIndent"/>
        <w:jc w:val="both"/>
        <w:rPr>
          <w:rFonts w:hint="cs"/>
          <w:rtl/>
        </w:rPr>
      </w:pPr>
    </w:p>
    <w:p w14:paraId="359E5507" w14:textId="77777777" w:rsidR="005E3FBB" w:rsidRDefault="005E3FBB">
      <w:pPr>
        <w:pStyle w:val="BodyTextIndent"/>
        <w:jc w:val="both"/>
        <w:rPr>
          <w:rFonts w:hint="cs"/>
          <w:rtl/>
        </w:rPr>
      </w:pPr>
    </w:p>
    <w:p w14:paraId="1630C390" w14:textId="77777777" w:rsidR="005E3FBB" w:rsidRDefault="005E3FBB">
      <w:pPr>
        <w:pStyle w:val="BodyTextIndent"/>
        <w:jc w:val="both"/>
        <w:rPr>
          <w:rFonts w:hint="cs"/>
          <w:rtl/>
        </w:rPr>
      </w:pPr>
    </w:p>
    <w:p w14:paraId="67CB32DE" w14:textId="77777777" w:rsidR="005E3FBB" w:rsidRDefault="005E3FBB">
      <w:pPr>
        <w:pStyle w:val="BodyTextIndent"/>
        <w:jc w:val="both"/>
        <w:rPr>
          <w:rFonts w:hint="cs"/>
          <w:rtl/>
        </w:rPr>
      </w:pPr>
      <w:r>
        <w:rPr>
          <w:rFonts w:hint="cs"/>
          <w:rtl/>
        </w:rPr>
        <w:t xml:space="preserve">עבירת התקיפה. </w:t>
      </w:r>
    </w:p>
    <w:p w14:paraId="796B5A64" w14:textId="77777777" w:rsidR="005E3FBB" w:rsidRDefault="005E3FBB">
      <w:pPr>
        <w:pStyle w:val="BodyTextIndent"/>
        <w:jc w:val="both"/>
        <w:rPr>
          <w:rFonts w:hint="cs"/>
          <w:rtl/>
        </w:rPr>
      </w:pPr>
      <w:r>
        <w:rPr>
          <w:rFonts w:hint="cs"/>
          <w:rtl/>
        </w:rPr>
        <w:t>עדותו של עד התביעה אמינה עלי. הנאשם ניסה לתקוף את העד כאשר העד ניסה להבין פשר מעשיו והנאשם הבין ממנו שהוא היה עד למעשה המגונה. הכוח שהפעיל עד התביעה כלפי הנאשם בא בתגובה לנסיון התקיפה של הנאשם.</w:t>
      </w:r>
    </w:p>
    <w:p w14:paraId="2677B62D" w14:textId="77777777" w:rsidR="005E3FBB" w:rsidRDefault="005E3FBB">
      <w:pPr>
        <w:pStyle w:val="BodyTextIndent"/>
        <w:jc w:val="both"/>
        <w:rPr>
          <w:rFonts w:hint="cs"/>
          <w:rtl/>
        </w:rPr>
      </w:pPr>
    </w:p>
    <w:p w14:paraId="59949BF6" w14:textId="77777777" w:rsidR="005E3FBB" w:rsidRDefault="005E3FBB">
      <w:pPr>
        <w:pStyle w:val="BodyTextIndent"/>
        <w:ind w:hanging="629"/>
        <w:rPr>
          <w:rFonts w:hint="cs"/>
          <w:rtl/>
        </w:rPr>
      </w:pPr>
      <w:r>
        <w:rPr>
          <w:rFonts w:hint="cs"/>
          <w:rtl/>
        </w:rPr>
        <w:t>5.</w:t>
      </w:r>
      <w:r>
        <w:rPr>
          <w:rFonts w:hint="cs"/>
          <w:rtl/>
        </w:rPr>
        <w:tab/>
      </w:r>
      <w:hyperlink r:id="rId14" w:history="1">
        <w:r w:rsidR="000464DA" w:rsidRPr="000464DA">
          <w:rPr>
            <w:rStyle w:val="Hyperlink"/>
            <w:rFonts w:hint="eastAsia"/>
            <w:rtl/>
          </w:rPr>
          <w:t>סעיף</w:t>
        </w:r>
        <w:r w:rsidR="000464DA" w:rsidRPr="000464DA">
          <w:rPr>
            <w:rStyle w:val="Hyperlink"/>
            <w:rtl/>
          </w:rPr>
          <w:t xml:space="preserve"> 349 (א)</w:t>
        </w:r>
      </w:hyperlink>
      <w:r>
        <w:rPr>
          <w:rFonts w:hint="cs"/>
          <w:rtl/>
        </w:rPr>
        <w:t xml:space="preserve"> ל</w:t>
      </w:r>
      <w:r w:rsidR="009E5205" w:rsidRPr="000464DA">
        <w:rPr>
          <w:rFonts w:hint="eastAsia"/>
          <w:rtl/>
        </w:rPr>
        <w:t>חוק</w:t>
      </w:r>
      <w:r w:rsidR="009E5205" w:rsidRPr="000464DA">
        <w:rPr>
          <w:rtl/>
        </w:rPr>
        <w:t xml:space="preserve"> העונשין</w:t>
      </w:r>
      <w:r>
        <w:rPr>
          <w:rFonts w:hint="cs"/>
          <w:rtl/>
        </w:rPr>
        <w:t xml:space="preserve"> קובע:</w:t>
      </w:r>
    </w:p>
    <w:p w14:paraId="35300E60" w14:textId="77777777" w:rsidR="005E3FBB" w:rsidRDefault="005E3FBB">
      <w:pPr>
        <w:pStyle w:val="BodyTextIndent"/>
        <w:jc w:val="both"/>
        <w:rPr>
          <w:rFonts w:hint="cs"/>
          <w:rtl/>
        </w:rPr>
      </w:pPr>
      <w:r>
        <w:rPr>
          <w:rFonts w:hint="cs"/>
          <w:rtl/>
        </w:rPr>
        <w:t>"</w:t>
      </w:r>
      <w:r>
        <w:rPr>
          <w:rFonts w:hint="cs"/>
          <w:b/>
          <w:bCs/>
          <w:rtl/>
        </w:rPr>
        <w:t>העושה מעשה מגונה בפומבי, בפני אדם אחר, ללא הסכמתו...</w:t>
      </w:r>
      <w:r>
        <w:rPr>
          <w:rFonts w:hint="cs"/>
          <w:rtl/>
        </w:rPr>
        <w:t>"</w:t>
      </w:r>
    </w:p>
    <w:p w14:paraId="0FA442D5" w14:textId="77777777" w:rsidR="005E3FBB" w:rsidRDefault="005E3FBB">
      <w:pPr>
        <w:pStyle w:val="BodyTextIndent"/>
        <w:jc w:val="both"/>
        <w:rPr>
          <w:rFonts w:hint="cs"/>
          <w:rtl/>
        </w:rPr>
      </w:pPr>
    </w:p>
    <w:p w14:paraId="2BA4A392" w14:textId="77777777" w:rsidR="005E3FBB" w:rsidRDefault="005E3FBB">
      <w:pPr>
        <w:pStyle w:val="BodyTextIndent"/>
        <w:jc w:val="both"/>
        <w:rPr>
          <w:rFonts w:hint="cs"/>
          <w:rtl/>
        </w:rPr>
      </w:pPr>
      <w:r>
        <w:rPr>
          <w:rFonts w:hint="cs"/>
          <w:rtl/>
        </w:rPr>
        <w:t>סעיף 348 (1) מגדיר "מעשה מגונה" כ"</w:t>
      </w:r>
      <w:r>
        <w:rPr>
          <w:rFonts w:hint="cs"/>
          <w:b/>
          <w:bCs/>
          <w:rtl/>
        </w:rPr>
        <w:t>מעשה לשם גירוי, סיפוק או ביזוי מיניים</w:t>
      </w:r>
      <w:r>
        <w:rPr>
          <w:rFonts w:hint="cs"/>
          <w:rtl/>
        </w:rPr>
        <w:t>".</w:t>
      </w:r>
    </w:p>
    <w:p w14:paraId="6623E8BC" w14:textId="77777777" w:rsidR="005E3FBB" w:rsidRDefault="005E3FBB">
      <w:pPr>
        <w:pStyle w:val="BodyTextIndent"/>
        <w:jc w:val="both"/>
        <w:rPr>
          <w:rFonts w:hint="cs"/>
          <w:rtl/>
        </w:rPr>
      </w:pPr>
      <w:r>
        <w:rPr>
          <w:rFonts w:hint="cs"/>
          <w:rtl/>
        </w:rPr>
        <w:t>מנסוחו של הסעיף עולה שבעבירת התנהגות עסקינן ועל התביעה להוכיח כדלקמן:</w:t>
      </w:r>
    </w:p>
    <w:p w14:paraId="0AA46631" w14:textId="77777777" w:rsidR="005E3FBB" w:rsidRDefault="005E3FBB">
      <w:pPr>
        <w:pStyle w:val="BodyTextIndent"/>
        <w:ind w:left="1440" w:hanging="720"/>
        <w:jc w:val="both"/>
        <w:rPr>
          <w:rFonts w:hint="cs"/>
          <w:rtl/>
        </w:rPr>
      </w:pPr>
      <w:r>
        <w:rPr>
          <w:rFonts w:hint="cs"/>
          <w:u w:val="single"/>
          <w:rtl/>
        </w:rPr>
        <w:t>א</w:t>
      </w:r>
      <w:r>
        <w:rPr>
          <w:rFonts w:hint="cs"/>
          <w:rtl/>
        </w:rPr>
        <w:t xml:space="preserve">. </w:t>
      </w:r>
      <w:r>
        <w:rPr>
          <w:rFonts w:hint="cs"/>
          <w:rtl/>
        </w:rPr>
        <w:tab/>
        <w:t>"</w:t>
      </w:r>
      <w:r>
        <w:rPr>
          <w:rFonts w:hint="cs"/>
          <w:b/>
          <w:bCs/>
          <w:rtl/>
        </w:rPr>
        <w:t>מעשה מגונה</w:t>
      </w:r>
      <w:r>
        <w:rPr>
          <w:rFonts w:hint="cs"/>
          <w:rtl/>
        </w:rPr>
        <w:t>" – המעשה הוא בגדר עבירה רק אם בוצע לשם גירוי, סיפוק או ביזוי מצד העושה.</w:t>
      </w:r>
    </w:p>
    <w:p w14:paraId="5FF11CDF" w14:textId="77777777" w:rsidR="005E3FBB" w:rsidRDefault="005E3FBB">
      <w:pPr>
        <w:pStyle w:val="BodyTextIndent"/>
        <w:ind w:left="1440"/>
        <w:jc w:val="both"/>
        <w:rPr>
          <w:rFonts w:hint="cs"/>
          <w:rtl/>
        </w:rPr>
      </w:pPr>
      <w:r>
        <w:rPr>
          <w:rFonts w:hint="cs"/>
          <w:rtl/>
        </w:rPr>
        <w:t>ב</w:t>
      </w:r>
      <w:hyperlink r:id="rId15" w:history="1">
        <w:r w:rsidR="000464DA" w:rsidRPr="000464DA">
          <w:rPr>
            <w:rStyle w:val="Hyperlink"/>
            <w:rtl/>
          </w:rPr>
          <w:t>ע.פ</w:t>
        </w:r>
        <w:r w:rsidR="000464DA" w:rsidRPr="000464DA">
          <w:rPr>
            <w:rStyle w:val="Hyperlink"/>
            <w:rtl/>
          </w:rPr>
          <w:t>. 616/83 פליישמן נ' מדינת ישראל</w:t>
        </w:r>
      </w:hyperlink>
      <w:r w:rsidR="009E5205" w:rsidRPr="000464DA">
        <w:rPr>
          <w:rtl/>
        </w:rPr>
        <w:t>, פד"י לט</w:t>
      </w:r>
      <w:r>
        <w:rPr>
          <w:rFonts w:hint="cs"/>
          <w:rtl/>
        </w:rPr>
        <w:t xml:space="preserve"> (1) 449, פסק כב' השופט לוין לעניין היסוד העובדתי של העבירה כדלקמן:</w:t>
      </w:r>
    </w:p>
    <w:p w14:paraId="3FED8442" w14:textId="77777777" w:rsidR="005E3FBB" w:rsidRDefault="005E3FBB">
      <w:pPr>
        <w:pStyle w:val="BodyTextIndent"/>
        <w:ind w:left="1440"/>
        <w:jc w:val="both"/>
        <w:rPr>
          <w:rFonts w:hint="cs"/>
          <w:rtl/>
        </w:rPr>
      </w:pPr>
      <w:r>
        <w:rPr>
          <w:rFonts w:hint="cs"/>
          <w:rtl/>
        </w:rPr>
        <w:t>"</w:t>
      </w:r>
      <w:r>
        <w:rPr>
          <w:rFonts w:hint="cs"/>
          <w:b/>
          <w:bCs/>
          <w:rtl/>
        </w:rPr>
        <w:t>מעשה מגונה הינו מעשה, אשר יש בו על פניו אלמנט של מיניות גלויה, ואשר לפי אמות מידה אובייקטיביות של מתבונן מן הצד, של האדם הממוצע, ייחשב לא הגון, לא מוסרי, לא צנוע</w:t>
      </w:r>
      <w:r>
        <w:rPr>
          <w:rFonts w:hint="cs"/>
          <w:rtl/>
        </w:rPr>
        <w:t>."</w:t>
      </w:r>
    </w:p>
    <w:p w14:paraId="15F7AB60" w14:textId="77777777" w:rsidR="005E3FBB" w:rsidRDefault="005E3FBB">
      <w:pPr>
        <w:pStyle w:val="BodyTextIndent"/>
        <w:ind w:left="1440"/>
        <w:jc w:val="both"/>
        <w:rPr>
          <w:rFonts w:hint="cs"/>
          <w:rtl/>
        </w:rPr>
      </w:pPr>
    </w:p>
    <w:p w14:paraId="59763BB8" w14:textId="77777777" w:rsidR="005E3FBB" w:rsidRDefault="005E3FBB">
      <w:pPr>
        <w:pStyle w:val="BodyTextIndent"/>
        <w:rPr>
          <w:rFonts w:hint="cs"/>
          <w:rtl/>
        </w:rPr>
      </w:pPr>
      <w:r>
        <w:rPr>
          <w:rFonts w:hint="cs"/>
          <w:u w:val="single"/>
          <w:rtl/>
        </w:rPr>
        <w:t>ב</w:t>
      </w:r>
      <w:r>
        <w:rPr>
          <w:rFonts w:hint="cs"/>
          <w:rtl/>
        </w:rPr>
        <w:t>.</w:t>
      </w:r>
      <w:r>
        <w:rPr>
          <w:rFonts w:hint="cs"/>
          <w:rtl/>
        </w:rPr>
        <w:tab/>
        <w:t>החוק דורש שהמעשה המגונה יבוצע "</w:t>
      </w:r>
      <w:r>
        <w:rPr>
          <w:rFonts w:hint="cs"/>
          <w:b/>
          <w:bCs/>
          <w:rtl/>
        </w:rPr>
        <w:t>בפומבי</w:t>
      </w:r>
      <w:r>
        <w:rPr>
          <w:rFonts w:hint="cs"/>
          <w:rtl/>
        </w:rPr>
        <w:t>".</w:t>
      </w:r>
    </w:p>
    <w:p w14:paraId="27DDE460" w14:textId="77777777" w:rsidR="005E3FBB" w:rsidRDefault="005E3FBB">
      <w:pPr>
        <w:pStyle w:val="BodyTextIndent"/>
        <w:ind w:firstLine="720"/>
        <w:jc w:val="both"/>
        <w:rPr>
          <w:rFonts w:hint="cs"/>
          <w:rtl/>
        </w:rPr>
      </w:pPr>
      <w:r>
        <w:rPr>
          <w:rFonts w:hint="cs"/>
          <w:rtl/>
        </w:rPr>
        <w:t>סעיף 34 כד. מגדיר "</w:t>
      </w:r>
      <w:r>
        <w:rPr>
          <w:rFonts w:hint="cs"/>
          <w:b/>
          <w:bCs/>
          <w:rtl/>
        </w:rPr>
        <w:t>פומבי</w:t>
      </w:r>
      <w:r>
        <w:rPr>
          <w:rFonts w:hint="cs"/>
          <w:rtl/>
        </w:rPr>
        <w:t>"</w:t>
      </w:r>
    </w:p>
    <w:p w14:paraId="068F0B40" w14:textId="77777777" w:rsidR="005E3FBB" w:rsidRDefault="005E3FBB">
      <w:pPr>
        <w:pStyle w:val="BodyTextIndent"/>
        <w:ind w:firstLine="720"/>
        <w:jc w:val="both"/>
        <w:rPr>
          <w:rFonts w:hint="cs"/>
          <w:b/>
          <w:bCs/>
          <w:rtl/>
        </w:rPr>
      </w:pPr>
      <w:r>
        <w:rPr>
          <w:rFonts w:hint="cs"/>
          <w:rtl/>
        </w:rPr>
        <w:t>"</w:t>
      </w:r>
      <w:r>
        <w:rPr>
          <w:rFonts w:hint="cs"/>
          <w:b/>
          <w:bCs/>
          <w:rtl/>
        </w:rPr>
        <w:t>(1) מקום ציבורי כשאדם יכול לראות את המעשה מכל מקום שהוא"</w:t>
      </w:r>
    </w:p>
    <w:p w14:paraId="38AF3798" w14:textId="77777777" w:rsidR="005E3FBB" w:rsidRDefault="005E3FBB">
      <w:pPr>
        <w:pStyle w:val="BodyTextIndent"/>
        <w:ind w:left="1440"/>
        <w:jc w:val="both"/>
        <w:rPr>
          <w:rFonts w:hint="cs"/>
          <w:rtl/>
        </w:rPr>
      </w:pPr>
      <w:r>
        <w:rPr>
          <w:rFonts w:hint="cs"/>
          <w:rtl/>
        </w:rPr>
        <w:t>"</w:t>
      </w:r>
      <w:r>
        <w:rPr>
          <w:rFonts w:hint="cs"/>
          <w:b/>
          <w:bCs/>
          <w:rtl/>
        </w:rPr>
        <w:t>מקום ציבורי</w:t>
      </w:r>
      <w:r>
        <w:rPr>
          <w:rFonts w:hint="cs"/>
          <w:rtl/>
        </w:rPr>
        <w:t>" מוגדר "</w:t>
      </w:r>
      <w:r>
        <w:rPr>
          <w:rFonts w:hint="cs"/>
          <w:b/>
          <w:bCs/>
          <w:rtl/>
        </w:rPr>
        <w:t>דרך, בניין, מקום או אמצעי תעבורה שיש אותה שעה לציבור זכות או רשות לגישה אליהם, בלא תנאי או בתנאי של תשלום וכל בניין או מקום המשמש אותה שעה להתקהלות ציבורית או דתית או לבית המשפט היושב בפומבי</w:t>
      </w:r>
      <w:r>
        <w:rPr>
          <w:rFonts w:hint="cs"/>
          <w:rtl/>
        </w:rPr>
        <w:t>".</w:t>
      </w:r>
    </w:p>
    <w:p w14:paraId="34F4958A" w14:textId="77777777" w:rsidR="005E3FBB" w:rsidRDefault="005E3FBB">
      <w:pPr>
        <w:pStyle w:val="BodyTextIndent"/>
        <w:ind w:left="1440"/>
        <w:jc w:val="both"/>
        <w:rPr>
          <w:rFonts w:hint="cs"/>
          <w:rtl/>
        </w:rPr>
      </w:pPr>
    </w:p>
    <w:p w14:paraId="2619A860" w14:textId="77777777" w:rsidR="005E3FBB" w:rsidRDefault="005E3FBB">
      <w:pPr>
        <w:pStyle w:val="BodyTextIndent"/>
        <w:ind w:left="1440"/>
        <w:jc w:val="both"/>
        <w:rPr>
          <w:rFonts w:hint="cs"/>
          <w:rtl/>
        </w:rPr>
      </w:pPr>
    </w:p>
    <w:p w14:paraId="415D2B2A" w14:textId="77777777" w:rsidR="005E3FBB" w:rsidRDefault="005E3FBB">
      <w:pPr>
        <w:pStyle w:val="BodyTextIndent"/>
        <w:ind w:left="1440"/>
        <w:jc w:val="both"/>
        <w:rPr>
          <w:rFonts w:hint="cs"/>
          <w:rtl/>
        </w:rPr>
      </w:pPr>
    </w:p>
    <w:p w14:paraId="2E4DBE41" w14:textId="77777777" w:rsidR="005E3FBB" w:rsidRDefault="005E3FBB">
      <w:pPr>
        <w:pStyle w:val="BodyTextIndent"/>
        <w:jc w:val="both"/>
        <w:rPr>
          <w:rFonts w:hint="cs"/>
          <w:b/>
          <w:bCs/>
          <w:rtl/>
        </w:rPr>
      </w:pPr>
      <w:r>
        <w:rPr>
          <w:rFonts w:hint="cs"/>
          <w:u w:val="single"/>
          <w:rtl/>
        </w:rPr>
        <w:t>ג</w:t>
      </w:r>
      <w:r>
        <w:rPr>
          <w:rFonts w:hint="cs"/>
          <w:rtl/>
        </w:rPr>
        <w:t>.</w:t>
      </w:r>
      <w:r>
        <w:rPr>
          <w:rFonts w:hint="cs"/>
          <w:rtl/>
        </w:rPr>
        <w:tab/>
        <w:t>"</w:t>
      </w:r>
      <w:r>
        <w:rPr>
          <w:rFonts w:hint="cs"/>
          <w:b/>
          <w:bCs/>
          <w:rtl/>
        </w:rPr>
        <w:t>בפני אדם אחר ללא הסכמתו"</w:t>
      </w:r>
    </w:p>
    <w:p w14:paraId="77888ED7" w14:textId="77777777" w:rsidR="005E3FBB" w:rsidRDefault="005E3FBB">
      <w:pPr>
        <w:pStyle w:val="BodyTextIndent"/>
        <w:ind w:left="1440"/>
        <w:jc w:val="both"/>
        <w:rPr>
          <w:rFonts w:hint="cs"/>
          <w:rtl/>
        </w:rPr>
      </w:pPr>
      <w:r>
        <w:rPr>
          <w:rFonts w:hint="cs"/>
          <w:rtl/>
        </w:rPr>
        <w:t>חוסר ההסכמה לא חייב להתבטא בהתנגדות פיסית מצד הקורבן בצעקות ו/או בבכי. די בהוכחת שלילה מילולית של המעשים ו/או בהתנהגות פסיבית המוכיחה העדר הסכמה, והכל במכלול הנסיבות.</w:t>
      </w:r>
    </w:p>
    <w:p w14:paraId="4CDCB608" w14:textId="77777777" w:rsidR="005E3FBB" w:rsidRDefault="005E3FBB">
      <w:pPr>
        <w:pStyle w:val="BodyTextIndent"/>
        <w:ind w:left="1440"/>
        <w:jc w:val="both"/>
        <w:rPr>
          <w:rFonts w:hint="cs"/>
          <w:rtl/>
        </w:rPr>
      </w:pPr>
      <w:r>
        <w:rPr>
          <w:rFonts w:hint="cs"/>
          <w:rtl/>
        </w:rPr>
        <w:t xml:space="preserve">באשר ליסוד הנפשי, יכול שיילמד מעצם המעשה. </w:t>
      </w:r>
    </w:p>
    <w:p w14:paraId="4A402859" w14:textId="77777777" w:rsidR="005E3FBB" w:rsidRDefault="005E3FBB">
      <w:pPr>
        <w:pStyle w:val="BodyTextIndent"/>
        <w:ind w:left="1440"/>
        <w:jc w:val="both"/>
        <w:rPr>
          <w:rFonts w:hint="cs"/>
          <w:rtl/>
        </w:rPr>
      </w:pPr>
      <w:r>
        <w:rPr>
          <w:rFonts w:hint="cs"/>
          <w:rtl/>
        </w:rPr>
        <w:t>הנסיבות מלמדות כי המעשים בוצעו לשם גירוי מינוי או סיפוק מיניים (</w:t>
      </w:r>
      <w:hyperlink r:id="rId16" w:history="1">
        <w:r w:rsidR="000464DA" w:rsidRPr="000464DA">
          <w:rPr>
            <w:rStyle w:val="Hyperlink"/>
            <w:rFonts w:hint="eastAsia"/>
            <w:rtl/>
          </w:rPr>
          <w:t>ע</w:t>
        </w:r>
        <w:r w:rsidR="000464DA" w:rsidRPr="000464DA">
          <w:rPr>
            <w:rStyle w:val="Hyperlink"/>
            <w:rtl/>
          </w:rPr>
          <w:t>.פ. 6255/03 פל</w:t>
        </w:r>
        <w:r w:rsidR="000464DA" w:rsidRPr="000464DA">
          <w:rPr>
            <w:rStyle w:val="Hyperlink"/>
            <w:rtl/>
          </w:rPr>
          <w:t>וני נ' מדינת ישראל</w:t>
        </w:r>
      </w:hyperlink>
      <w:r>
        <w:rPr>
          <w:rFonts w:hint="cs"/>
          <w:rtl/>
        </w:rPr>
        <w:t>, תק' על 2004 (1) 1715 (1720).</w:t>
      </w:r>
    </w:p>
    <w:p w14:paraId="1A58B733" w14:textId="77777777" w:rsidR="005E3FBB" w:rsidRDefault="005E3FBB">
      <w:pPr>
        <w:pStyle w:val="BodyTextIndent"/>
        <w:jc w:val="both"/>
        <w:rPr>
          <w:rFonts w:hint="cs"/>
          <w:rtl/>
        </w:rPr>
      </w:pPr>
    </w:p>
    <w:p w14:paraId="5878E356" w14:textId="77777777" w:rsidR="005E3FBB" w:rsidRDefault="005E3FBB">
      <w:pPr>
        <w:pStyle w:val="BodyTextIndent"/>
        <w:jc w:val="both"/>
        <w:rPr>
          <w:rFonts w:hint="cs"/>
          <w:rtl/>
        </w:rPr>
      </w:pPr>
      <w:r>
        <w:rPr>
          <w:rFonts w:hint="cs"/>
          <w:rtl/>
        </w:rPr>
        <w:t>הוכח ששני האירועים התרחשו במקום ציבורי כהגדרתו בחוק. אין חולק שגן ציבורי הוא בבחינת מקום ציבורי והשביל בפרדס (נשוא ת.פ. 2197/04) הוא שביל המשמש מעבר להולכי רגל והוא בבחינת מקום ציבורי.</w:t>
      </w:r>
    </w:p>
    <w:p w14:paraId="30B642D8" w14:textId="77777777" w:rsidR="005E3FBB" w:rsidRDefault="005E3FBB">
      <w:pPr>
        <w:pStyle w:val="BodyTextIndent"/>
        <w:jc w:val="both"/>
        <w:rPr>
          <w:rFonts w:hint="cs"/>
          <w:u w:val="single"/>
          <w:rtl/>
        </w:rPr>
      </w:pPr>
    </w:p>
    <w:p w14:paraId="5B2F21D2" w14:textId="77777777" w:rsidR="005E3FBB" w:rsidRDefault="005E3FBB">
      <w:pPr>
        <w:pStyle w:val="BodyTextIndent"/>
        <w:jc w:val="both"/>
        <w:rPr>
          <w:rFonts w:hint="cs"/>
          <w:rtl/>
        </w:rPr>
      </w:pPr>
      <w:r>
        <w:rPr>
          <w:rFonts w:hint="cs"/>
          <w:rtl/>
        </w:rPr>
        <w:t>סיכומו של דבר, אני קובעת שהתביעה עמדה בנטל הראיה המוטל עליה ולפיכך, באתי לכלל מסקנה להרשיע את הנאשם וכך אני עושה.</w:t>
      </w:r>
    </w:p>
    <w:p w14:paraId="3A316ED3" w14:textId="77777777" w:rsidR="005E3FBB" w:rsidRDefault="005E3FBB">
      <w:pPr>
        <w:pStyle w:val="BodyTextIndent"/>
        <w:jc w:val="both"/>
        <w:rPr>
          <w:rFonts w:hint="cs"/>
          <w:color w:val="FFFFFF"/>
          <w:sz w:val="2"/>
          <w:szCs w:val="2"/>
          <w:rtl/>
        </w:rPr>
      </w:pPr>
    </w:p>
    <w:p w14:paraId="15755FF5" w14:textId="77777777" w:rsidR="005E3FBB" w:rsidRDefault="005E3FBB">
      <w:pPr>
        <w:pStyle w:val="BodyTextIndent"/>
        <w:jc w:val="both"/>
        <w:rPr>
          <w:color w:val="FFFFFF"/>
          <w:sz w:val="2"/>
          <w:szCs w:val="2"/>
          <w:rtl/>
        </w:rPr>
      </w:pPr>
      <w:r>
        <w:rPr>
          <w:color w:val="FFFFFF"/>
          <w:sz w:val="2"/>
          <w:szCs w:val="2"/>
          <w:rtl/>
        </w:rPr>
        <w:t>5129371</w:t>
      </w:r>
    </w:p>
    <w:p w14:paraId="52EF0289" w14:textId="77777777" w:rsidR="005E3FBB" w:rsidRDefault="005E3FBB">
      <w:pPr>
        <w:pStyle w:val="BodyTextIndent"/>
        <w:jc w:val="both"/>
        <w:rPr>
          <w:rFonts w:hint="cs"/>
          <w:rtl/>
        </w:rPr>
      </w:pPr>
      <w:r>
        <w:rPr>
          <w:color w:val="FFFFFF"/>
          <w:sz w:val="2"/>
          <w:szCs w:val="2"/>
          <w:rtl/>
        </w:rPr>
        <w:t>54678313</w:t>
      </w:r>
    </w:p>
    <w:p w14:paraId="36411504" w14:textId="77777777" w:rsidR="005E3FBB" w:rsidRDefault="005E3FBB">
      <w:pPr>
        <w:rPr>
          <w:rFonts w:hint="cs"/>
          <w:sz w:val="28"/>
          <w:szCs w:val="28"/>
          <w:rtl/>
        </w:rPr>
      </w:pPr>
      <w:bookmarkStart w:id="7" w:name="Decision1"/>
      <w:r>
        <w:rPr>
          <w:rFonts w:hint="cs"/>
          <w:sz w:val="28"/>
          <w:szCs w:val="28"/>
          <w:rtl/>
        </w:rPr>
        <w:t xml:space="preserve">ניתנה היום כ"ב בחשון, תשס"ו (24 בנובמבר 2005) במעמד </w:t>
      </w:r>
    </w:p>
    <w:p w14:paraId="79D00CB9" w14:textId="77777777" w:rsidR="005E3FBB" w:rsidRDefault="005E3FBB">
      <w:pPr>
        <w:rPr>
          <w:rFonts w:hint="cs"/>
          <w:rtl/>
        </w:rPr>
      </w:pPr>
    </w:p>
    <w:p w14:paraId="3D84FFFB" w14:textId="77777777" w:rsidR="005E3FBB" w:rsidRDefault="005E3FBB">
      <w:pPr>
        <w:jc w:val="right"/>
        <w:rPr>
          <w:rFonts w:hint="cs"/>
          <w:sz w:val="28"/>
          <w:szCs w:val="28"/>
          <w:rtl/>
        </w:rPr>
      </w:pPr>
      <w:r>
        <w:rPr>
          <w:rFonts w:hint="cs"/>
          <w:rtl/>
        </w:rPr>
        <w:t xml:space="preserve">                                                                                </w:t>
      </w:r>
      <w:r>
        <w:rPr>
          <w:rFonts w:hint="cs"/>
          <w:sz w:val="28"/>
          <w:szCs w:val="28"/>
          <w:rtl/>
        </w:rPr>
        <w:t>______________</w:t>
      </w:r>
    </w:p>
    <w:p w14:paraId="325D13E1" w14:textId="77777777" w:rsidR="005E3FBB" w:rsidRDefault="005E3FBB">
      <w:pPr>
        <w:keepNext/>
        <w:rPr>
          <w:rFonts w:hAnsi="David" w:hint="cs"/>
          <w:color w:val="000000"/>
          <w:sz w:val="22"/>
          <w:szCs w:val="22"/>
          <w:rtl/>
        </w:rPr>
      </w:pPr>
    </w:p>
    <w:p w14:paraId="37D07475" w14:textId="77777777" w:rsidR="005E3FBB" w:rsidRDefault="005E3FBB">
      <w:pPr>
        <w:keepNext/>
        <w:rPr>
          <w:rFonts w:hAnsi="David"/>
          <w:color w:val="000000"/>
          <w:sz w:val="22"/>
          <w:szCs w:val="22"/>
          <w:rtl/>
        </w:rPr>
      </w:pPr>
      <w:r>
        <w:rPr>
          <w:rFonts w:hAnsi="David"/>
          <w:color w:val="000000"/>
          <w:sz w:val="22"/>
          <w:szCs w:val="22"/>
          <w:rtl/>
        </w:rPr>
        <w:t>ק. רג'יניאנו 54678313-2197/03</w:t>
      </w:r>
    </w:p>
    <w:p w14:paraId="53107E8D" w14:textId="77777777" w:rsidR="005E3FBB" w:rsidRDefault="005E3FBB">
      <w:pPr>
        <w:jc w:val="right"/>
        <w:rPr>
          <w:rFonts w:hint="cs"/>
          <w:sz w:val="28"/>
          <w:szCs w:val="28"/>
          <w:rtl/>
        </w:rPr>
      </w:pPr>
      <w:r>
        <w:rPr>
          <w:rFonts w:hint="cs"/>
          <w:sz w:val="28"/>
          <w:szCs w:val="28"/>
          <w:rtl/>
        </w:rPr>
        <w:t>ק.רג'יניאנו, שופטת</w:t>
      </w:r>
    </w:p>
    <w:bookmarkEnd w:id="7"/>
    <w:p w14:paraId="3AD3BD17" w14:textId="77777777" w:rsidR="005E3FBB" w:rsidRDefault="005E3FBB">
      <w:pPr>
        <w:rPr>
          <w:rtl/>
        </w:rPr>
      </w:pPr>
      <w:r>
        <w:rPr>
          <w:color w:val="000000"/>
          <w:rtl/>
        </w:rPr>
        <w:t>נוסח מסמך זה כפוף לשינויי ניסוח ועריכה</w:t>
      </w:r>
    </w:p>
    <w:sectPr w:rsidR="005E3FBB">
      <w:headerReference w:type="even" r:id="rId17"/>
      <w:headerReference w:type="default" r:id="rId18"/>
      <w:footerReference w:type="even" r:id="rId19"/>
      <w:footerReference w:type="default" r:id="rId20"/>
      <w:headerReference w:type="first" r:id="rId21"/>
      <w:footerReference w:type="first" r:id="rId22"/>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196C7" w14:textId="77777777" w:rsidR="00ED2956" w:rsidRDefault="00ED2956">
      <w:r>
        <w:separator/>
      </w:r>
    </w:p>
  </w:endnote>
  <w:endnote w:type="continuationSeparator" w:id="0">
    <w:p w14:paraId="13A426CC" w14:textId="77777777" w:rsidR="00ED2956" w:rsidRDefault="00ED2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42CFC" w14:textId="77777777" w:rsidR="00ED2956" w:rsidRDefault="00ED295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6</w:t>
    </w:r>
    <w:r>
      <w:rPr>
        <w:rFonts w:hAnsi="FrankRuehl" w:cs="FrankRuehl"/>
        <w:sz w:val="24"/>
        <w:rtl/>
      </w:rPr>
      <w:fldChar w:fldCharType="end"/>
    </w:r>
  </w:p>
  <w:p w14:paraId="274E8D8D" w14:textId="77777777" w:rsidR="00ED2956" w:rsidRDefault="00ED295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B991113" w14:textId="77777777" w:rsidR="00ED2956" w:rsidRDefault="00ED295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T:\00000000\05-11-27\ps-all\05=2005-11-24 - 516-24-tali\s03002197-295.doc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B1280" w14:textId="77777777" w:rsidR="00ED2956" w:rsidRDefault="00ED295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D30428">
      <w:rPr>
        <w:rFonts w:hAnsi="FrankRuehl" w:cs="FrankRuehl"/>
        <w:noProof/>
        <w:sz w:val="24"/>
        <w:rtl/>
      </w:rPr>
      <w:t>1</w:t>
    </w:r>
    <w:r>
      <w:rPr>
        <w:rFonts w:hAnsi="FrankRuehl" w:cs="FrankRuehl"/>
        <w:sz w:val="24"/>
        <w:rtl/>
      </w:rPr>
      <w:fldChar w:fldCharType="end"/>
    </w:r>
  </w:p>
  <w:p w14:paraId="65D17138" w14:textId="77777777" w:rsidR="00ED2956" w:rsidRDefault="00ED295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EF15E71" w14:textId="77777777" w:rsidR="00ED2956" w:rsidRDefault="00ED295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T:\00000000\05-11-27\ps-all\05=2005-11-24 - 516-24-tali\s03002197-295.doc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08EA5" w14:textId="77777777" w:rsidR="00ED2956" w:rsidRDefault="00ED29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9FB56" w14:textId="77777777" w:rsidR="00ED2956" w:rsidRDefault="00ED2956">
      <w:r>
        <w:separator/>
      </w:r>
    </w:p>
  </w:footnote>
  <w:footnote w:type="continuationSeparator" w:id="0">
    <w:p w14:paraId="1C87E62B" w14:textId="77777777" w:rsidR="00ED2956" w:rsidRDefault="00ED29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3C44A" w14:textId="77777777" w:rsidR="00ED2956" w:rsidRDefault="00ED295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(כ"ס) 2197/03</w:t>
    </w:r>
    <w:r>
      <w:rPr>
        <w:rFonts w:hAnsi="David"/>
        <w:color w:val="000000"/>
        <w:sz w:val="22"/>
        <w:szCs w:val="22"/>
        <w:rtl/>
      </w:rPr>
      <w:tab/>
      <w:t xml:space="preserve"> מדינת ישראל נ' פדילה בן אחמד אשרף ת.ז. 033891607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9D4D9" w14:textId="77777777" w:rsidR="00ED2956" w:rsidRDefault="00ED295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(כ"ס) 2197/03</w:t>
    </w:r>
    <w:r>
      <w:rPr>
        <w:rFonts w:hAnsi="David"/>
        <w:color w:val="000000"/>
        <w:sz w:val="22"/>
        <w:szCs w:val="22"/>
        <w:rtl/>
      </w:rPr>
      <w:tab/>
      <w:t xml:space="preserve"> מדינת ישראל נ' פדילה בן אחמד אשרף ת.ז. 033891607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B95AE" w14:textId="77777777" w:rsidR="00ED2956" w:rsidRDefault="00ED29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5E3FBB"/>
    <w:rsid w:val="000464DA"/>
    <w:rsid w:val="004C5A6A"/>
    <w:rsid w:val="005E3FBB"/>
    <w:rsid w:val="00744F93"/>
    <w:rsid w:val="008A09AE"/>
    <w:rsid w:val="009E5205"/>
    <w:rsid w:val="00B519C5"/>
    <w:rsid w:val="00D30428"/>
    <w:rsid w:val="00ED2956"/>
    <w:rsid w:val="00F422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5A0ECD6"/>
  <w15:chartTrackingRefBased/>
  <w15:docId w15:val="{4B1CFAC4-9F95-4443-93C9-BC7D5D27B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pPr>
    <w:rPr>
      <w:rFonts w:cs="David"/>
      <w:szCs w:val="26"/>
    </w:rPr>
  </w:style>
  <w:style w:type="paragraph" w:styleId="Heading1">
    <w:name w:val="heading 1"/>
    <w:basedOn w:val="Normal"/>
    <w:next w:val="Normal"/>
    <w:qFormat/>
    <w:pPr>
      <w:keepNext/>
      <w:outlineLvl w:val="0"/>
    </w:pPr>
    <w:rPr>
      <w:b/>
      <w:bCs/>
      <w:sz w:val="28"/>
      <w:szCs w:val="28"/>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jc w:val="center"/>
      <w:outlineLvl w:val="2"/>
    </w:pPr>
    <w:rPr>
      <w:b/>
      <w:bCs/>
      <w:sz w:val="32"/>
      <w:szCs w:val="32"/>
      <w:u w:val="single"/>
    </w:rPr>
  </w:style>
  <w:style w:type="paragraph" w:styleId="Heading4">
    <w:name w:val="heading 4"/>
    <w:basedOn w:val="Normal"/>
    <w:next w:val="Normal"/>
    <w:qFormat/>
    <w:pPr>
      <w:keepNext/>
      <w:jc w:val="center"/>
      <w:outlineLvl w:val="3"/>
    </w:pPr>
    <w:rPr>
      <w:b/>
      <w:bCs/>
      <w:u w:val="single"/>
    </w:rPr>
  </w:style>
  <w:style w:type="paragraph" w:styleId="Heading5">
    <w:name w:val="heading 5"/>
    <w:basedOn w:val="Normal"/>
    <w:next w:val="Normal"/>
    <w:qFormat/>
    <w:pPr>
      <w:keepNext/>
      <w:ind w:left="2160" w:firstLine="720"/>
      <w:outlineLvl w:val="4"/>
    </w:pPr>
    <w:rPr>
      <w:b/>
      <w:bCs/>
      <w:sz w:val="26"/>
      <w:u w:val="single"/>
    </w:rPr>
  </w:style>
  <w:style w:type="paragraph" w:styleId="Heading6">
    <w:name w:val="heading 6"/>
    <w:basedOn w:val="Normal"/>
    <w:next w:val="Normal"/>
    <w:qFormat/>
    <w:pPr>
      <w:keepNext/>
      <w:ind w:firstLine="720"/>
      <w:outlineLvl w:val="5"/>
    </w:pPr>
    <w:rPr>
      <w:u w:val="single"/>
    </w:rPr>
  </w:style>
  <w:style w:type="paragraph" w:styleId="Heading7">
    <w:name w:val="heading 7"/>
    <w:basedOn w:val="Normal"/>
    <w:next w:val="Normal"/>
    <w:qFormat/>
    <w:pPr>
      <w:keepNext/>
      <w:ind w:left="720"/>
      <w:outlineLvl w:val="6"/>
    </w:pPr>
    <w:rPr>
      <w:sz w:val="26"/>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jc w:val="both"/>
    </w:pPr>
    <w:rPr>
      <w:szCs w:val="24"/>
    </w:rPr>
  </w:style>
  <w:style w:type="paragraph" w:styleId="Footer">
    <w:name w:val="footer"/>
    <w:basedOn w:val="Normal"/>
    <w:pPr>
      <w:tabs>
        <w:tab w:val="center" w:pos="4153"/>
        <w:tab w:val="right" w:pos="8306"/>
      </w:tabs>
      <w:snapToGrid w:val="0"/>
      <w:jc w:val="both"/>
    </w:pPr>
    <w:rPr>
      <w:sz w:val="22"/>
      <w:szCs w:val="24"/>
    </w:rPr>
  </w:style>
  <w:style w:type="paragraph" w:styleId="BodyText">
    <w:name w:val="Body Text"/>
    <w:basedOn w:val="Normal"/>
    <w:pPr>
      <w:jc w:val="both"/>
    </w:pPr>
    <w:rPr>
      <w:sz w:val="26"/>
    </w:rPr>
  </w:style>
  <w:style w:type="paragraph" w:styleId="BodyTextIndent">
    <w:name w:val="Body Text Indent"/>
    <w:basedOn w:val="Normal"/>
    <w:pPr>
      <w:ind w:left="720"/>
    </w:pPr>
    <w:rPr>
      <w:sz w:val="26"/>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9E5205"/>
    <w:rPr>
      <w:color w:val="0000FF"/>
      <w:u w:val="single"/>
    </w:rPr>
  </w:style>
  <w:style w:type="character" w:styleId="FollowedHyperlink">
    <w:name w:val="FollowedHyperlink"/>
    <w:rsid w:val="000464DA"/>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9.a" TargetMode="External"/><Relationship Id="rId13" Type="http://schemas.openxmlformats.org/officeDocument/2006/relationships/hyperlink" Target="http://www.nevo.co.il/case/2271289"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hyperlink" Target="http://www.nevo.co.il/law/70301/25" TargetMode="External"/><Relationship Id="rId12" Type="http://schemas.openxmlformats.org/officeDocument/2006/relationships/hyperlink" Target="http://www.nevo.co.il/law/70301/25;379"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case/6232497"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9.a"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17941097" TargetMode="External"/><Relationship Id="rId23" Type="http://schemas.openxmlformats.org/officeDocument/2006/relationships/fontTable" Target="fontTable.xml"/><Relationship Id="rId10" Type="http://schemas.openxmlformats.org/officeDocument/2006/relationships/hyperlink" Target="http://www.nevo.co.il/law/70301/349.a"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379" TargetMode="External"/><Relationship Id="rId14" Type="http://schemas.openxmlformats.org/officeDocument/2006/relationships/hyperlink" Target="http://www.nevo.co.il/law/70301/349.a"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1123</Words>
  <Characters>6405</Characters>
  <Application>Microsoft Office Word</Application>
  <DocSecurity>0</DocSecurity>
  <Lines>53</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7513</CharactersWithSpaces>
  <SharedDoc>false</SharedDoc>
  <HLinks>
    <vt:vector size="66" baseType="variant">
      <vt:variant>
        <vt:i4>3539069</vt:i4>
      </vt:variant>
      <vt:variant>
        <vt:i4>30</vt:i4>
      </vt:variant>
      <vt:variant>
        <vt:i4>0</vt:i4>
      </vt:variant>
      <vt:variant>
        <vt:i4>5</vt:i4>
      </vt:variant>
      <vt:variant>
        <vt:lpwstr>http://www.nevo.co.il/case/6232497</vt:lpwstr>
      </vt:variant>
      <vt:variant>
        <vt:lpwstr/>
      </vt:variant>
      <vt:variant>
        <vt:i4>3145847</vt:i4>
      </vt:variant>
      <vt:variant>
        <vt:i4>27</vt:i4>
      </vt:variant>
      <vt:variant>
        <vt:i4>0</vt:i4>
      </vt:variant>
      <vt:variant>
        <vt:i4>5</vt:i4>
      </vt:variant>
      <vt:variant>
        <vt:lpwstr>http://www.nevo.co.il/case/17941097</vt:lpwstr>
      </vt:variant>
      <vt:variant>
        <vt:lpwstr/>
      </vt:variant>
      <vt:variant>
        <vt:i4>5177439</vt:i4>
      </vt:variant>
      <vt:variant>
        <vt:i4>24</vt:i4>
      </vt:variant>
      <vt:variant>
        <vt:i4>0</vt:i4>
      </vt:variant>
      <vt:variant>
        <vt:i4>5</vt:i4>
      </vt:variant>
      <vt:variant>
        <vt:lpwstr>http://www.nevo.co.il/law/70301/349.a</vt:lpwstr>
      </vt:variant>
      <vt:variant>
        <vt:lpwstr/>
      </vt:variant>
      <vt:variant>
        <vt:i4>4063359</vt:i4>
      </vt:variant>
      <vt:variant>
        <vt:i4>21</vt:i4>
      </vt:variant>
      <vt:variant>
        <vt:i4>0</vt:i4>
      </vt:variant>
      <vt:variant>
        <vt:i4>5</vt:i4>
      </vt:variant>
      <vt:variant>
        <vt:lpwstr>http://www.nevo.co.il/case/2271289</vt:lpwstr>
      </vt:variant>
      <vt:variant>
        <vt:lpwstr/>
      </vt:variant>
      <vt:variant>
        <vt:i4>6946923</vt:i4>
      </vt:variant>
      <vt:variant>
        <vt:i4>18</vt:i4>
      </vt:variant>
      <vt:variant>
        <vt:i4>0</vt:i4>
      </vt:variant>
      <vt:variant>
        <vt:i4>5</vt:i4>
      </vt:variant>
      <vt:variant>
        <vt:lpwstr>http://www.nevo.co.il/law/70301/25;379</vt:lpwstr>
      </vt:variant>
      <vt:variant>
        <vt:lpwstr/>
      </vt:variant>
      <vt:variant>
        <vt:i4>5177439</vt:i4>
      </vt:variant>
      <vt:variant>
        <vt:i4>15</vt:i4>
      </vt:variant>
      <vt:variant>
        <vt:i4>0</vt:i4>
      </vt:variant>
      <vt:variant>
        <vt:i4>5</vt:i4>
      </vt:variant>
      <vt:variant>
        <vt:lpwstr>http://www.nevo.co.il/law/70301/349.a</vt:lpwstr>
      </vt:variant>
      <vt:variant>
        <vt:lpwstr/>
      </vt:variant>
      <vt:variant>
        <vt:i4>5177439</vt:i4>
      </vt:variant>
      <vt:variant>
        <vt:i4>12</vt:i4>
      </vt:variant>
      <vt:variant>
        <vt:i4>0</vt:i4>
      </vt:variant>
      <vt:variant>
        <vt:i4>5</vt:i4>
      </vt:variant>
      <vt:variant>
        <vt:lpwstr>http://www.nevo.co.il/law/70301/349.a</vt:lpwstr>
      </vt:variant>
      <vt:variant>
        <vt:lpwstr/>
      </vt:variant>
      <vt:variant>
        <vt:i4>6422630</vt:i4>
      </vt:variant>
      <vt:variant>
        <vt:i4>9</vt:i4>
      </vt:variant>
      <vt:variant>
        <vt:i4>0</vt:i4>
      </vt:variant>
      <vt:variant>
        <vt:i4>5</vt:i4>
      </vt:variant>
      <vt:variant>
        <vt:lpwstr>http://www.nevo.co.il/law/70301/379</vt:lpwstr>
      </vt:variant>
      <vt:variant>
        <vt:lpwstr/>
      </vt:variant>
      <vt:variant>
        <vt:i4>5177439</vt:i4>
      </vt:variant>
      <vt:variant>
        <vt:i4>6</vt:i4>
      </vt:variant>
      <vt:variant>
        <vt:i4>0</vt:i4>
      </vt:variant>
      <vt:variant>
        <vt:i4>5</vt:i4>
      </vt:variant>
      <vt:variant>
        <vt:lpwstr>http://www.nevo.co.il/law/70301/349.a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2022-05-24T10:18:00Z</dcterms:created>
  <dcterms:modified xsi:type="dcterms:W3CDTF">2022-05-24T10:18:00Z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2197</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פדילה בן אחמד אשרף</vt:lpwstr>
  </property>
  <property fmtid="{D5CDD505-2E9C-101B-9397-08002B2CF9AE}" pid="9" name="JUDGE">
    <vt:lpwstr>ק. רג'יניאנו</vt:lpwstr>
  </property>
  <property fmtid="{D5CDD505-2E9C-101B-9397-08002B2CF9AE}" pid="10" name="CITY">
    <vt:lpwstr>כ"ס</vt:lpwstr>
  </property>
  <property fmtid="{D5CDD505-2E9C-101B-9397-08002B2CF9AE}" pid="11" name="DATE">
    <vt:lpwstr>20051124</vt:lpwstr>
  </property>
  <property fmtid="{D5CDD505-2E9C-101B-9397-08002B2CF9AE}" pid="12" name="WORDNUMPAGES">
    <vt:lpwstr>6</vt:lpwstr>
  </property>
  <property fmtid="{D5CDD505-2E9C-101B-9397-08002B2CF9AE}" pid="13" name="LAWYER">
    <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CASESLISTTMP1">
    <vt:lpwstr>2271289;17941097;6232497</vt:lpwstr>
  </property>
  <property fmtid="{D5CDD505-2E9C-101B-9397-08002B2CF9AE}" pid="31" name="LAWLISTTMP1">
    <vt:lpwstr>70301/349.a:3;025;379</vt:lpwstr>
  </property>
</Properties>
</file>