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06806" w14:textId="77777777" w:rsidR="00910910" w:rsidRDefault="00910910">
      <w:pPr>
        <w:spacing w:after="80" w:line="320" w:lineRule="exact"/>
        <w:ind w:firstLine="283"/>
        <w:rPr>
          <w:rFonts w:hint="cs"/>
          <w:sz w:val="22"/>
          <w:szCs w:val="24"/>
          <w:rtl/>
        </w:rPr>
      </w:pPr>
      <w:bookmarkStart w:id="0" w:name="LastJudge"/>
      <w:r>
        <w:rPr>
          <w:sz w:val="22"/>
          <w:szCs w:val="24"/>
        </w:rPr>
        <w:t xml:space="preserve">   </w:t>
      </w:r>
    </w:p>
    <w:p w14:paraId="60736061" w14:textId="77777777" w:rsidR="00910910" w:rsidRDefault="00910910">
      <w:pPr>
        <w:spacing w:after="80" w:line="320" w:lineRule="exact"/>
        <w:ind w:firstLine="283"/>
        <w:rPr>
          <w:rFonts w:hint="cs"/>
          <w:b/>
          <w:bCs/>
          <w:sz w:val="22"/>
          <w:szCs w:val="24"/>
          <w:rtl/>
        </w:rPr>
      </w:pPr>
    </w:p>
    <w:p w14:paraId="45455DE7" w14:textId="77777777" w:rsidR="00910910" w:rsidRDefault="00910910">
      <w:pPr>
        <w:spacing w:after="80" w:line="320" w:lineRule="exact"/>
        <w:ind w:firstLine="283"/>
        <w:jc w:val="center"/>
        <w:rPr>
          <w:rFonts w:hint="cs"/>
          <w:sz w:val="22"/>
          <w:szCs w:val="24"/>
          <w:rtl/>
        </w:rPr>
      </w:pPr>
      <w:r>
        <w:rPr>
          <w:rFonts w:hint="cs"/>
          <w:b/>
          <w:bCs/>
          <w:sz w:val="22"/>
          <w:szCs w:val="24"/>
          <w:rtl/>
        </w:rPr>
        <w:t>בתי המשפט</w:t>
      </w:r>
      <w:r>
        <w:rPr>
          <w:rFonts w:hint="cs"/>
          <w:sz w:val="22"/>
          <w:szCs w:val="24"/>
          <w:rtl/>
        </w:rPr>
        <w:t xml:space="preserve"> </w:t>
      </w:r>
    </w:p>
    <w:p w14:paraId="113039A4" w14:textId="77777777" w:rsidR="00910910" w:rsidRDefault="00910910">
      <w:pPr>
        <w:spacing w:after="80" w:line="320" w:lineRule="exact"/>
        <w:ind w:firstLine="283"/>
        <w:jc w:val="center"/>
        <w:rPr>
          <w:sz w:val="22"/>
          <w:szCs w:val="24"/>
          <w:rtl/>
        </w:rPr>
      </w:pP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6"/>
        <w:gridCol w:w="964"/>
        <w:gridCol w:w="1951"/>
      </w:tblGrid>
      <w:tr w:rsidR="0051217C" w14:paraId="23235395" w14:textId="77777777">
        <w:trPr>
          <w:trHeight w:val="195"/>
        </w:trPr>
        <w:tc>
          <w:tcPr>
            <w:tcW w:w="8529" w:type="dxa"/>
            <w:gridSpan w:val="4"/>
            <w:tcBorders>
              <w:top w:val="single" w:sz="4" w:space="0" w:color="auto"/>
              <w:left w:val="single" w:sz="4" w:space="0" w:color="auto"/>
              <w:bottom w:val="single" w:sz="4" w:space="0" w:color="auto"/>
              <w:right w:val="single" w:sz="4" w:space="0" w:color="auto"/>
            </w:tcBorders>
          </w:tcPr>
          <w:p w14:paraId="02201070" w14:textId="77777777" w:rsidR="00910910" w:rsidRDefault="00910910">
            <w:pPr>
              <w:spacing w:line="320" w:lineRule="exact"/>
              <w:rPr>
                <w:b/>
                <w:bCs/>
                <w:sz w:val="22"/>
                <w:szCs w:val="24"/>
              </w:rPr>
            </w:pPr>
          </w:p>
        </w:tc>
      </w:tr>
      <w:tr w:rsidR="0051217C" w14:paraId="21F204CB"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1D4A4C22" w14:textId="77777777" w:rsidR="0051217C" w:rsidRDefault="0051217C">
            <w:pPr>
              <w:spacing w:line="320" w:lineRule="exact"/>
              <w:rPr>
                <w:b/>
                <w:bCs/>
                <w:sz w:val="22"/>
                <w:szCs w:val="24"/>
              </w:rPr>
            </w:pPr>
            <w:r>
              <w:rPr>
                <w:rFonts w:hint="cs"/>
                <w:b/>
                <w:bCs/>
                <w:sz w:val="22"/>
                <w:szCs w:val="24"/>
                <w:rtl/>
              </w:rPr>
              <w:t>בית משפט השלום תל אביב-יפו</w:t>
            </w:r>
          </w:p>
        </w:tc>
        <w:tc>
          <w:tcPr>
            <w:tcW w:w="2915" w:type="dxa"/>
            <w:gridSpan w:val="2"/>
            <w:tcBorders>
              <w:top w:val="single" w:sz="4" w:space="0" w:color="auto"/>
              <w:left w:val="single" w:sz="4" w:space="0" w:color="auto"/>
              <w:bottom w:val="single" w:sz="4" w:space="0" w:color="auto"/>
              <w:right w:val="single" w:sz="4" w:space="0" w:color="auto"/>
            </w:tcBorders>
          </w:tcPr>
          <w:p w14:paraId="46576607" w14:textId="77777777" w:rsidR="0051217C" w:rsidRDefault="0051217C">
            <w:pPr>
              <w:spacing w:line="320" w:lineRule="exact"/>
              <w:rPr>
                <w:b/>
                <w:bCs/>
                <w:sz w:val="22"/>
                <w:szCs w:val="24"/>
              </w:rPr>
            </w:pPr>
            <w:r>
              <w:rPr>
                <w:rFonts w:hint="cs"/>
                <w:b/>
                <w:bCs/>
                <w:sz w:val="22"/>
                <w:szCs w:val="24"/>
                <w:rtl/>
              </w:rPr>
              <w:t>פ  002629/03</w:t>
            </w:r>
          </w:p>
        </w:tc>
      </w:tr>
      <w:tr w:rsidR="0051217C" w14:paraId="5DE22DEB"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5CAEA8F3" w14:textId="77777777" w:rsidR="0051217C" w:rsidRDefault="0051217C">
            <w:pPr>
              <w:spacing w:line="320" w:lineRule="exact"/>
              <w:rPr>
                <w:b/>
                <w:bCs/>
                <w:sz w:val="22"/>
                <w:szCs w:val="24"/>
              </w:rPr>
            </w:pPr>
          </w:p>
        </w:tc>
        <w:tc>
          <w:tcPr>
            <w:tcW w:w="2915" w:type="dxa"/>
            <w:gridSpan w:val="2"/>
            <w:tcBorders>
              <w:top w:val="single" w:sz="4" w:space="0" w:color="auto"/>
              <w:left w:val="single" w:sz="4" w:space="0" w:color="auto"/>
              <w:bottom w:val="single" w:sz="4" w:space="0" w:color="auto"/>
              <w:right w:val="single" w:sz="4" w:space="0" w:color="auto"/>
            </w:tcBorders>
          </w:tcPr>
          <w:p w14:paraId="33945DE0" w14:textId="77777777" w:rsidR="0051217C" w:rsidRDefault="0051217C">
            <w:pPr>
              <w:spacing w:line="320" w:lineRule="exact"/>
              <w:rPr>
                <w:b/>
                <w:bCs/>
                <w:sz w:val="22"/>
                <w:szCs w:val="24"/>
              </w:rPr>
            </w:pPr>
          </w:p>
        </w:tc>
      </w:tr>
      <w:tr w:rsidR="0051217C" w14:paraId="18F2BBDC" w14:textId="77777777">
        <w:trPr>
          <w:trHeight w:val="286"/>
        </w:trPr>
        <w:tc>
          <w:tcPr>
            <w:tcW w:w="908" w:type="dxa"/>
            <w:tcBorders>
              <w:top w:val="single" w:sz="4" w:space="0" w:color="auto"/>
              <w:left w:val="single" w:sz="4" w:space="0" w:color="auto"/>
              <w:bottom w:val="single" w:sz="4" w:space="0" w:color="auto"/>
              <w:right w:val="single" w:sz="4" w:space="0" w:color="auto"/>
            </w:tcBorders>
          </w:tcPr>
          <w:p w14:paraId="49087E84" w14:textId="77777777" w:rsidR="0051217C" w:rsidRDefault="0051217C">
            <w:pPr>
              <w:spacing w:line="320" w:lineRule="exact"/>
              <w:rPr>
                <w:b/>
                <w:bCs/>
                <w:sz w:val="22"/>
                <w:szCs w:val="24"/>
              </w:rPr>
            </w:pPr>
            <w:r>
              <w:rPr>
                <w:rFonts w:hint="cs"/>
                <w:b/>
                <w:bCs/>
                <w:sz w:val="22"/>
                <w:szCs w:val="24"/>
                <w:rtl/>
              </w:rPr>
              <w:t>בפני:</w:t>
            </w:r>
          </w:p>
        </w:tc>
        <w:tc>
          <w:tcPr>
            <w:tcW w:w="4706" w:type="dxa"/>
            <w:tcBorders>
              <w:top w:val="single" w:sz="4" w:space="0" w:color="auto"/>
              <w:left w:val="single" w:sz="4" w:space="0" w:color="auto"/>
              <w:bottom w:val="single" w:sz="4" w:space="0" w:color="auto"/>
              <w:right w:val="single" w:sz="4" w:space="0" w:color="auto"/>
            </w:tcBorders>
          </w:tcPr>
          <w:p w14:paraId="65EA683D" w14:textId="77777777" w:rsidR="0051217C" w:rsidRDefault="0051217C">
            <w:pPr>
              <w:spacing w:line="320" w:lineRule="exact"/>
              <w:rPr>
                <w:b/>
                <w:bCs/>
                <w:sz w:val="22"/>
                <w:szCs w:val="24"/>
              </w:rPr>
            </w:pPr>
            <w:r>
              <w:rPr>
                <w:rFonts w:hint="cs"/>
                <w:b/>
                <w:bCs/>
                <w:sz w:val="22"/>
                <w:szCs w:val="24"/>
                <w:rtl/>
              </w:rPr>
              <w:t>כב' השופטת דיסקין מרים</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6CADE7A4" w14:textId="77777777" w:rsidR="0051217C" w:rsidRDefault="0051217C">
            <w:pPr>
              <w:spacing w:line="320" w:lineRule="exact"/>
              <w:rPr>
                <w:b/>
                <w:bCs/>
                <w:sz w:val="22"/>
                <w:szCs w:val="24"/>
              </w:rPr>
            </w:pPr>
          </w:p>
        </w:tc>
        <w:tc>
          <w:tcPr>
            <w:tcW w:w="1951" w:type="dxa"/>
            <w:tcBorders>
              <w:top w:val="single" w:sz="4" w:space="0" w:color="auto"/>
              <w:left w:val="single" w:sz="4" w:space="0" w:color="auto"/>
              <w:bottom w:val="single" w:sz="4" w:space="0" w:color="auto"/>
              <w:right w:val="single" w:sz="4" w:space="0" w:color="auto"/>
            </w:tcBorders>
          </w:tcPr>
          <w:p w14:paraId="669C659A" w14:textId="77777777" w:rsidR="0051217C" w:rsidRDefault="0051217C">
            <w:pPr>
              <w:spacing w:line="320" w:lineRule="exact"/>
              <w:rPr>
                <w:b/>
                <w:bCs/>
                <w:sz w:val="22"/>
                <w:szCs w:val="24"/>
              </w:rPr>
            </w:pPr>
            <w:r>
              <w:rPr>
                <w:rFonts w:hint="cs"/>
                <w:b/>
                <w:bCs/>
                <w:sz w:val="22"/>
                <w:szCs w:val="24"/>
                <w:rtl/>
              </w:rPr>
              <w:t>09/09/2003</w:t>
            </w:r>
          </w:p>
        </w:tc>
      </w:tr>
    </w:tbl>
    <w:p w14:paraId="331DA484" w14:textId="77777777" w:rsidR="00910910" w:rsidRDefault="00910910">
      <w:pPr>
        <w:spacing w:after="80" w:line="320" w:lineRule="exact"/>
        <w:ind w:firstLine="283"/>
        <w:rPr>
          <w:rFonts w:hint="cs"/>
          <w:sz w:val="22"/>
          <w:szCs w:val="24"/>
          <w:rtl/>
        </w:rPr>
      </w:pPr>
    </w:p>
    <w:p w14:paraId="133D1B45" w14:textId="77777777" w:rsidR="00910910" w:rsidRDefault="00910910">
      <w:pPr>
        <w:spacing w:after="80" w:line="320" w:lineRule="exact"/>
        <w:ind w:firstLine="283"/>
        <w:rPr>
          <w:b/>
          <w:bCs/>
          <w:sz w:val="22"/>
          <w:szCs w:val="24"/>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063"/>
        <w:gridCol w:w="2409"/>
      </w:tblGrid>
      <w:tr w:rsidR="0051217C" w14:paraId="726815CD" w14:textId="77777777">
        <w:tc>
          <w:tcPr>
            <w:tcW w:w="1362" w:type="dxa"/>
          </w:tcPr>
          <w:p w14:paraId="2A4BEC33" w14:textId="77777777" w:rsidR="0051217C" w:rsidRDefault="0051217C">
            <w:pPr>
              <w:spacing w:line="320" w:lineRule="exact"/>
              <w:rPr>
                <w:b/>
                <w:bCs/>
                <w:sz w:val="22"/>
                <w:szCs w:val="24"/>
              </w:rPr>
            </w:pPr>
            <w:bookmarkStart w:id="1" w:name="שם_א" w:colFirst="1" w:colLast="1"/>
            <w:bookmarkStart w:id="2" w:name="FirstAppellant"/>
            <w:r>
              <w:rPr>
                <w:rFonts w:hint="cs"/>
                <w:b/>
                <w:bCs/>
                <w:sz w:val="22"/>
                <w:szCs w:val="24"/>
                <w:rtl/>
              </w:rPr>
              <w:t>בעניין:</w:t>
            </w:r>
          </w:p>
        </w:tc>
        <w:tc>
          <w:tcPr>
            <w:tcW w:w="4820" w:type="dxa"/>
            <w:gridSpan w:val="2"/>
          </w:tcPr>
          <w:p w14:paraId="3DB13AF7" w14:textId="77777777" w:rsidR="0051217C" w:rsidRDefault="0051217C">
            <w:pPr>
              <w:spacing w:line="320" w:lineRule="exact"/>
              <w:rPr>
                <w:b/>
                <w:bCs/>
                <w:sz w:val="22"/>
                <w:szCs w:val="24"/>
              </w:rPr>
            </w:pPr>
            <w:r>
              <w:rPr>
                <w:rFonts w:hint="cs"/>
                <w:b/>
                <w:bCs/>
                <w:sz w:val="22"/>
                <w:szCs w:val="24"/>
                <w:rtl/>
              </w:rPr>
              <w:t>מדור תביעות פלילי ת"א</w:t>
            </w:r>
          </w:p>
        </w:tc>
        <w:tc>
          <w:tcPr>
            <w:tcW w:w="2409" w:type="dxa"/>
          </w:tcPr>
          <w:p w14:paraId="532FF8C9" w14:textId="77777777" w:rsidR="0051217C" w:rsidRDefault="0051217C">
            <w:pPr>
              <w:spacing w:line="320" w:lineRule="exact"/>
              <w:rPr>
                <w:b/>
                <w:bCs/>
                <w:sz w:val="22"/>
                <w:szCs w:val="24"/>
              </w:rPr>
            </w:pPr>
          </w:p>
        </w:tc>
      </w:tr>
      <w:tr w:rsidR="0051217C" w14:paraId="2FFA6094" w14:textId="77777777">
        <w:tc>
          <w:tcPr>
            <w:tcW w:w="1362" w:type="dxa"/>
          </w:tcPr>
          <w:p w14:paraId="1E195110" w14:textId="77777777" w:rsidR="0051217C" w:rsidRDefault="0051217C">
            <w:pPr>
              <w:spacing w:line="320" w:lineRule="exact"/>
              <w:rPr>
                <w:b/>
                <w:bCs/>
                <w:sz w:val="22"/>
                <w:szCs w:val="24"/>
              </w:rPr>
            </w:pPr>
            <w:bookmarkStart w:id="3" w:name="בא_כוח_א" w:colFirst="2" w:colLast="2"/>
            <w:bookmarkEnd w:id="1"/>
            <w:bookmarkEnd w:id="2"/>
          </w:p>
        </w:tc>
        <w:tc>
          <w:tcPr>
            <w:tcW w:w="1757" w:type="dxa"/>
          </w:tcPr>
          <w:p w14:paraId="4C478264" w14:textId="77777777" w:rsidR="0051217C" w:rsidRDefault="0051217C">
            <w:pPr>
              <w:spacing w:line="320" w:lineRule="exact"/>
              <w:rPr>
                <w:b/>
                <w:bCs/>
                <w:sz w:val="22"/>
                <w:szCs w:val="24"/>
              </w:rPr>
            </w:pPr>
          </w:p>
        </w:tc>
        <w:tc>
          <w:tcPr>
            <w:tcW w:w="3063" w:type="dxa"/>
          </w:tcPr>
          <w:p w14:paraId="6E621D47" w14:textId="77777777" w:rsidR="0051217C" w:rsidRDefault="0051217C">
            <w:pPr>
              <w:spacing w:line="320" w:lineRule="exact"/>
              <w:rPr>
                <w:b/>
                <w:bCs/>
                <w:sz w:val="22"/>
                <w:szCs w:val="24"/>
              </w:rPr>
            </w:pPr>
          </w:p>
        </w:tc>
        <w:tc>
          <w:tcPr>
            <w:tcW w:w="2409" w:type="dxa"/>
          </w:tcPr>
          <w:p w14:paraId="450A1CA9" w14:textId="77777777" w:rsidR="0051217C" w:rsidRDefault="0051217C">
            <w:pPr>
              <w:pStyle w:val="Heading4"/>
              <w:keepNext w:val="0"/>
              <w:spacing w:line="320" w:lineRule="exact"/>
              <w:rPr>
                <w:sz w:val="22"/>
                <w:szCs w:val="24"/>
                <w:u w:val="none"/>
              </w:rPr>
            </w:pPr>
            <w:r>
              <w:rPr>
                <w:rFonts w:hint="cs"/>
                <w:sz w:val="22"/>
                <w:szCs w:val="24"/>
                <w:u w:val="none"/>
                <w:rtl/>
              </w:rPr>
              <w:t>המאשימה</w:t>
            </w:r>
          </w:p>
        </w:tc>
      </w:tr>
      <w:bookmarkEnd w:id="3"/>
      <w:tr w:rsidR="0051217C" w14:paraId="74B0BED7" w14:textId="77777777">
        <w:tc>
          <w:tcPr>
            <w:tcW w:w="1362" w:type="dxa"/>
          </w:tcPr>
          <w:p w14:paraId="3357D7CC" w14:textId="77777777" w:rsidR="0051217C" w:rsidRDefault="0051217C">
            <w:pPr>
              <w:spacing w:line="320" w:lineRule="exact"/>
              <w:rPr>
                <w:b/>
                <w:bCs/>
                <w:sz w:val="22"/>
                <w:szCs w:val="24"/>
              </w:rPr>
            </w:pPr>
          </w:p>
        </w:tc>
        <w:tc>
          <w:tcPr>
            <w:tcW w:w="4820" w:type="dxa"/>
            <w:gridSpan w:val="2"/>
          </w:tcPr>
          <w:p w14:paraId="4BFE7245" w14:textId="77777777" w:rsidR="0051217C" w:rsidRDefault="0051217C">
            <w:pPr>
              <w:spacing w:line="320" w:lineRule="exact"/>
              <w:rPr>
                <w:b/>
                <w:bCs/>
                <w:sz w:val="22"/>
                <w:szCs w:val="24"/>
              </w:rPr>
            </w:pPr>
            <w:r>
              <w:rPr>
                <w:rFonts w:hint="cs"/>
                <w:b/>
                <w:bCs/>
                <w:sz w:val="22"/>
                <w:szCs w:val="24"/>
              </w:rPr>
              <w:t xml:space="preserve"> </w:t>
            </w:r>
            <w:r>
              <w:rPr>
                <w:rFonts w:hint="cs"/>
                <w:b/>
                <w:bCs/>
                <w:sz w:val="22"/>
                <w:szCs w:val="24"/>
                <w:rtl/>
              </w:rPr>
              <w:t>נ  ג  ד</w:t>
            </w:r>
          </w:p>
        </w:tc>
        <w:tc>
          <w:tcPr>
            <w:tcW w:w="2409" w:type="dxa"/>
          </w:tcPr>
          <w:p w14:paraId="7B728DA4" w14:textId="77777777" w:rsidR="0051217C" w:rsidRDefault="0051217C">
            <w:pPr>
              <w:spacing w:line="320" w:lineRule="exact"/>
              <w:rPr>
                <w:b/>
                <w:bCs/>
                <w:sz w:val="22"/>
                <w:szCs w:val="24"/>
              </w:rPr>
            </w:pPr>
          </w:p>
        </w:tc>
      </w:tr>
      <w:tr w:rsidR="0051217C" w14:paraId="64C63570" w14:textId="77777777">
        <w:tc>
          <w:tcPr>
            <w:tcW w:w="1362" w:type="dxa"/>
          </w:tcPr>
          <w:p w14:paraId="3B963E75" w14:textId="77777777" w:rsidR="0051217C" w:rsidRDefault="0051217C">
            <w:pPr>
              <w:spacing w:line="320" w:lineRule="exact"/>
              <w:rPr>
                <w:b/>
                <w:bCs/>
                <w:sz w:val="22"/>
                <w:szCs w:val="24"/>
              </w:rPr>
            </w:pPr>
            <w:bookmarkStart w:id="4" w:name="שם_ב" w:colFirst="1" w:colLast="1"/>
          </w:p>
        </w:tc>
        <w:tc>
          <w:tcPr>
            <w:tcW w:w="4820" w:type="dxa"/>
            <w:gridSpan w:val="2"/>
          </w:tcPr>
          <w:p w14:paraId="0DE6EE31" w14:textId="77777777" w:rsidR="0051217C" w:rsidRDefault="0051217C">
            <w:pPr>
              <w:spacing w:line="320" w:lineRule="exact"/>
              <w:rPr>
                <w:b/>
                <w:bCs/>
                <w:sz w:val="22"/>
                <w:szCs w:val="24"/>
              </w:rPr>
            </w:pPr>
            <w:r>
              <w:rPr>
                <w:rFonts w:hint="cs"/>
                <w:b/>
                <w:bCs/>
                <w:sz w:val="22"/>
                <w:szCs w:val="24"/>
                <w:rtl/>
              </w:rPr>
              <w:t>אלייב אריה</w:t>
            </w:r>
          </w:p>
        </w:tc>
        <w:tc>
          <w:tcPr>
            <w:tcW w:w="2409" w:type="dxa"/>
          </w:tcPr>
          <w:p w14:paraId="6F4C7F8D" w14:textId="77777777" w:rsidR="0051217C" w:rsidRDefault="0051217C">
            <w:pPr>
              <w:spacing w:line="320" w:lineRule="exact"/>
              <w:rPr>
                <w:b/>
                <w:bCs/>
                <w:sz w:val="22"/>
                <w:szCs w:val="24"/>
              </w:rPr>
            </w:pPr>
            <w:r>
              <w:rPr>
                <w:rFonts w:hint="cs"/>
                <w:b/>
                <w:bCs/>
                <w:sz w:val="22"/>
                <w:szCs w:val="24"/>
                <w:rtl/>
              </w:rPr>
              <w:t>הנאשם</w:t>
            </w:r>
          </w:p>
        </w:tc>
      </w:tr>
      <w:tr w:rsidR="0051217C" w14:paraId="68FBEBFE" w14:textId="77777777">
        <w:tc>
          <w:tcPr>
            <w:tcW w:w="1362" w:type="dxa"/>
          </w:tcPr>
          <w:p w14:paraId="22FCF536" w14:textId="77777777" w:rsidR="0051217C" w:rsidRDefault="0051217C">
            <w:pPr>
              <w:spacing w:line="320" w:lineRule="exact"/>
              <w:rPr>
                <w:b/>
                <w:bCs/>
                <w:sz w:val="22"/>
                <w:szCs w:val="24"/>
              </w:rPr>
            </w:pPr>
            <w:bookmarkStart w:id="5" w:name="בא_כוח_ב" w:colFirst="2" w:colLast="2"/>
            <w:bookmarkEnd w:id="4"/>
          </w:p>
        </w:tc>
        <w:tc>
          <w:tcPr>
            <w:tcW w:w="1757" w:type="dxa"/>
          </w:tcPr>
          <w:p w14:paraId="5D57E531" w14:textId="77777777" w:rsidR="0051217C" w:rsidRDefault="0051217C">
            <w:pPr>
              <w:spacing w:line="320" w:lineRule="exact"/>
              <w:rPr>
                <w:b/>
                <w:bCs/>
                <w:sz w:val="22"/>
                <w:szCs w:val="24"/>
              </w:rPr>
            </w:pPr>
          </w:p>
        </w:tc>
        <w:tc>
          <w:tcPr>
            <w:tcW w:w="3063" w:type="dxa"/>
          </w:tcPr>
          <w:p w14:paraId="10007B12" w14:textId="77777777" w:rsidR="0051217C" w:rsidRDefault="0051217C">
            <w:pPr>
              <w:spacing w:line="320" w:lineRule="exact"/>
              <w:rPr>
                <w:b/>
                <w:bCs/>
                <w:sz w:val="22"/>
                <w:szCs w:val="24"/>
              </w:rPr>
            </w:pPr>
          </w:p>
        </w:tc>
        <w:tc>
          <w:tcPr>
            <w:tcW w:w="2409" w:type="dxa"/>
          </w:tcPr>
          <w:p w14:paraId="7D7E1516" w14:textId="77777777" w:rsidR="0051217C" w:rsidRDefault="0051217C">
            <w:pPr>
              <w:pStyle w:val="Heading4"/>
              <w:keepNext w:val="0"/>
              <w:spacing w:line="320" w:lineRule="exact"/>
              <w:rPr>
                <w:sz w:val="22"/>
                <w:szCs w:val="24"/>
                <w:u w:val="none"/>
              </w:rPr>
            </w:pPr>
          </w:p>
        </w:tc>
      </w:tr>
    </w:tbl>
    <w:p w14:paraId="23996AFB" w14:textId="77777777" w:rsidR="006E76D8" w:rsidRDefault="006E76D8">
      <w:pPr>
        <w:spacing w:after="80" w:line="320" w:lineRule="exact"/>
        <w:ind w:firstLine="283"/>
        <w:rPr>
          <w:sz w:val="22"/>
          <w:szCs w:val="24"/>
          <w:rtl/>
        </w:rPr>
      </w:pPr>
      <w:bookmarkStart w:id="6" w:name="סוג_מסמך"/>
      <w:bookmarkStart w:id="7" w:name="LawTable"/>
      <w:bookmarkEnd w:id="5"/>
      <w:bookmarkEnd w:id="6"/>
      <w:bookmarkEnd w:id="7"/>
    </w:p>
    <w:p w14:paraId="4FA9F4C0" w14:textId="77777777" w:rsidR="006E76D8" w:rsidRPr="006E76D8" w:rsidRDefault="006E76D8" w:rsidP="006E76D8">
      <w:pPr>
        <w:spacing w:after="120" w:line="240" w:lineRule="exact"/>
        <w:ind w:left="283" w:hanging="283"/>
        <w:rPr>
          <w:rFonts w:ascii="FrankRuehl" w:hAnsi="FrankRuehl" w:cs="FrankRuehl"/>
          <w:sz w:val="24"/>
          <w:szCs w:val="24"/>
          <w:rtl/>
        </w:rPr>
      </w:pPr>
    </w:p>
    <w:p w14:paraId="461F5439" w14:textId="77777777" w:rsidR="006E76D8" w:rsidRPr="006E76D8" w:rsidRDefault="006E76D8" w:rsidP="006E76D8">
      <w:pPr>
        <w:spacing w:after="120" w:line="240" w:lineRule="exact"/>
        <w:ind w:left="283" w:hanging="283"/>
        <w:rPr>
          <w:rFonts w:ascii="FrankRuehl" w:hAnsi="FrankRuehl" w:cs="FrankRuehl"/>
          <w:sz w:val="24"/>
          <w:szCs w:val="24"/>
          <w:rtl/>
        </w:rPr>
      </w:pPr>
      <w:r w:rsidRPr="006E76D8">
        <w:rPr>
          <w:rFonts w:ascii="FrankRuehl" w:hAnsi="FrankRuehl" w:cs="FrankRuehl"/>
          <w:sz w:val="24"/>
          <w:szCs w:val="24"/>
          <w:rtl/>
        </w:rPr>
        <w:t xml:space="preserve">חקיקה שאוזכרה: </w:t>
      </w:r>
    </w:p>
    <w:p w14:paraId="3AEEECD1" w14:textId="77777777" w:rsidR="006E76D8" w:rsidRPr="006E76D8" w:rsidRDefault="006E76D8" w:rsidP="006E76D8">
      <w:pPr>
        <w:spacing w:after="120" w:line="240" w:lineRule="exact"/>
        <w:ind w:left="283" w:hanging="283"/>
        <w:rPr>
          <w:rFonts w:ascii="FrankRuehl" w:hAnsi="FrankRuehl" w:cs="FrankRuehl"/>
          <w:sz w:val="24"/>
          <w:szCs w:val="24"/>
          <w:rtl/>
        </w:rPr>
      </w:pPr>
      <w:hyperlink r:id="rId6" w:history="1">
        <w:r w:rsidRPr="006E76D8">
          <w:rPr>
            <w:rFonts w:ascii="FrankRuehl" w:hAnsi="FrankRuehl" w:cs="FrankRuehl"/>
            <w:color w:val="0000FF"/>
            <w:sz w:val="24"/>
            <w:szCs w:val="24"/>
            <w:u w:val="single"/>
            <w:rtl/>
          </w:rPr>
          <w:t>חוק העונשין, תשל"ז-1977</w:t>
        </w:r>
      </w:hyperlink>
      <w:r w:rsidRPr="006E76D8">
        <w:rPr>
          <w:rFonts w:ascii="FrankRuehl" w:hAnsi="FrankRuehl" w:cs="FrankRuehl"/>
          <w:sz w:val="24"/>
          <w:szCs w:val="24"/>
          <w:rtl/>
        </w:rPr>
        <w:t xml:space="preserve">: סע'  </w:t>
      </w:r>
      <w:hyperlink r:id="rId7" w:history="1">
        <w:r w:rsidRPr="006E76D8">
          <w:rPr>
            <w:rFonts w:ascii="FrankRuehl" w:hAnsi="FrankRuehl" w:cs="FrankRuehl"/>
            <w:color w:val="0000FF"/>
            <w:sz w:val="24"/>
            <w:szCs w:val="24"/>
            <w:u w:val="single"/>
            <w:rtl/>
          </w:rPr>
          <w:t>348 (ג)</w:t>
        </w:r>
      </w:hyperlink>
    </w:p>
    <w:p w14:paraId="7AFFED28" w14:textId="77777777" w:rsidR="006E76D8" w:rsidRPr="006E76D8" w:rsidRDefault="006E76D8" w:rsidP="006E76D8">
      <w:pPr>
        <w:spacing w:after="120" w:line="240" w:lineRule="exact"/>
        <w:ind w:left="283" w:hanging="283"/>
        <w:rPr>
          <w:rFonts w:ascii="FrankRuehl" w:hAnsi="FrankRuehl" w:cs="FrankRuehl"/>
          <w:sz w:val="24"/>
          <w:szCs w:val="24"/>
          <w:rtl/>
        </w:rPr>
      </w:pPr>
    </w:p>
    <w:p w14:paraId="473A1290" w14:textId="77777777" w:rsidR="006E76D8" w:rsidRPr="006E76D8" w:rsidRDefault="006E76D8">
      <w:pPr>
        <w:spacing w:after="80" w:line="320" w:lineRule="exact"/>
        <w:ind w:firstLine="283"/>
        <w:rPr>
          <w:sz w:val="22"/>
          <w:szCs w:val="24"/>
          <w:rtl/>
        </w:rPr>
      </w:pPr>
      <w:bookmarkStart w:id="8" w:name="LawTable_End"/>
      <w:bookmarkEnd w:id="8"/>
    </w:p>
    <w:p w14:paraId="19E7020B" w14:textId="77777777" w:rsidR="006E76D8" w:rsidRPr="006E76D8" w:rsidRDefault="006E76D8">
      <w:pPr>
        <w:spacing w:after="80" w:line="320" w:lineRule="exact"/>
        <w:ind w:firstLine="283"/>
        <w:rPr>
          <w:sz w:val="22"/>
          <w:szCs w:val="24"/>
          <w:rtl/>
        </w:rPr>
      </w:pPr>
    </w:p>
    <w:p w14:paraId="4E4630C5" w14:textId="77777777" w:rsidR="008D375C" w:rsidRPr="008D375C" w:rsidRDefault="008D375C">
      <w:pPr>
        <w:spacing w:after="80" w:line="320" w:lineRule="exact"/>
        <w:ind w:firstLine="283"/>
        <w:rPr>
          <w:sz w:val="22"/>
          <w:szCs w:val="24"/>
          <w:rtl/>
        </w:rPr>
      </w:pPr>
    </w:p>
    <w:p w14:paraId="75C9C80F" w14:textId="77777777" w:rsidR="008D375C" w:rsidRPr="008D375C" w:rsidRDefault="008D375C">
      <w:pPr>
        <w:spacing w:after="80" w:line="320" w:lineRule="exact"/>
        <w:ind w:firstLine="283"/>
        <w:rPr>
          <w:b/>
          <w:bCs/>
          <w:sz w:val="22"/>
          <w:szCs w:val="24"/>
          <w:rtl/>
        </w:rPr>
      </w:pPr>
    </w:p>
    <w:p w14:paraId="590CE720" w14:textId="77777777" w:rsidR="00910910" w:rsidRPr="008D375C" w:rsidRDefault="00910910">
      <w:pPr>
        <w:spacing w:after="80" w:line="320" w:lineRule="exact"/>
        <w:ind w:firstLine="283"/>
        <w:rPr>
          <w:b/>
          <w:bCs/>
          <w:sz w:val="22"/>
          <w:szCs w:val="24"/>
          <w:rtl/>
        </w:rPr>
      </w:pPr>
    </w:p>
    <w:p w14:paraId="5F0BA43E" w14:textId="77777777" w:rsidR="00910910" w:rsidRDefault="00910910">
      <w:pPr>
        <w:spacing w:after="80" w:line="320" w:lineRule="exact"/>
        <w:ind w:firstLine="283"/>
        <w:jc w:val="center"/>
        <w:rPr>
          <w:b/>
          <w:bCs/>
          <w:sz w:val="22"/>
          <w:szCs w:val="24"/>
          <w:u w:val="single"/>
          <w:rtl/>
        </w:rPr>
      </w:pPr>
      <w:bookmarkStart w:id="9" w:name="PsakDin"/>
      <w:bookmarkEnd w:id="0"/>
      <w:r>
        <w:rPr>
          <w:b/>
          <w:bCs/>
          <w:sz w:val="22"/>
          <w:szCs w:val="24"/>
          <w:u w:val="single"/>
          <w:rtl/>
        </w:rPr>
        <w:t>הכרעת דין</w:t>
      </w:r>
    </w:p>
    <w:bookmarkEnd w:id="9"/>
    <w:p w14:paraId="5CA8D4C2" w14:textId="77777777" w:rsidR="00910910" w:rsidRDefault="00910910">
      <w:pPr>
        <w:spacing w:after="80" w:line="320" w:lineRule="exact"/>
        <w:ind w:firstLine="283"/>
        <w:rPr>
          <w:rFonts w:hint="cs"/>
          <w:sz w:val="22"/>
          <w:szCs w:val="24"/>
          <w:rtl/>
        </w:rPr>
      </w:pPr>
    </w:p>
    <w:p w14:paraId="53F70871" w14:textId="77777777" w:rsidR="00910910" w:rsidRDefault="00910910">
      <w:pPr>
        <w:spacing w:after="80" w:line="320" w:lineRule="exact"/>
        <w:ind w:firstLine="283"/>
        <w:rPr>
          <w:sz w:val="22"/>
          <w:szCs w:val="24"/>
          <w:rtl/>
        </w:rPr>
      </w:pPr>
      <w:r>
        <w:rPr>
          <w:rFonts w:hint="cs"/>
          <w:sz w:val="22"/>
          <w:szCs w:val="24"/>
          <w:rtl/>
        </w:rPr>
        <w:t>אין בתיק שבפני עובדות מורכבות ולא סוגיות משפטיות סבוכות הצריכות דיון מעמיק. עניינו של האירוע העומד במרכזו של כתב האישום במעשה שהתרחש בשעות הצהרים של יום 6.7.01, בדירה ברחוב חכמי אתונה 8 בתל - אביב (להלן: "הדירה"), השייכת לנאשם והייתה מושכרת אותה עת לא.ר. (להלן: "המתלוננת") ולבן זוגה. לבקשת המתלוננת נכנס הנאשם לדירה כדי לעזור לה בתיקון קלטת טלוויזיה מקולקלת.</w:t>
      </w:r>
    </w:p>
    <w:p w14:paraId="470BBB74" w14:textId="77777777" w:rsidR="00910910" w:rsidRDefault="00910910">
      <w:pPr>
        <w:spacing w:after="80" w:line="320" w:lineRule="exact"/>
        <w:ind w:firstLine="283"/>
        <w:rPr>
          <w:rFonts w:hint="cs"/>
          <w:sz w:val="22"/>
          <w:szCs w:val="24"/>
          <w:rtl/>
        </w:rPr>
      </w:pPr>
      <w:bookmarkStart w:id="10" w:name="ABSTRACT_START"/>
      <w:bookmarkEnd w:id="10"/>
      <w:r>
        <w:rPr>
          <w:rFonts w:hint="cs"/>
          <w:sz w:val="22"/>
          <w:szCs w:val="24"/>
          <w:rtl/>
        </w:rPr>
        <w:t xml:space="preserve">אליבא דגרסת התביעה, במהלך שהותו בדירה פנה הנאשם למתלוננת ואמר לה: </w:t>
      </w:r>
      <w:r>
        <w:rPr>
          <w:rFonts w:hint="cs"/>
          <w:b/>
          <w:bCs/>
          <w:sz w:val="22"/>
          <w:szCs w:val="24"/>
          <w:rtl/>
        </w:rPr>
        <w:t>"למה את לובשת לבוש מפתה".</w:t>
      </w:r>
      <w:r>
        <w:rPr>
          <w:rFonts w:hint="cs"/>
          <w:sz w:val="22"/>
          <w:szCs w:val="24"/>
          <w:rtl/>
        </w:rPr>
        <w:t xml:space="preserve"> לאחר מכן התקרב אליה והעביר את ידו על חזה ובטנה, ללא הסכמתה, מעשה המהווה עבירה של מעשה מגונה, לפי </w:t>
      </w:r>
      <w:hyperlink r:id="rId8" w:history="1">
        <w:r w:rsidR="006E76D8" w:rsidRPr="006E76D8">
          <w:rPr>
            <w:color w:val="0000FF"/>
            <w:sz w:val="22"/>
            <w:szCs w:val="24"/>
            <w:u w:val="single"/>
            <w:rtl/>
          </w:rPr>
          <w:t>סעיף 348 (ג)</w:t>
        </w:r>
      </w:hyperlink>
      <w:r>
        <w:rPr>
          <w:rFonts w:hint="cs"/>
          <w:sz w:val="22"/>
          <w:szCs w:val="24"/>
          <w:rtl/>
        </w:rPr>
        <w:t xml:space="preserve"> ל</w:t>
      </w:r>
      <w:hyperlink r:id="rId9" w:history="1">
        <w:bookmarkStart w:id="11" w:name="ABSTRACT_END"/>
        <w:bookmarkEnd w:id="11"/>
        <w:r w:rsidR="008D375C" w:rsidRPr="008D375C">
          <w:rPr>
            <w:rStyle w:val="Hyperlink"/>
            <w:rFonts w:hint="eastAsia"/>
            <w:sz w:val="22"/>
            <w:szCs w:val="24"/>
            <w:rtl/>
          </w:rPr>
          <w:t>חוק</w:t>
        </w:r>
        <w:r w:rsidR="008D375C" w:rsidRPr="008D375C">
          <w:rPr>
            <w:rStyle w:val="Hyperlink"/>
            <w:sz w:val="22"/>
            <w:szCs w:val="24"/>
            <w:rtl/>
          </w:rPr>
          <w:t xml:space="preserve"> העונשין</w:t>
        </w:r>
      </w:hyperlink>
      <w:r>
        <w:rPr>
          <w:rFonts w:hint="cs"/>
          <w:sz w:val="22"/>
          <w:szCs w:val="24"/>
          <w:rtl/>
        </w:rPr>
        <w:t>, התשל"ז-1977 (להלן: "חוק העונשין").</w:t>
      </w:r>
    </w:p>
    <w:p w14:paraId="28233A44" w14:textId="77777777" w:rsidR="00910910" w:rsidRDefault="00910910">
      <w:pPr>
        <w:spacing w:after="80" w:line="320" w:lineRule="exact"/>
        <w:ind w:firstLine="283"/>
        <w:rPr>
          <w:rFonts w:hint="cs"/>
          <w:color w:val="FFFFFF"/>
          <w:sz w:val="4"/>
          <w:szCs w:val="4"/>
          <w:rtl/>
        </w:rPr>
      </w:pPr>
    </w:p>
    <w:p w14:paraId="6A7F1678" w14:textId="77777777" w:rsidR="00910910" w:rsidRDefault="00910910">
      <w:pPr>
        <w:spacing w:after="80" w:line="320" w:lineRule="exact"/>
        <w:ind w:firstLine="283"/>
        <w:rPr>
          <w:rFonts w:hint="cs"/>
          <w:sz w:val="22"/>
          <w:szCs w:val="24"/>
          <w:rtl/>
        </w:rPr>
      </w:pPr>
      <w:r>
        <w:rPr>
          <w:color w:val="FFFFFF"/>
          <w:sz w:val="4"/>
          <w:szCs w:val="4"/>
          <w:rtl/>
        </w:rPr>
        <w:t>5129371</w:t>
      </w:r>
      <w:r>
        <w:rPr>
          <w:rFonts w:hint="cs"/>
          <w:sz w:val="22"/>
          <w:szCs w:val="24"/>
          <w:rtl/>
        </w:rPr>
        <w:t xml:space="preserve">תגובת הנאשם לכתב האישום ובדומה לה עדותו בבית המשפט הייתה בבחינת כפירה גורפת של האשמה. הנאשם אישר כי בהיותו אדם דתי ראה להעיר למתלוננת על לבושה החושפני - הלא צנוע, אך בה </w:t>
      </w:r>
      <w:r>
        <w:rPr>
          <w:rFonts w:hint="cs"/>
          <w:sz w:val="22"/>
          <w:szCs w:val="24"/>
          <w:rtl/>
        </w:rPr>
        <w:lastRenderedPageBreak/>
        <w:t>בעת עמד בנחרצות על הכחשתו השוללת מגע ידו בחזה ובבטנה בגורסו, כי אין זו אלא עלילת כזבים חסרת כל שחר.</w:t>
      </w:r>
      <w:r>
        <w:rPr>
          <w:color w:val="FFFFFF"/>
          <w:sz w:val="4"/>
          <w:szCs w:val="4"/>
          <w:rtl/>
        </w:rPr>
        <w:t>נ</w:t>
      </w:r>
    </w:p>
    <w:p w14:paraId="288DFCA5" w14:textId="77777777" w:rsidR="00910910" w:rsidRDefault="00910910">
      <w:pPr>
        <w:spacing w:after="80" w:line="320" w:lineRule="exact"/>
        <w:ind w:firstLine="283"/>
        <w:rPr>
          <w:rFonts w:hint="cs"/>
          <w:sz w:val="22"/>
          <w:szCs w:val="24"/>
          <w:rtl/>
        </w:rPr>
      </w:pPr>
    </w:p>
    <w:p w14:paraId="6A2213DD" w14:textId="77777777" w:rsidR="00910910" w:rsidRDefault="00910910">
      <w:pPr>
        <w:spacing w:after="80" w:line="320" w:lineRule="exact"/>
        <w:ind w:firstLine="283"/>
        <w:rPr>
          <w:rFonts w:hint="cs"/>
          <w:sz w:val="22"/>
          <w:szCs w:val="24"/>
          <w:rtl/>
        </w:rPr>
      </w:pPr>
      <w:r>
        <w:rPr>
          <w:rFonts w:hint="cs"/>
          <w:sz w:val="22"/>
          <w:szCs w:val="24"/>
          <w:rtl/>
        </w:rPr>
        <w:t>התשתית הראייתית שהונחה בפני בית המשפט הינה מצומצמת ומורכבת משתי עדויות בלבד. מחד, עדותה המפלילה של המתלוננת, על בסיסה עותרת התביעה לסמוך הרשעת הנאשם, ומנגד, עדותו המכחישה של הנאשם, המבקש לא להעניק לעדותה כל אמון, או למצער לקבוע שאין בה כדי לשמש מסד, מעבר לכל ספק, להרשעה בפלילים.</w:t>
      </w:r>
      <w:r>
        <w:rPr>
          <w:color w:val="FFFFFF"/>
          <w:sz w:val="4"/>
          <w:szCs w:val="4"/>
          <w:rtl/>
        </w:rPr>
        <w:t>ב</w:t>
      </w:r>
    </w:p>
    <w:p w14:paraId="386101E4" w14:textId="77777777" w:rsidR="00910910" w:rsidRDefault="00910910">
      <w:pPr>
        <w:spacing w:after="80" w:line="320" w:lineRule="exact"/>
        <w:ind w:firstLine="283"/>
        <w:rPr>
          <w:rFonts w:hint="cs"/>
          <w:sz w:val="22"/>
          <w:szCs w:val="24"/>
          <w:rtl/>
        </w:rPr>
      </w:pPr>
    </w:p>
    <w:p w14:paraId="7C926449" w14:textId="77777777" w:rsidR="00910910" w:rsidRDefault="00910910">
      <w:pPr>
        <w:spacing w:after="80" w:line="320" w:lineRule="exact"/>
        <w:ind w:firstLine="283"/>
        <w:rPr>
          <w:rFonts w:hint="cs"/>
          <w:sz w:val="22"/>
          <w:szCs w:val="24"/>
          <w:rtl/>
        </w:rPr>
      </w:pPr>
      <w:r>
        <w:rPr>
          <w:rFonts w:hint="cs"/>
          <w:sz w:val="22"/>
          <w:szCs w:val="24"/>
          <w:rtl/>
        </w:rPr>
        <w:t>בדומה לתיקים אחרים המבוססים על שתי עדויות העומדות זו מול זו, גם בענייננו נוצרה, בסופו של יום, סיטואציה ראייתית של גרסה מול גרסה, שההכרעה ביניהן תחתך על בסיס של מהימנות.</w:t>
      </w:r>
      <w:r>
        <w:rPr>
          <w:color w:val="FFFFFF"/>
          <w:sz w:val="4"/>
          <w:szCs w:val="4"/>
          <w:rtl/>
        </w:rPr>
        <w:t>ו</w:t>
      </w:r>
    </w:p>
    <w:p w14:paraId="171E4A45" w14:textId="77777777" w:rsidR="00910910" w:rsidRDefault="00910910">
      <w:pPr>
        <w:spacing w:after="80" w:line="320" w:lineRule="exact"/>
        <w:ind w:firstLine="283"/>
        <w:rPr>
          <w:rFonts w:hint="cs"/>
          <w:sz w:val="22"/>
          <w:szCs w:val="24"/>
          <w:rtl/>
        </w:rPr>
      </w:pPr>
    </w:p>
    <w:p w14:paraId="0013F563" w14:textId="77777777" w:rsidR="00910910" w:rsidRDefault="00910910">
      <w:pPr>
        <w:spacing w:after="80" w:line="320" w:lineRule="exact"/>
        <w:ind w:firstLine="283"/>
        <w:rPr>
          <w:rFonts w:hint="cs"/>
          <w:sz w:val="22"/>
          <w:szCs w:val="24"/>
          <w:rtl/>
        </w:rPr>
      </w:pPr>
      <w:r>
        <w:rPr>
          <w:rFonts w:hint="cs"/>
          <w:sz w:val="22"/>
          <w:szCs w:val="24"/>
          <w:rtl/>
        </w:rPr>
        <w:t>בעומדה על דוכן העדים, תיארה המתלוננת בפרוטרוט, בבהירות ובעקביות את סיפור המעשה מתחילתו ועד סופו, כשהיא קושרת את הנאשם באופן ברור וחד משמעי למעשה המגונה שביצע בגופה.</w:t>
      </w:r>
      <w:r>
        <w:rPr>
          <w:color w:val="FFFFFF"/>
          <w:sz w:val="4"/>
          <w:szCs w:val="4"/>
          <w:rtl/>
        </w:rPr>
        <w:t>נ</w:t>
      </w:r>
    </w:p>
    <w:p w14:paraId="18B992E9" w14:textId="77777777" w:rsidR="00910910" w:rsidRDefault="00910910">
      <w:pPr>
        <w:spacing w:after="80" w:line="320" w:lineRule="exact"/>
        <w:ind w:firstLine="283"/>
        <w:rPr>
          <w:rFonts w:hint="cs"/>
          <w:sz w:val="22"/>
          <w:szCs w:val="24"/>
          <w:rtl/>
        </w:rPr>
      </w:pPr>
      <w:r>
        <w:rPr>
          <w:rFonts w:hint="cs"/>
          <w:sz w:val="22"/>
          <w:szCs w:val="24"/>
          <w:rtl/>
        </w:rPr>
        <w:t xml:space="preserve">המתלוננת, צעירה כבת 26, שפער הגילים בינה ובין הנאשם ניכר על פניו ואינו נתון במחלוקת, התגוררה בתקופה הרלבנטית בדירה יחד עם בן זוג ובנה הקטין. בעדותה הסבירה את הנסיבות בהן הגיע הנאשם לדירה בתקלה שאירעה לסליל קלטת במהלך צפייתה בה. הואיל וניסיונה לתקן בעצמה את המעוות על ידי החזרת הסליל למקומו עלה בתוהו, תרה אחר משהו שיסייע לה בכך, ותוך כדי חיפושיה נתקלה ברחוב באקראי בנאשם. הואיל ובעבר נעזרה בו פעם בתיקון גלגל פנתה אליו בבקשת עזרה והוא ניעתר לה ברצון. לגרסתה, בהגיעם לדירה פנה אליה הנאשם והעיר לה על לבושה החושפני באומרו: </w:t>
      </w:r>
      <w:r>
        <w:rPr>
          <w:rFonts w:hint="cs"/>
          <w:b/>
          <w:bCs/>
          <w:sz w:val="22"/>
          <w:szCs w:val="24"/>
          <w:rtl/>
        </w:rPr>
        <w:t>"למה את לובשת לבוש כזה"</w:t>
      </w:r>
      <w:r>
        <w:rPr>
          <w:rFonts w:hint="cs"/>
          <w:sz w:val="22"/>
          <w:szCs w:val="24"/>
          <w:rtl/>
        </w:rPr>
        <w:t>. המתלוננת השיבה כי אינה מוצאת כל פסול בשמלת הכתפיות שעל גופה, שלא היה בה, לטעמה, דבר שיצדיק הערה מעין זו.</w:t>
      </w:r>
      <w:r>
        <w:rPr>
          <w:color w:val="FFFFFF"/>
          <w:sz w:val="4"/>
          <w:szCs w:val="4"/>
          <w:rtl/>
        </w:rPr>
        <w:t>ב</w:t>
      </w:r>
    </w:p>
    <w:p w14:paraId="2245B41D" w14:textId="77777777" w:rsidR="00910910" w:rsidRDefault="00910910">
      <w:pPr>
        <w:spacing w:after="80" w:line="320" w:lineRule="exact"/>
        <w:ind w:firstLine="283"/>
        <w:rPr>
          <w:rFonts w:hint="cs"/>
          <w:sz w:val="22"/>
          <w:szCs w:val="24"/>
          <w:rtl/>
        </w:rPr>
      </w:pPr>
    </w:p>
    <w:p w14:paraId="671B77E5" w14:textId="77777777" w:rsidR="00910910" w:rsidRDefault="00910910">
      <w:pPr>
        <w:spacing w:after="80" w:line="320" w:lineRule="exact"/>
        <w:ind w:firstLine="283"/>
        <w:rPr>
          <w:rFonts w:hint="cs"/>
          <w:sz w:val="22"/>
          <w:szCs w:val="24"/>
          <w:rtl/>
        </w:rPr>
      </w:pPr>
      <w:r>
        <w:rPr>
          <w:rFonts w:hint="cs"/>
          <w:sz w:val="22"/>
          <w:szCs w:val="24"/>
          <w:rtl/>
        </w:rPr>
        <w:t xml:space="preserve">בשלב זה נכנס הנאשם למטבח, נטל משם סכין וניסה באמצעותו לסובב את הבורג שבמרכז הקלטת במטרה להחזיר את הסרט למקומו והמתלוננת, התקרבה אליו כדי להביט מקרוב בתהליך התיקון. לפתע, הבחינה בשינוי קיצוני בהבעת פניו שהפכו בן רגע לפניו של אדם אחר, ואז הוא שלח אליה את ידו, צבט את חזה וליטף את בטנה. המתלוננת אחוזת התדהמה דרשה ממנו במפגיע לעזוב מיד את הדירה. הנאשם ניסה להמשיך בתיקון הקלטת כשהוא מעמיד פנים כאילו לא אירע דבר, אך היא עמדה על דעתה שאין הוא רצוי עוד במקום ועליו ללכת. חרף בקשות הסליחה שהרעיף עליה משלב זה ואילך כשהוא מנסה לשווא לתרץ את המעשה בקוצר ראייתו, כפי העולה מדבריה: </w:t>
      </w:r>
      <w:r>
        <w:rPr>
          <w:rFonts w:hint="cs"/>
          <w:b/>
          <w:bCs/>
          <w:sz w:val="22"/>
          <w:szCs w:val="24"/>
          <w:rtl/>
        </w:rPr>
        <w:t>"אחרי שהוא נגע בי הוא אמר לי סליחה לא ראיתי טוב בעיניים"</w:t>
      </w:r>
      <w:r>
        <w:rPr>
          <w:rFonts w:hint="cs"/>
          <w:sz w:val="22"/>
          <w:szCs w:val="24"/>
          <w:rtl/>
        </w:rPr>
        <w:t>, התעקשה המתלוננת כי יעזבה לנפשה.</w:t>
      </w:r>
      <w:r>
        <w:rPr>
          <w:color w:val="FFFFFF"/>
          <w:sz w:val="4"/>
          <w:szCs w:val="4"/>
          <w:rtl/>
        </w:rPr>
        <w:t>ו</w:t>
      </w:r>
    </w:p>
    <w:p w14:paraId="23D37F22" w14:textId="77777777" w:rsidR="00910910" w:rsidRDefault="00910910">
      <w:pPr>
        <w:spacing w:after="80" w:line="320" w:lineRule="exact"/>
        <w:ind w:firstLine="283"/>
        <w:rPr>
          <w:rFonts w:hint="cs"/>
          <w:sz w:val="22"/>
          <w:szCs w:val="24"/>
          <w:rtl/>
        </w:rPr>
      </w:pPr>
    </w:p>
    <w:p w14:paraId="03C10742" w14:textId="77777777" w:rsidR="00910910" w:rsidRDefault="00910910">
      <w:pPr>
        <w:spacing w:after="80" w:line="320" w:lineRule="exact"/>
        <w:ind w:firstLine="283"/>
        <w:rPr>
          <w:rFonts w:hint="cs"/>
          <w:b/>
          <w:bCs/>
          <w:sz w:val="22"/>
          <w:szCs w:val="24"/>
          <w:rtl/>
        </w:rPr>
      </w:pPr>
      <w:r>
        <w:rPr>
          <w:rFonts w:hint="cs"/>
          <w:sz w:val="22"/>
          <w:szCs w:val="24"/>
          <w:rtl/>
        </w:rPr>
        <w:t xml:space="preserve">את תחושותיה בעקבות המעשה והרגשתה כי כבודה נרמס וגופה חולל היטיבה המתלוננת להביע בעדותה מן הדוכן. בתיאור כן, אישי ואותנטי שאותות האמת נכרים בו על פניו, תיארה המתלוננת את סערת הנפש שנתחוללה בלבה ואת הרגשות הקשים שהציפו אותה מלווים בחבוטים ובמחשבות כי לא תוכל להבליג על המעשה ולא לעבור עליו לסדר היום, כעולה מהדברים הבאים: </w:t>
      </w:r>
      <w:r>
        <w:rPr>
          <w:rFonts w:hint="cs"/>
          <w:b/>
          <w:bCs/>
          <w:sz w:val="22"/>
          <w:szCs w:val="24"/>
          <w:rtl/>
        </w:rPr>
        <w:t xml:space="preserve">"וזה לא היה מקובל עליי. מה זאת אומרת? אני לא נשואה לחבר שלי, אבל זה לא אומר שאני חפץ של כל אחד. אחרי שהוא ביקש סליחה הוא יצא החוצה הסתובב נעמד וחזר וביקש סליחה ואמר שהוא מצטער והוא לא יעשה את זה עוד פעם. אני אמרתי לו תשמע אני לא יודעת אם אני אמחל לך..." </w:t>
      </w:r>
      <w:r>
        <w:rPr>
          <w:rFonts w:hint="cs"/>
          <w:sz w:val="22"/>
          <w:szCs w:val="24"/>
          <w:rtl/>
        </w:rPr>
        <w:t>(עמוד 6 לפרוטוקול שורות 16-19) ובהמשך הוסיפה ואמרה:</w:t>
      </w:r>
      <w:r>
        <w:rPr>
          <w:rFonts w:hint="cs"/>
          <w:b/>
          <w:bCs/>
          <w:sz w:val="22"/>
          <w:szCs w:val="24"/>
          <w:rtl/>
        </w:rPr>
        <w:t xml:space="preserve"> "אני בחורה צעירה עם ראש על הכתפיים ואני לא חושבת שעשיתי משהו שהצדיק את המעשה שהוא עשה. זה לא יפה. סרגיי אמר אילנית אנחנו שכנים שאני אוותר לו, אבל אני לא ויתרתי, </w:t>
      </w:r>
      <w:r>
        <w:rPr>
          <w:rFonts w:hint="cs"/>
          <w:b/>
          <w:bCs/>
          <w:sz w:val="22"/>
          <w:szCs w:val="24"/>
          <w:rtl/>
        </w:rPr>
        <w:lastRenderedPageBreak/>
        <w:t>אני לא חפץ. אני לא בובת מין חס וחלילה, אני אמא לילד ויש לי כבוד עצמי"</w:t>
      </w:r>
      <w:r>
        <w:rPr>
          <w:rFonts w:hint="cs"/>
          <w:sz w:val="22"/>
          <w:szCs w:val="24"/>
          <w:rtl/>
        </w:rPr>
        <w:t xml:space="preserve"> (עמוד 7 לפרוטוקול שורות 1-4).</w:t>
      </w:r>
      <w:r>
        <w:rPr>
          <w:color w:val="FFFFFF"/>
          <w:sz w:val="4"/>
          <w:szCs w:val="4"/>
          <w:rtl/>
        </w:rPr>
        <w:t>נ</w:t>
      </w:r>
    </w:p>
    <w:p w14:paraId="1F402288" w14:textId="77777777" w:rsidR="00910910" w:rsidRDefault="00910910">
      <w:pPr>
        <w:spacing w:after="80" w:line="320" w:lineRule="exact"/>
        <w:ind w:firstLine="283"/>
        <w:rPr>
          <w:rFonts w:hint="cs"/>
          <w:sz w:val="22"/>
          <w:szCs w:val="24"/>
          <w:rtl/>
        </w:rPr>
      </w:pPr>
      <w:r>
        <w:rPr>
          <w:rFonts w:hint="cs"/>
          <w:sz w:val="22"/>
          <w:szCs w:val="24"/>
          <w:rtl/>
        </w:rPr>
        <w:t xml:space="preserve">המתלוננת העידה כי הייתה כה נרגשת ונסערת שהתקשתה ללכת ובעודה ממררת בבכי מעדה בדרכה: </w:t>
      </w:r>
      <w:r>
        <w:rPr>
          <w:rFonts w:hint="cs"/>
          <w:b/>
          <w:bCs/>
          <w:sz w:val="22"/>
          <w:szCs w:val="24"/>
          <w:rtl/>
        </w:rPr>
        <w:t>"נפלתי ברחוב, בכיתי, מה עוד אני צריכה לעבור בחורה צעירה, לא ידעתי איך לקבל את זה"</w:t>
      </w:r>
      <w:r>
        <w:rPr>
          <w:rFonts w:hint="cs"/>
          <w:sz w:val="22"/>
          <w:szCs w:val="24"/>
          <w:rtl/>
        </w:rPr>
        <w:t xml:space="preserve"> (עמוד 8 לפרוטוקול שורות 2-3).</w:t>
      </w:r>
      <w:r>
        <w:rPr>
          <w:color w:val="FFFFFF"/>
          <w:sz w:val="4"/>
          <w:szCs w:val="4"/>
          <w:rtl/>
        </w:rPr>
        <w:t>ב</w:t>
      </w:r>
    </w:p>
    <w:p w14:paraId="7A796DAE" w14:textId="77777777" w:rsidR="00910910" w:rsidRDefault="00910910">
      <w:pPr>
        <w:spacing w:after="80" w:line="320" w:lineRule="exact"/>
        <w:ind w:firstLine="283"/>
        <w:rPr>
          <w:rFonts w:hint="cs"/>
          <w:sz w:val="22"/>
          <w:szCs w:val="24"/>
          <w:rtl/>
        </w:rPr>
      </w:pPr>
      <w:r>
        <w:rPr>
          <w:rFonts w:hint="cs"/>
          <w:sz w:val="22"/>
          <w:szCs w:val="24"/>
          <w:rtl/>
        </w:rPr>
        <w:t>שעה קלה לאחר האירוע ניגשה למשטרה למסור תלונתה, לא לפני שהתקשרה לבן זוגה, סיפרה לו על הפגיעה בה ודרשה לעזוב את הדירה.</w:t>
      </w:r>
      <w:r>
        <w:rPr>
          <w:color w:val="FFFFFF"/>
          <w:sz w:val="4"/>
          <w:szCs w:val="4"/>
          <w:rtl/>
        </w:rPr>
        <w:t>ו</w:t>
      </w:r>
    </w:p>
    <w:p w14:paraId="1F71A7D8" w14:textId="77777777" w:rsidR="00910910" w:rsidRDefault="00910910">
      <w:pPr>
        <w:spacing w:after="80" w:line="320" w:lineRule="exact"/>
        <w:ind w:firstLine="283"/>
        <w:rPr>
          <w:rFonts w:hint="cs"/>
          <w:sz w:val="22"/>
          <w:szCs w:val="24"/>
          <w:rtl/>
        </w:rPr>
      </w:pPr>
    </w:p>
    <w:p w14:paraId="6640D837" w14:textId="77777777" w:rsidR="00910910" w:rsidRDefault="00910910">
      <w:pPr>
        <w:spacing w:after="80" w:line="320" w:lineRule="exact"/>
        <w:ind w:firstLine="283"/>
        <w:rPr>
          <w:rFonts w:hint="cs"/>
          <w:sz w:val="22"/>
          <w:szCs w:val="24"/>
          <w:rtl/>
        </w:rPr>
      </w:pPr>
      <w:r>
        <w:rPr>
          <w:rFonts w:hint="cs"/>
          <w:sz w:val="22"/>
          <w:szCs w:val="24"/>
          <w:rtl/>
        </w:rPr>
        <w:t xml:space="preserve">בחקירתה הנגדית אל מול השאלות שהטיח בה הנאשם, עמדה המתלוננת על גרסתה, כי ביצע בה את המעשה שתיארה. בדחותה את טענתו כי עמד במרחק של 3 מטרים ממנה, הסבירה, שלמעשה, היא זו שהתקרבה אליו כדי לעקוב על מהלך תיקון הקלטת, והוא ניצל זאת כדי לבצע בה את זממו: </w:t>
      </w:r>
      <w:r>
        <w:rPr>
          <w:rFonts w:hint="cs"/>
          <w:b/>
          <w:bCs/>
          <w:sz w:val="22"/>
          <w:szCs w:val="24"/>
          <w:rtl/>
        </w:rPr>
        <w:t>"אני זו שהתקרבתי והסתכלתי מה אתה עושה ולא עלה בדעתי שאתה תנצל את זה ותגע לי בחזה ובבטן"</w:t>
      </w:r>
      <w:r>
        <w:rPr>
          <w:rFonts w:hint="cs"/>
          <w:sz w:val="22"/>
          <w:szCs w:val="24"/>
          <w:rtl/>
        </w:rPr>
        <w:t xml:space="preserve"> (עמוד 7 לפרוטוקול שורה 15).</w:t>
      </w:r>
      <w:r>
        <w:rPr>
          <w:color w:val="FFFFFF"/>
          <w:sz w:val="4"/>
          <w:szCs w:val="4"/>
          <w:rtl/>
        </w:rPr>
        <w:t>נ</w:t>
      </w:r>
    </w:p>
    <w:p w14:paraId="60B3B282" w14:textId="77777777" w:rsidR="00910910" w:rsidRDefault="00910910">
      <w:pPr>
        <w:spacing w:after="80" w:line="320" w:lineRule="exact"/>
        <w:ind w:firstLine="283"/>
        <w:rPr>
          <w:rFonts w:hint="cs"/>
          <w:sz w:val="22"/>
          <w:szCs w:val="24"/>
          <w:rtl/>
        </w:rPr>
      </w:pPr>
      <w:r>
        <w:rPr>
          <w:rFonts w:hint="cs"/>
          <w:sz w:val="22"/>
          <w:szCs w:val="24"/>
          <w:rtl/>
        </w:rPr>
        <w:t xml:space="preserve">לשאלת הנאשם אישרה המתלוננת כי מעולם קודם לכן לא פגע בה בשום צורה. באותו יום לראשונה מאז היכרותה עימו נתקלה בצד זה של הנאשם בהתנהגות שתיארה: </w:t>
      </w:r>
      <w:r>
        <w:rPr>
          <w:rFonts w:hint="cs"/>
          <w:b/>
          <w:bCs/>
          <w:sz w:val="22"/>
          <w:szCs w:val="24"/>
          <w:rtl/>
        </w:rPr>
        <w:t xml:space="preserve">"נכון. אף פעם קודם זה לא קרה. אבל הפעם זה כן" </w:t>
      </w:r>
      <w:r>
        <w:rPr>
          <w:rFonts w:hint="cs"/>
          <w:sz w:val="22"/>
          <w:szCs w:val="24"/>
          <w:rtl/>
        </w:rPr>
        <w:t>(עמוד 7 לפרוטוקול שורה 18). בדחותה מכל וכל כי בתלונה שהינה פרי דמיונה מדובר, עמדה בנחרצות על דעתה כי פנייתה למשטרה נעשתה על דעת עצמה, בלא שאיש השפיע עליה או שכנעה לעשות זאת.</w:t>
      </w:r>
      <w:r>
        <w:rPr>
          <w:color w:val="FFFFFF"/>
          <w:sz w:val="4"/>
          <w:szCs w:val="4"/>
          <w:rtl/>
        </w:rPr>
        <w:t>ב</w:t>
      </w:r>
    </w:p>
    <w:p w14:paraId="68D42115" w14:textId="77777777" w:rsidR="00910910" w:rsidRDefault="00910910">
      <w:pPr>
        <w:spacing w:after="80" w:line="320" w:lineRule="exact"/>
        <w:ind w:firstLine="283"/>
        <w:rPr>
          <w:rFonts w:hint="cs"/>
          <w:sz w:val="22"/>
          <w:szCs w:val="24"/>
          <w:rtl/>
        </w:rPr>
      </w:pPr>
    </w:p>
    <w:p w14:paraId="2D060623" w14:textId="77777777" w:rsidR="00910910" w:rsidRDefault="00910910">
      <w:pPr>
        <w:spacing w:after="80" w:line="320" w:lineRule="exact"/>
        <w:ind w:firstLine="283"/>
        <w:rPr>
          <w:rFonts w:hint="cs"/>
          <w:sz w:val="22"/>
          <w:szCs w:val="24"/>
          <w:rtl/>
        </w:rPr>
      </w:pPr>
      <w:r>
        <w:rPr>
          <w:rFonts w:hint="cs"/>
          <w:sz w:val="22"/>
          <w:szCs w:val="24"/>
          <w:rtl/>
        </w:rPr>
        <w:t>בהכחישו מכל וכל עשיית מעשה בעל אופי מיני בגופה של המתלוננת, נאחז הנאשם במחלת הסוכרת בה הוא לוקה, כמוכח מהמסמך הרפואי (נ/2), כנימוק שיש בו כדי להוכיח שאין הוא מסוגל לבצעו.</w:t>
      </w:r>
      <w:r>
        <w:rPr>
          <w:color w:val="FFFFFF"/>
          <w:sz w:val="4"/>
          <w:szCs w:val="4"/>
          <w:rtl/>
        </w:rPr>
        <w:t>ו</w:t>
      </w:r>
    </w:p>
    <w:p w14:paraId="5B262895" w14:textId="77777777" w:rsidR="00910910" w:rsidRDefault="00910910">
      <w:pPr>
        <w:spacing w:after="80" w:line="320" w:lineRule="exact"/>
        <w:ind w:firstLine="283"/>
        <w:rPr>
          <w:rFonts w:hint="cs"/>
          <w:sz w:val="22"/>
          <w:szCs w:val="24"/>
          <w:rtl/>
        </w:rPr>
      </w:pPr>
    </w:p>
    <w:p w14:paraId="61EFBAFD" w14:textId="77777777" w:rsidR="00910910" w:rsidRDefault="00910910">
      <w:pPr>
        <w:spacing w:after="80" w:line="320" w:lineRule="exact"/>
        <w:ind w:firstLine="283"/>
        <w:rPr>
          <w:rFonts w:hint="cs"/>
          <w:sz w:val="22"/>
          <w:szCs w:val="24"/>
          <w:rtl/>
        </w:rPr>
      </w:pPr>
      <w:r>
        <w:rPr>
          <w:rFonts w:hint="cs"/>
          <w:sz w:val="22"/>
          <w:szCs w:val="24"/>
          <w:rtl/>
        </w:rPr>
        <w:t xml:space="preserve">בעדותו אישר הנאשם את גרסת המתלוננת לגבי נסיבות הגעתו לדירה במטרה לסייע לה בתיקון הקלטת. כמו כן, לא כיחד כי בהגיעם לדירה העיר לה על לבושה הלא צנוע שהיה לצנינים בעיניו בשל היותו אדם דתי: </w:t>
      </w:r>
      <w:r>
        <w:rPr>
          <w:rFonts w:hint="cs"/>
          <w:b/>
          <w:bCs/>
          <w:sz w:val="22"/>
          <w:szCs w:val="24"/>
          <w:rtl/>
        </w:rPr>
        <w:t>"אני באופן ספונטני אמרתי תראי אני אדם דתי ואת לובשת לא צנוע. אולי אמרתי לה בטון לא יפה"</w:t>
      </w:r>
      <w:r>
        <w:rPr>
          <w:rFonts w:hint="cs"/>
          <w:sz w:val="22"/>
          <w:szCs w:val="24"/>
          <w:rtl/>
        </w:rPr>
        <w:t>, ותגובתה על הערה זו הייתה זועמת כשדרשה ממנו לעזוב את המקום על אתר. בעדותו, בדומה לאמרתו במשטרה, הודה כי אכן ביקש סליחתה, אך טען כי היה זה על שפגע בה בדבורו.</w:t>
      </w:r>
      <w:r>
        <w:rPr>
          <w:color w:val="FFFFFF"/>
          <w:sz w:val="4"/>
          <w:szCs w:val="4"/>
          <w:rtl/>
        </w:rPr>
        <w:t>נ</w:t>
      </w:r>
    </w:p>
    <w:p w14:paraId="44E5541A" w14:textId="77777777" w:rsidR="00910910" w:rsidRDefault="00910910">
      <w:pPr>
        <w:spacing w:after="80" w:line="320" w:lineRule="exact"/>
        <w:ind w:firstLine="283"/>
        <w:rPr>
          <w:rFonts w:hint="cs"/>
          <w:sz w:val="22"/>
          <w:szCs w:val="24"/>
          <w:rtl/>
        </w:rPr>
      </w:pPr>
    </w:p>
    <w:p w14:paraId="2CD83B45" w14:textId="77777777" w:rsidR="00910910" w:rsidRDefault="00910910">
      <w:pPr>
        <w:spacing w:after="80" w:line="320" w:lineRule="exact"/>
        <w:ind w:firstLine="283"/>
        <w:rPr>
          <w:rFonts w:hint="cs"/>
          <w:sz w:val="22"/>
          <w:szCs w:val="24"/>
          <w:rtl/>
        </w:rPr>
      </w:pPr>
      <w:r>
        <w:rPr>
          <w:rFonts w:hint="cs"/>
          <w:sz w:val="22"/>
          <w:szCs w:val="24"/>
          <w:rtl/>
        </w:rPr>
        <w:t xml:space="preserve">בחקירתו הנגדית הודה הנאשם, כי ההערה על לבושה של המתלוננת לוותה במשפט בעל קונוטציה מינית כשאמר לה כי בלבושה זה היא מגרה אנשים. לשאלת התובעת מדוע בחר לכרוך במשפט גם היבט מיני, השיב תשובה מגוחכת ונעדרת כל הגיון בזו הלשון: </w:t>
      </w:r>
      <w:r>
        <w:rPr>
          <w:rFonts w:hint="cs"/>
          <w:b/>
          <w:bCs/>
          <w:sz w:val="22"/>
          <w:szCs w:val="24"/>
          <w:rtl/>
        </w:rPr>
        <w:t>"כי אני שומר של שלמות הבניין"</w:t>
      </w:r>
      <w:r>
        <w:rPr>
          <w:rFonts w:hint="cs"/>
          <w:sz w:val="22"/>
          <w:szCs w:val="24"/>
          <w:rtl/>
        </w:rPr>
        <w:t xml:space="preserve">.   </w:t>
      </w:r>
      <w:r>
        <w:rPr>
          <w:rFonts w:hint="cs"/>
          <w:b/>
          <w:bCs/>
          <w:sz w:val="22"/>
          <w:szCs w:val="24"/>
          <w:rtl/>
        </w:rPr>
        <w:t xml:space="preserve"> </w:t>
      </w:r>
      <w:r>
        <w:rPr>
          <w:rFonts w:hint="cs"/>
          <w:sz w:val="22"/>
          <w:szCs w:val="24"/>
          <w:rtl/>
        </w:rPr>
        <w:t xml:space="preserve"> </w:t>
      </w:r>
      <w:r>
        <w:rPr>
          <w:rFonts w:hint="cs"/>
          <w:b/>
          <w:bCs/>
          <w:sz w:val="22"/>
          <w:szCs w:val="24"/>
          <w:rtl/>
        </w:rPr>
        <w:t xml:space="preserve"> </w:t>
      </w:r>
      <w:r>
        <w:rPr>
          <w:rFonts w:hint="cs"/>
          <w:sz w:val="22"/>
          <w:szCs w:val="24"/>
          <w:rtl/>
        </w:rPr>
        <w:t xml:space="preserve">       </w:t>
      </w:r>
    </w:p>
    <w:p w14:paraId="7E668707" w14:textId="77777777" w:rsidR="00910910" w:rsidRDefault="00910910">
      <w:pPr>
        <w:spacing w:after="80" w:line="320" w:lineRule="exact"/>
        <w:ind w:firstLine="283"/>
        <w:rPr>
          <w:rFonts w:hint="cs"/>
          <w:sz w:val="22"/>
          <w:szCs w:val="24"/>
          <w:rtl/>
        </w:rPr>
      </w:pPr>
      <w:r>
        <w:rPr>
          <w:rFonts w:hint="cs"/>
          <w:sz w:val="22"/>
          <w:szCs w:val="24"/>
          <w:rtl/>
        </w:rPr>
        <w:t>בהמשך טען כי לא נתכוון באמירה זו לעצמו אלא לאנשים אחרים.</w:t>
      </w:r>
      <w:r>
        <w:rPr>
          <w:color w:val="FFFFFF"/>
          <w:sz w:val="4"/>
          <w:szCs w:val="4"/>
          <w:rtl/>
        </w:rPr>
        <w:t>ב</w:t>
      </w:r>
    </w:p>
    <w:p w14:paraId="3E5703E4" w14:textId="77777777" w:rsidR="00910910" w:rsidRDefault="00910910">
      <w:pPr>
        <w:spacing w:after="80" w:line="320" w:lineRule="exact"/>
        <w:ind w:firstLine="283"/>
        <w:rPr>
          <w:rFonts w:hint="cs"/>
          <w:sz w:val="22"/>
          <w:szCs w:val="24"/>
          <w:rtl/>
        </w:rPr>
      </w:pPr>
    </w:p>
    <w:p w14:paraId="2B3D0E7B" w14:textId="77777777" w:rsidR="00910910" w:rsidRDefault="00910910">
      <w:pPr>
        <w:spacing w:after="80" w:line="320" w:lineRule="exact"/>
        <w:ind w:firstLine="283"/>
        <w:rPr>
          <w:rFonts w:hint="cs"/>
          <w:sz w:val="22"/>
          <w:szCs w:val="24"/>
          <w:rtl/>
        </w:rPr>
      </w:pPr>
      <w:r>
        <w:rPr>
          <w:rFonts w:hint="cs"/>
          <w:sz w:val="22"/>
          <w:szCs w:val="24"/>
          <w:rtl/>
        </w:rPr>
        <w:t xml:space="preserve">הנאשם הודה כי מעולם לא נתגלע בינו לבין המתלוננת או בן זוגה סכסוך בנושא שכירות הדירה או בנושאים אחרים. כשנדרש לשאלה המתבקשת על שום מה ולמה תטווה נגדו המתלוננת, ללא כל מניע נראה לעין, סיפור בדים זה, השיב כי ככל הנראה ידה של אחת השכנות במעשה בהסתת המתלוננת נגדו. </w:t>
      </w:r>
    </w:p>
    <w:p w14:paraId="6061578D" w14:textId="77777777" w:rsidR="00910910" w:rsidRDefault="00910910">
      <w:pPr>
        <w:spacing w:after="80" w:line="320" w:lineRule="exact"/>
        <w:ind w:firstLine="283"/>
        <w:rPr>
          <w:rFonts w:hint="cs"/>
          <w:sz w:val="22"/>
          <w:szCs w:val="24"/>
          <w:rtl/>
        </w:rPr>
      </w:pPr>
      <w:r>
        <w:rPr>
          <w:rFonts w:hint="cs"/>
          <w:sz w:val="22"/>
          <w:szCs w:val="24"/>
          <w:rtl/>
        </w:rPr>
        <w:t>למותר לציין, שמעבר לאמירה בעלמא, לא נמצא לסיפור הקונספירציה וההסתה - כל סימוכין.</w:t>
      </w:r>
      <w:r>
        <w:rPr>
          <w:color w:val="FFFFFF"/>
          <w:sz w:val="4"/>
          <w:szCs w:val="4"/>
          <w:rtl/>
        </w:rPr>
        <w:t>ו</w:t>
      </w:r>
    </w:p>
    <w:p w14:paraId="1168B862" w14:textId="77777777" w:rsidR="00910910" w:rsidRDefault="00910910">
      <w:pPr>
        <w:spacing w:after="80" w:line="320" w:lineRule="exact"/>
        <w:ind w:firstLine="283"/>
        <w:rPr>
          <w:rFonts w:hint="cs"/>
          <w:sz w:val="22"/>
          <w:szCs w:val="24"/>
          <w:rtl/>
        </w:rPr>
      </w:pPr>
    </w:p>
    <w:p w14:paraId="79763A40" w14:textId="77777777" w:rsidR="00910910" w:rsidRDefault="00910910">
      <w:pPr>
        <w:spacing w:after="80" w:line="320" w:lineRule="exact"/>
        <w:ind w:firstLine="283"/>
        <w:rPr>
          <w:rFonts w:hint="cs"/>
          <w:sz w:val="22"/>
          <w:szCs w:val="24"/>
          <w:rtl/>
        </w:rPr>
      </w:pPr>
      <w:r>
        <w:rPr>
          <w:rFonts w:hint="cs"/>
          <w:sz w:val="22"/>
          <w:szCs w:val="24"/>
          <w:rtl/>
        </w:rPr>
        <w:t>ואומר עתה ומיד.</w:t>
      </w:r>
      <w:r>
        <w:rPr>
          <w:color w:val="FFFFFF"/>
          <w:sz w:val="4"/>
          <w:szCs w:val="4"/>
          <w:rtl/>
        </w:rPr>
        <w:t>נ</w:t>
      </w:r>
    </w:p>
    <w:p w14:paraId="47A5A15C" w14:textId="77777777" w:rsidR="00910910" w:rsidRDefault="00910910">
      <w:pPr>
        <w:spacing w:after="80" w:line="320" w:lineRule="exact"/>
        <w:ind w:firstLine="283"/>
        <w:rPr>
          <w:rFonts w:hint="cs"/>
          <w:sz w:val="22"/>
          <w:szCs w:val="24"/>
          <w:rtl/>
        </w:rPr>
      </w:pPr>
      <w:r>
        <w:rPr>
          <w:rFonts w:hint="cs"/>
          <w:sz w:val="22"/>
          <w:szCs w:val="24"/>
          <w:rtl/>
        </w:rPr>
        <w:lastRenderedPageBreak/>
        <w:t>אני מעדיפה ללא ספק את גרסתה של המתלוננת על פני גרסת הנאשם.</w:t>
      </w:r>
      <w:r>
        <w:rPr>
          <w:color w:val="FFFFFF"/>
          <w:sz w:val="4"/>
          <w:szCs w:val="4"/>
          <w:rtl/>
        </w:rPr>
        <w:t>ב</w:t>
      </w:r>
    </w:p>
    <w:p w14:paraId="382C26DB" w14:textId="77777777" w:rsidR="00910910" w:rsidRDefault="00910910">
      <w:pPr>
        <w:spacing w:after="80" w:line="320" w:lineRule="exact"/>
        <w:ind w:firstLine="283"/>
        <w:rPr>
          <w:rFonts w:hint="cs"/>
          <w:sz w:val="22"/>
          <w:szCs w:val="24"/>
          <w:rtl/>
        </w:rPr>
      </w:pPr>
      <w:r>
        <w:rPr>
          <w:rFonts w:hint="cs"/>
          <w:sz w:val="22"/>
          <w:szCs w:val="24"/>
          <w:rtl/>
        </w:rPr>
        <w:t>המתלוננת מסרה לטעמי עדות סדורה, עניינית ועקבית שלא נסתרה. העדה העידה בצורה שקולה ובלתי מתלהמת ובה בעת מתוך שכנוע פנימי עמוק. קשה היה שלא להתרשם מהסגנון האישי ומהביטוי האותנטי של תיאורה את מהלך הדברים שניכר היה בו כי הוא מסופר על ידי מי שחוותה אותה על בשרה. לא ניתן היה גם שלא לחוש ברגשותיה ובעלבונה הצורב של המתלוננת על שכך נתגלגל האירוע לכדי פגיעה בכבודה כאישה וכאדם, עת נרמס ברגל גסה על לא עוול בכפה.</w:t>
      </w:r>
      <w:r>
        <w:rPr>
          <w:color w:val="FFFFFF"/>
          <w:sz w:val="4"/>
          <w:szCs w:val="4"/>
          <w:rtl/>
        </w:rPr>
        <w:t>ו</w:t>
      </w:r>
    </w:p>
    <w:p w14:paraId="10DB70A2" w14:textId="77777777" w:rsidR="00910910" w:rsidRDefault="00910910">
      <w:pPr>
        <w:spacing w:after="80" w:line="320" w:lineRule="exact"/>
        <w:ind w:firstLine="283"/>
        <w:rPr>
          <w:rFonts w:hint="cs"/>
          <w:sz w:val="22"/>
          <w:szCs w:val="24"/>
          <w:rtl/>
        </w:rPr>
      </w:pPr>
    </w:p>
    <w:p w14:paraId="4D7CBEDB" w14:textId="77777777" w:rsidR="00910910" w:rsidRDefault="00910910">
      <w:pPr>
        <w:spacing w:after="80" w:line="320" w:lineRule="exact"/>
        <w:ind w:firstLine="283"/>
        <w:rPr>
          <w:rFonts w:hint="cs"/>
          <w:sz w:val="22"/>
          <w:szCs w:val="24"/>
          <w:rtl/>
        </w:rPr>
      </w:pPr>
      <w:r>
        <w:rPr>
          <w:rFonts w:hint="cs"/>
          <w:sz w:val="22"/>
          <w:szCs w:val="24"/>
          <w:rtl/>
        </w:rPr>
        <w:t>התרשמתי מכנותה ומאותות האמת בדבריה כמו גם מהפרטים שמסרה שניכר היה בהם שאינם המצאה או דקלום, אלא שיקוף של המציאות כהוויתה. הדברים נמסרו ברצף ובאופן שוטף, ולא למקוטעין, ודאי לא כמי שמספרת סיפור בדים. האפשרות כי עסקינן בתלונת סרק יציר דמיון פרוע אינה מתקבלת על הדעת בהעדר כל עילה או סיבה לעשות זאת.</w:t>
      </w:r>
      <w:r>
        <w:rPr>
          <w:color w:val="FFFFFF"/>
          <w:sz w:val="4"/>
          <w:szCs w:val="4"/>
          <w:rtl/>
        </w:rPr>
        <w:t>נ</w:t>
      </w:r>
    </w:p>
    <w:p w14:paraId="45B2C6C1" w14:textId="77777777" w:rsidR="00910910" w:rsidRDefault="00910910">
      <w:pPr>
        <w:spacing w:after="80" w:line="320" w:lineRule="exact"/>
        <w:ind w:firstLine="283"/>
        <w:rPr>
          <w:rFonts w:hint="cs"/>
          <w:sz w:val="22"/>
          <w:szCs w:val="24"/>
          <w:rtl/>
        </w:rPr>
      </w:pPr>
    </w:p>
    <w:p w14:paraId="767FA2DE" w14:textId="77777777" w:rsidR="00910910" w:rsidRDefault="00910910">
      <w:pPr>
        <w:spacing w:after="80" w:line="320" w:lineRule="exact"/>
        <w:ind w:firstLine="283"/>
        <w:rPr>
          <w:rFonts w:hint="cs"/>
          <w:sz w:val="22"/>
          <w:szCs w:val="24"/>
          <w:rtl/>
        </w:rPr>
      </w:pPr>
      <w:r>
        <w:rPr>
          <w:rFonts w:hint="cs"/>
          <w:sz w:val="22"/>
          <w:szCs w:val="24"/>
          <w:rtl/>
        </w:rPr>
        <w:t xml:space="preserve">הסיטואציה שתיארה המתלוננת, יש לומר, אינה שגרתית. אך יחד עם זאת, מתיישבת עם הנסיבות. </w:t>
      </w:r>
    </w:p>
    <w:p w14:paraId="199806CD" w14:textId="77777777" w:rsidR="00910910" w:rsidRDefault="00910910">
      <w:pPr>
        <w:spacing w:after="80" w:line="320" w:lineRule="exact"/>
        <w:ind w:firstLine="283"/>
        <w:rPr>
          <w:rFonts w:hint="cs"/>
          <w:sz w:val="22"/>
          <w:szCs w:val="24"/>
          <w:rtl/>
        </w:rPr>
      </w:pPr>
      <w:r>
        <w:rPr>
          <w:rFonts w:hint="cs"/>
          <w:sz w:val="22"/>
          <w:szCs w:val="24"/>
          <w:rtl/>
        </w:rPr>
        <w:t>ראיתי את המתלוננת בעומדה על דוכן העדים. בפניי ניצבה אישה צעירה, אם לילד, שלמרות שנותיה היה דבר - מה ילדותי באופן מסירת העדות ובצורת הביטוי. אך דווקא אספקט זה שווה לעדותה יתר אמינות ומשנה מהימנות. אין זה סביר בעיני, שעדה זו, שלא נחנה בתחכום רב ולא בפלפול, תמציא סיפור כזבים זה, ללא כל סיבה נראית לעין. לא רק זאת אף זאת, המתלוננת הקפידה להתמקד בתלונה מצומצמת ולא הפריזה וגם לא נפחה את האירוע מעבר לממדיו הצרים, ולא יחסה לנאשם דבר מעבר לדברים שמסרה במשטרה. דרך התנהגות זו אינה מאפיינת התנהגות של מי שטווה עלילה במטרה לפגוע באשם אחר.</w:t>
      </w:r>
      <w:r>
        <w:rPr>
          <w:color w:val="FFFFFF"/>
          <w:sz w:val="4"/>
          <w:szCs w:val="4"/>
          <w:rtl/>
        </w:rPr>
        <w:t>ב</w:t>
      </w:r>
    </w:p>
    <w:p w14:paraId="7849AC87" w14:textId="77777777" w:rsidR="00910910" w:rsidRDefault="00910910">
      <w:pPr>
        <w:spacing w:after="80" w:line="320" w:lineRule="exact"/>
        <w:ind w:firstLine="283"/>
        <w:rPr>
          <w:rFonts w:hint="cs"/>
          <w:sz w:val="22"/>
          <w:szCs w:val="24"/>
          <w:rtl/>
        </w:rPr>
      </w:pPr>
      <w:r>
        <w:rPr>
          <w:rFonts w:hint="cs"/>
          <w:sz w:val="22"/>
          <w:szCs w:val="24"/>
          <w:rtl/>
        </w:rPr>
        <w:t>גם תיאור מצבה הנפשי לאחר האירוע והמהירות בה ניגשה למשטרה מחזקים רושם זה.</w:t>
      </w:r>
      <w:r>
        <w:rPr>
          <w:color w:val="FFFFFF"/>
          <w:sz w:val="4"/>
          <w:szCs w:val="4"/>
          <w:rtl/>
        </w:rPr>
        <w:t>ו</w:t>
      </w:r>
    </w:p>
    <w:p w14:paraId="3D6CB0E0" w14:textId="77777777" w:rsidR="00910910" w:rsidRDefault="00910910">
      <w:pPr>
        <w:spacing w:after="80" w:line="320" w:lineRule="exact"/>
        <w:ind w:firstLine="283"/>
        <w:rPr>
          <w:rFonts w:hint="cs"/>
          <w:sz w:val="22"/>
          <w:szCs w:val="24"/>
          <w:rtl/>
        </w:rPr>
      </w:pPr>
    </w:p>
    <w:p w14:paraId="0DCA68B4" w14:textId="77777777" w:rsidR="00910910" w:rsidRDefault="00910910">
      <w:pPr>
        <w:spacing w:after="80" w:line="320" w:lineRule="exact"/>
        <w:ind w:firstLine="283"/>
        <w:rPr>
          <w:rFonts w:hint="cs"/>
          <w:sz w:val="22"/>
          <w:szCs w:val="24"/>
          <w:rtl/>
        </w:rPr>
      </w:pPr>
      <w:r>
        <w:rPr>
          <w:rFonts w:hint="cs"/>
          <w:sz w:val="22"/>
          <w:szCs w:val="24"/>
          <w:rtl/>
        </w:rPr>
        <w:t>יתירה מזו.</w:t>
      </w:r>
    </w:p>
    <w:p w14:paraId="291F8760" w14:textId="77777777" w:rsidR="00910910" w:rsidRDefault="00910910">
      <w:pPr>
        <w:spacing w:after="80" w:line="320" w:lineRule="exact"/>
        <w:ind w:firstLine="283"/>
        <w:rPr>
          <w:rFonts w:hint="cs"/>
          <w:sz w:val="22"/>
          <w:szCs w:val="24"/>
          <w:rtl/>
        </w:rPr>
      </w:pPr>
      <w:r>
        <w:rPr>
          <w:rFonts w:hint="cs"/>
          <w:sz w:val="22"/>
          <w:szCs w:val="24"/>
          <w:rtl/>
        </w:rPr>
        <w:t>לא מצאתי כל ממש בדברי הנאשם כאילו בשל מיקום הדירה בקומת הקרקע ודלת הכניסה שנותרה פתוחה, לא ייתכן שאיש לא ראה את המעשה הנטען כלפיו. ראשית, האירוע התרחש בתוך ד' אמות הדירה, כך שסביר כי אפילו מאן דהוא חלף בחדר המדרגות הוא לא היה מטריח עצמו להציץ לתוככי הדירה. מכל מקום, אפשרות זו נותרה ברמה תיאורטית בלבד. שנית, מדובר באירוע שארך שניות - כהרף עין ממש. בהחלט אפשרי, שאפילו עבר מישהו בחדר המדרגות באותן דקותיים, הוא לא יכול היה להבחין במעשה או למצער להבין את שרואות עיניו.</w:t>
      </w:r>
    </w:p>
    <w:p w14:paraId="39993A61" w14:textId="77777777" w:rsidR="00910910" w:rsidRDefault="00910910">
      <w:pPr>
        <w:spacing w:after="80" w:line="320" w:lineRule="exact"/>
        <w:ind w:firstLine="283"/>
        <w:rPr>
          <w:rFonts w:hint="cs"/>
          <w:sz w:val="22"/>
          <w:szCs w:val="24"/>
          <w:rtl/>
        </w:rPr>
      </w:pPr>
    </w:p>
    <w:p w14:paraId="4661602C" w14:textId="77777777" w:rsidR="00910910" w:rsidRDefault="00910910">
      <w:pPr>
        <w:spacing w:after="80" w:line="320" w:lineRule="exact"/>
        <w:ind w:firstLine="283"/>
        <w:rPr>
          <w:rFonts w:hint="cs"/>
          <w:sz w:val="22"/>
          <w:szCs w:val="24"/>
          <w:rtl/>
        </w:rPr>
      </w:pPr>
      <w:r>
        <w:rPr>
          <w:rFonts w:hint="cs"/>
          <w:sz w:val="22"/>
          <w:szCs w:val="24"/>
          <w:rtl/>
        </w:rPr>
        <w:t xml:space="preserve">לא רק שלא מצאתי בסיס עובדתי שהמתלוננת החליטה לטפול אשמת שווא על הנאשם, אלא שטענה זו נשללת מעצם העובדה, שגם לפי דבריה, אירוע מסוג זה מעולם לא אירע קודם לכן וכן מן העובדה שהנאשם ביקש את סליחתה. </w:t>
      </w:r>
    </w:p>
    <w:p w14:paraId="20B35606" w14:textId="77777777" w:rsidR="00910910" w:rsidRDefault="00910910">
      <w:pPr>
        <w:spacing w:after="80" w:line="320" w:lineRule="exact"/>
        <w:ind w:firstLine="283"/>
        <w:rPr>
          <w:rFonts w:hint="cs"/>
          <w:sz w:val="22"/>
          <w:szCs w:val="24"/>
          <w:rtl/>
        </w:rPr>
      </w:pPr>
      <w:r>
        <w:rPr>
          <w:rFonts w:hint="cs"/>
          <w:sz w:val="22"/>
          <w:szCs w:val="24"/>
          <w:rtl/>
        </w:rPr>
        <w:t xml:space="preserve">נסיונו של הנאשם לייחס לאחת השכנות תפקיד בהתססת המתלוננת ובהסתה נגדו נותר ללא כל בסיס עובדתי אמיתי, ויותר משהוא מסייע לו הרי הוא פוגע באמינותו ובקו ההגנה שלו. </w:t>
      </w:r>
    </w:p>
    <w:p w14:paraId="1AF7D616" w14:textId="77777777" w:rsidR="00910910" w:rsidRDefault="00910910">
      <w:pPr>
        <w:spacing w:after="80" w:line="320" w:lineRule="exact"/>
        <w:ind w:firstLine="283"/>
        <w:rPr>
          <w:rFonts w:hint="cs"/>
          <w:sz w:val="22"/>
          <w:szCs w:val="24"/>
          <w:rtl/>
        </w:rPr>
      </w:pPr>
    </w:p>
    <w:p w14:paraId="30DCBC6C" w14:textId="77777777" w:rsidR="00910910" w:rsidRDefault="00910910">
      <w:pPr>
        <w:spacing w:after="80" w:line="320" w:lineRule="exact"/>
        <w:ind w:firstLine="283"/>
        <w:rPr>
          <w:rFonts w:hint="cs"/>
          <w:sz w:val="22"/>
          <w:szCs w:val="24"/>
          <w:rtl/>
        </w:rPr>
      </w:pPr>
      <w:r>
        <w:rPr>
          <w:rFonts w:hint="cs"/>
          <w:sz w:val="22"/>
          <w:szCs w:val="24"/>
          <w:rtl/>
        </w:rPr>
        <w:t>אני מוצאת חיזוק לגרסת המתלוננת בהודיית הנאשם באספקט ובהיבט המיני שהוא ייחס ללבושה ובאופיו המגרה -  הודייה שיש בה כדי להעיד כי יש דברים בגו. גם הטענה בדבר השפעת מחלת הסוכרת על כושרו המיני, אין בה כדי לסייע לנאשם, שהרי נגיעה בחזה ובבטנה של המתלוננת אינה בגדר כושר "מיני", במובן הרגיל של המילה.</w:t>
      </w:r>
    </w:p>
    <w:p w14:paraId="1F353814" w14:textId="77777777" w:rsidR="00910910" w:rsidRDefault="00910910">
      <w:pPr>
        <w:spacing w:after="80" w:line="320" w:lineRule="exact"/>
        <w:ind w:firstLine="283"/>
        <w:rPr>
          <w:rFonts w:hint="cs"/>
          <w:sz w:val="22"/>
          <w:szCs w:val="24"/>
          <w:rtl/>
        </w:rPr>
      </w:pPr>
    </w:p>
    <w:p w14:paraId="57B51D9F" w14:textId="77777777" w:rsidR="00910910" w:rsidRDefault="00910910">
      <w:pPr>
        <w:spacing w:after="80" w:line="320" w:lineRule="exact"/>
        <w:ind w:firstLine="283"/>
        <w:rPr>
          <w:rFonts w:hint="cs"/>
          <w:sz w:val="22"/>
          <w:szCs w:val="24"/>
          <w:rtl/>
        </w:rPr>
      </w:pPr>
      <w:r>
        <w:rPr>
          <w:rFonts w:hint="cs"/>
          <w:sz w:val="22"/>
          <w:szCs w:val="24"/>
          <w:rtl/>
        </w:rPr>
        <w:t>כאשר אני מציבה את עדותה החד משמעית והמהימנה של המתלוננת אל מול עדות הנאשם - המגלמת בתוכה הכחשה גורפת נעדרת כל הסבר ומניע אפשרי מצידה להמציא נגדו תלונה כוזבת, המסקנה היא שיש לבכרה על פניה.</w:t>
      </w:r>
    </w:p>
    <w:p w14:paraId="5A3E4C1B" w14:textId="77777777" w:rsidR="00910910" w:rsidRDefault="00910910">
      <w:pPr>
        <w:spacing w:after="80" w:line="320" w:lineRule="exact"/>
        <w:ind w:firstLine="283"/>
        <w:rPr>
          <w:rFonts w:hint="cs"/>
          <w:sz w:val="22"/>
          <w:szCs w:val="24"/>
          <w:rtl/>
        </w:rPr>
      </w:pPr>
      <w:r>
        <w:rPr>
          <w:rFonts w:hint="cs"/>
          <w:sz w:val="22"/>
          <w:szCs w:val="24"/>
          <w:rtl/>
        </w:rPr>
        <w:t>עדותה של המתלוננת יוצרת לטעמי תמונה ברורה וחד משמעית, שאינה מותירה מקום לספק בדבר אשמת הנאשם, כאשר אין בתשובותיו ובהסבריו כדי להתמודד עמה בהצלחה.</w:t>
      </w:r>
    </w:p>
    <w:p w14:paraId="22FA7E81" w14:textId="77777777" w:rsidR="00910910" w:rsidRDefault="00910910">
      <w:pPr>
        <w:spacing w:after="80" w:line="320" w:lineRule="exact"/>
        <w:ind w:firstLine="283"/>
        <w:rPr>
          <w:rFonts w:hint="cs"/>
          <w:sz w:val="22"/>
          <w:szCs w:val="24"/>
          <w:rtl/>
        </w:rPr>
      </w:pPr>
    </w:p>
    <w:p w14:paraId="7ED3D468" w14:textId="77777777" w:rsidR="00910910" w:rsidRDefault="00910910">
      <w:pPr>
        <w:spacing w:after="80" w:line="320" w:lineRule="exact"/>
        <w:ind w:firstLine="283"/>
        <w:rPr>
          <w:rFonts w:hint="cs"/>
          <w:sz w:val="22"/>
          <w:szCs w:val="24"/>
          <w:rtl/>
        </w:rPr>
      </w:pPr>
      <w:r>
        <w:rPr>
          <w:rFonts w:hint="cs"/>
          <w:sz w:val="22"/>
          <w:szCs w:val="24"/>
          <w:rtl/>
        </w:rPr>
        <w:t xml:space="preserve">סיכומו של דבר, הנני קובעת כי התביעה הוכיחה את האשמה מעבר לכל ספק סביר, ולפיכך יורשע הנאשם בעבירה המיוחסת לו של מעשה מגונה, לפי </w:t>
      </w:r>
      <w:hyperlink r:id="rId10" w:history="1">
        <w:r w:rsidR="006E76D8" w:rsidRPr="006E76D8">
          <w:rPr>
            <w:rStyle w:val="Hyperlink"/>
            <w:rFonts w:hint="eastAsia"/>
            <w:sz w:val="22"/>
            <w:szCs w:val="24"/>
            <w:rtl/>
          </w:rPr>
          <w:t>סעיף</w:t>
        </w:r>
        <w:r w:rsidR="006E76D8" w:rsidRPr="006E76D8">
          <w:rPr>
            <w:rStyle w:val="Hyperlink"/>
            <w:sz w:val="22"/>
            <w:szCs w:val="24"/>
            <w:rtl/>
          </w:rPr>
          <w:t xml:space="preserve"> 348 (ג)</w:t>
        </w:r>
      </w:hyperlink>
      <w:r>
        <w:rPr>
          <w:rFonts w:hint="cs"/>
          <w:sz w:val="22"/>
          <w:szCs w:val="24"/>
          <w:rtl/>
        </w:rPr>
        <w:t xml:space="preserve"> </w:t>
      </w:r>
      <w:bookmarkStart w:id="12" w:name="Decision1"/>
      <w:r>
        <w:rPr>
          <w:rFonts w:hint="cs"/>
          <w:sz w:val="22"/>
          <w:szCs w:val="24"/>
          <w:rtl/>
        </w:rPr>
        <w:t>ל</w:t>
      </w:r>
      <w:hyperlink r:id="rId11" w:history="1">
        <w:r w:rsidR="008D375C" w:rsidRPr="008D375C">
          <w:rPr>
            <w:rStyle w:val="Hyperlink"/>
            <w:rFonts w:hint="eastAsia"/>
            <w:sz w:val="22"/>
            <w:szCs w:val="24"/>
            <w:rtl/>
          </w:rPr>
          <w:t>חוק</w:t>
        </w:r>
        <w:r w:rsidR="008D375C" w:rsidRPr="008D375C">
          <w:rPr>
            <w:rStyle w:val="Hyperlink"/>
            <w:sz w:val="22"/>
            <w:szCs w:val="24"/>
            <w:rtl/>
          </w:rPr>
          <w:t xml:space="preserve"> העונשין</w:t>
        </w:r>
      </w:hyperlink>
      <w:r>
        <w:rPr>
          <w:rFonts w:hint="cs"/>
          <w:sz w:val="22"/>
          <w:szCs w:val="24"/>
          <w:rtl/>
        </w:rPr>
        <w:t>, התשל"ז-1977.</w:t>
      </w:r>
    </w:p>
    <w:p w14:paraId="1F8886CE" w14:textId="77777777" w:rsidR="00910910" w:rsidRDefault="00910910">
      <w:pPr>
        <w:spacing w:after="80" w:line="320" w:lineRule="exact"/>
        <w:ind w:firstLine="283"/>
        <w:rPr>
          <w:rFonts w:hint="cs"/>
          <w:b/>
          <w:bCs/>
          <w:sz w:val="22"/>
          <w:szCs w:val="24"/>
          <w:rtl/>
        </w:rPr>
      </w:pPr>
    </w:p>
    <w:p w14:paraId="53A84B66" w14:textId="77777777" w:rsidR="00910910" w:rsidRDefault="00910910">
      <w:pPr>
        <w:spacing w:after="80" w:line="320" w:lineRule="exact"/>
        <w:ind w:firstLine="283"/>
        <w:rPr>
          <w:rFonts w:hint="cs"/>
          <w:b/>
          <w:bCs/>
          <w:sz w:val="22"/>
          <w:szCs w:val="24"/>
          <w:rtl/>
        </w:rPr>
      </w:pPr>
      <w:r>
        <w:rPr>
          <w:rFonts w:hint="cs"/>
          <w:b/>
          <w:bCs/>
          <w:sz w:val="22"/>
          <w:szCs w:val="24"/>
          <w:rtl/>
        </w:rPr>
        <w:t>ניתנה היום י"ב באלול, תשס"ג (9 בספטמבר 2003) במעמד הצדדים.</w:t>
      </w:r>
    </w:p>
    <w:p w14:paraId="7A617B97" w14:textId="77777777" w:rsidR="00910910" w:rsidRDefault="00910910">
      <w:pPr>
        <w:spacing w:after="80" w:line="320" w:lineRule="exact"/>
        <w:ind w:firstLine="283"/>
        <w:rPr>
          <w:rFonts w:hint="cs"/>
          <w:b/>
          <w:bCs/>
          <w:sz w:val="22"/>
          <w:szCs w:val="24"/>
          <w:rtl/>
        </w:rPr>
      </w:pPr>
    </w:p>
    <w:tbl>
      <w:tblPr>
        <w:tblW w:w="0" w:type="auto"/>
        <w:tblInd w:w="5727" w:type="dxa"/>
        <w:tblBorders>
          <w:top w:val="single" w:sz="4" w:space="0" w:color="auto"/>
        </w:tblBorders>
        <w:tblLook w:val="0000" w:firstRow="0" w:lastRow="0" w:firstColumn="0" w:lastColumn="0" w:noHBand="0" w:noVBand="0"/>
      </w:tblPr>
      <w:tblGrid>
        <w:gridCol w:w="2802"/>
      </w:tblGrid>
      <w:tr w:rsidR="00910910" w14:paraId="14C35B40" w14:textId="77777777">
        <w:tc>
          <w:tcPr>
            <w:tcW w:w="2802" w:type="dxa"/>
            <w:tcBorders>
              <w:top w:val="single" w:sz="4" w:space="0" w:color="auto"/>
              <w:left w:val="nil"/>
              <w:bottom w:val="nil"/>
              <w:right w:val="nil"/>
            </w:tcBorders>
          </w:tcPr>
          <w:p w14:paraId="08CF5382" w14:textId="77777777" w:rsidR="00910910" w:rsidRDefault="00910910">
            <w:pPr>
              <w:spacing w:after="80" w:line="320" w:lineRule="exact"/>
              <w:ind w:firstLine="283"/>
              <w:rPr>
                <w:b/>
                <w:bCs/>
                <w:sz w:val="22"/>
                <w:szCs w:val="24"/>
              </w:rPr>
            </w:pPr>
            <w:r>
              <w:rPr>
                <w:rFonts w:hint="cs"/>
                <w:b/>
                <w:bCs/>
                <w:sz w:val="22"/>
                <w:szCs w:val="24"/>
                <w:rtl/>
              </w:rPr>
              <w:t>מ.דיסקין, שופטת</w:t>
            </w:r>
          </w:p>
        </w:tc>
      </w:tr>
    </w:tbl>
    <w:p w14:paraId="2590627F" w14:textId="77777777" w:rsidR="00910910" w:rsidRDefault="00910910">
      <w:pPr>
        <w:spacing w:after="80" w:line="320" w:lineRule="exact"/>
        <w:ind w:firstLine="283"/>
        <w:rPr>
          <w:rFonts w:hint="cs"/>
          <w:b/>
          <w:bCs/>
          <w:color w:val="FF0000"/>
          <w:sz w:val="22"/>
          <w:szCs w:val="24"/>
          <w:rtl/>
        </w:rPr>
      </w:pPr>
    </w:p>
    <w:p w14:paraId="2F1F571D" w14:textId="77777777" w:rsidR="00910910" w:rsidRDefault="00910910">
      <w:pPr>
        <w:spacing w:after="80" w:line="320" w:lineRule="exact"/>
        <w:ind w:firstLine="283"/>
        <w:rPr>
          <w:sz w:val="22"/>
          <w:szCs w:val="24"/>
          <w:rtl/>
        </w:rPr>
      </w:pPr>
    </w:p>
    <w:p w14:paraId="605DB71E" w14:textId="77777777" w:rsidR="00910910" w:rsidRDefault="00910910">
      <w:pPr>
        <w:spacing w:after="80" w:line="320" w:lineRule="exact"/>
        <w:ind w:firstLine="283"/>
        <w:rPr>
          <w:rFonts w:hint="cs"/>
          <w:sz w:val="22"/>
          <w:szCs w:val="24"/>
          <w:rtl/>
        </w:rPr>
      </w:pPr>
    </w:p>
    <w:bookmarkEnd w:id="12"/>
    <w:p w14:paraId="0646F3F6" w14:textId="77777777" w:rsidR="00910910" w:rsidRDefault="00910910">
      <w:pPr>
        <w:spacing w:after="80" w:line="320" w:lineRule="exact"/>
        <w:ind w:firstLine="283"/>
        <w:rPr>
          <w:b/>
          <w:bCs/>
          <w:sz w:val="22"/>
          <w:szCs w:val="24"/>
          <w:rtl/>
        </w:rPr>
      </w:pPr>
      <w:r>
        <w:rPr>
          <w:rFonts w:hint="cs"/>
          <w:b/>
          <w:bCs/>
          <w:sz w:val="22"/>
          <w:szCs w:val="24"/>
          <w:rtl/>
        </w:rPr>
        <w:t>טיעונים לעונש</w:t>
      </w:r>
    </w:p>
    <w:p w14:paraId="6B09D3B8" w14:textId="77777777" w:rsidR="00910910" w:rsidRDefault="00910910">
      <w:pPr>
        <w:spacing w:after="80" w:line="320" w:lineRule="exact"/>
        <w:ind w:firstLine="283"/>
        <w:rPr>
          <w:rFonts w:hint="cs"/>
          <w:b/>
          <w:bCs/>
          <w:sz w:val="22"/>
          <w:szCs w:val="24"/>
          <w:rtl/>
        </w:rPr>
      </w:pPr>
      <w:r>
        <w:rPr>
          <w:rFonts w:hint="cs"/>
          <w:b/>
          <w:bCs/>
          <w:sz w:val="22"/>
          <w:szCs w:val="24"/>
          <w:rtl/>
        </w:rPr>
        <w:t>התובעת:</w:t>
      </w:r>
    </w:p>
    <w:p w14:paraId="730C3240" w14:textId="77777777" w:rsidR="00910910" w:rsidRDefault="00910910">
      <w:pPr>
        <w:spacing w:after="80" w:line="320" w:lineRule="exact"/>
        <w:ind w:firstLine="283"/>
        <w:rPr>
          <w:rFonts w:hint="cs"/>
          <w:sz w:val="22"/>
          <w:szCs w:val="24"/>
          <w:rtl/>
        </w:rPr>
      </w:pPr>
      <w:r>
        <w:rPr>
          <w:rFonts w:hint="cs"/>
          <w:sz w:val="22"/>
          <w:szCs w:val="24"/>
          <w:rtl/>
        </w:rPr>
        <w:t xml:space="preserve">אני מגישה את גליון הרשעותיו של הנאשם. הוגש וסומן ת/3. לחובתו הרשעה קודמת אחת משנת 2002 בעבירות איומים ותקיפה חבלנית. </w:t>
      </w:r>
    </w:p>
    <w:p w14:paraId="35F0BD8F" w14:textId="77777777" w:rsidR="00910910" w:rsidRDefault="00910910">
      <w:pPr>
        <w:spacing w:after="80" w:line="320" w:lineRule="exact"/>
        <w:ind w:firstLine="283"/>
        <w:rPr>
          <w:rFonts w:hint="cs"/>
          <w:sz w:val="22"/>
          <w:szCs w:val="24"/>
          <w:rtl/>
        </w:rPr>
      </w:pPr>
      <w:r>
        <w:rPr>
          <w:rFonts w:hint="cs"/>
          <w:sz w:val="22"/>
          <w:szCs w:val="24"/>
          <w:rtl/>
        </w:rPr>
        <w:t xml:space="preserve">המתלוננת אשר בית המשפט שמע אותה, בטחה בנאשם זה, נתנה בו אמון והכניסה אותו לדירתה על מנת שיעזור לה לתקן קלטת ואילו הנאשם ניצל את תמימותה וניצל את היותה לבדה ושלח אליה את ידיו ונגע באברים אינטימיים ועשה בה מעשה מגונה. יש להזהיר את הנאשם ואת האחרים כי מדובר במעשה שלא ייעשה הוא פגע במתלוננת בכבודה, מעשה שהשפיע עליה קשות כפי שתיארתה . על הנאשם להבין כי גופם של האחרים אינו הפקר. לאור חומרת העבירה, אנחנו סבורים כי העונש הראוי במקרה זה הוא עונש מאסר בפועל שירוצה בעבודות שירות וכן פיצוי למתלוננת. </w:t>
      </w:r>
    </w:p>
    <w:p w14:paraId="6FA4D79C" w14:textId="77777777" w:rsidR="00910910" w:rsidRDefault="00910910">
      <w:pPr>
        <w:spacing w:after="80" w:line="320" w:lineRule="exact"/>
        <w:ind w:firstLine="283"/>
        <w:rPr>
          <w:rFonts w:hint="cs"/>
          <w:sz w:val="22"/>
          <w:szCs w:val="24"/>
          <w:rtl/>
        </w:rPr>
      </w:pPr>
      <w:r>
        <w:rPr>
          <w:rFonts w:hint="cs"/>
          <w:sz w:val="22"/>
          <w:szCs w:val="24"/>
          <w:rtl/>
        </w:rPr>
        <w:t xml:space="preserve">אין לו תיקים פתוחים. </w:t>
      </w:r>
    </w:p>
    <w:p w14:paraId="21F07283" w14:textId="77777777" w:rsidR="00910910" w:rsidRDefault="00910910">
      <w:pPr>
        <w:spacing w:after="80" w:line="320" w:lineRule="exact"/>
        <w:ind w:firstLine="283"/>
        <w:rPr>
          <w:rFonts w:hint="cs"/>
          <w:sz w:val="22"/>
          <w:szCs w:val="24"/>
          <w:rtl/>
        </w:rPr>
      </w:pPr>
    </w:p>
    <w:p w14:paraId="2065C25D" w14:textId="77777777" w:rsidR="00910910" w:rsidRDefault="00910910">
      <w:pPr>
        <w:spacing w:after="80" w:line="320" w:lineRule="exact"/>
        <w:ind w:firstLine="283"/>
        <w:rPr>
          <w:rFonts w:hint="cs"/>
          <w:b/>
          <w:bCs/>
          <w:sz w:val="22"/>
          <w:szCs w:val="24"/>
          <w:rtl/>
        </w:rPr>
      </w:pPr>
      <w:r>
        <w:rPr>
          <w:rFonts w:hint="cs"/>
          <w:b/>
          <w:bCs/>
          <w:sz w:val="22"/>
          <w:szCs w:val="24"/>
          <w:rtl/>
        </w:rPr>
        <w:t>הנאשם:</w:t>
      </w:r>
    </w:p>
    <w:p w14:paraId="7ADE3B27" w14:textId="77777777" w:rsidR="00910910" w:rsidRDefault="00910910">
      <w:pPr>
        <w:spacing w:after="80" w:line="320" w:lineRule="exact"/>
        <w:ind w:firstLine="283"/>
        <w:rPr>
          <w:rFonts w:hint="cs"/>
          <w:sz w:val="22"/>
          <w:szCs w:val="24"/>
          <w:rtl/>
        </w:rPr>
      </w:pPr>
      <w:r>
        <w:rPr>
          <w:rFonts w:hint="cs"/>
          <w:sz w:val="22"/>
          <w:szCs w:val="24"/>
          <w:rtl/>
        </w:rPr>
        <w:t xml:space="preserve">אני מבקש שבית המשפט ירחם עליי. אין לי עבירות. אני בן 59, יש לי רק הרשעה קודמת אחת. </w:t>
      </w:r>
    </w:p>
    <w:p w14:paraId="3A905169" w14:textId="77777777" w:rsidR="00910910" w:rsidRDefault="00910910">
      <w:pPr>
        <w:spacing w:after="80" w:line="320" w:lineRule="exact"/>
        <w:ind w:firstLine="283"/>
        <w:rPr>
          <w:rFonts w:hint="cs"/>
          <w:sz w:val="22"/>
          <w:szCs w:val="24"/>
          <w:rtl/>
        </w:rPr>
      </w:pPr>
      <w:r>
        <w:rPr>
          <w:rFonts w:hint="cs"/>
          <w:sz w:val="22"/>
          <w:szCs w:val="24"/>
          <w:rtl/>
        </w:rPr>
        <w:t>אני עובד בחניון.</w:t>
      </w:r>
    </w:p>
    <w:p w14:paraId="4D9007EE" w14:textId="77777777" w:rsidR="00910910" w:rsidRDefault="00910910">
      <w:pPr>
        <w:spacing w:after="80" w:line="320" w:lineRule="exact"/>
        <w:ind w:firstLine="283"/>
        <w:rPr>
          <w:rFonts w:hint="cs"/>
          <w:sz w:val="22"/>
          <w:szCs w:val="24"/>
          <w:rtl/>
        </w:rPr>
      </w:pPr>
      <w:r>
        <w:rPr>
          <w:rFonts w:hint="cs"/>
          <w:sz w:val="22"/>
          <w:szCs w:val="24"/>
          <w:rtl/>
        </w:rPr>
        <w:t xml:space="preserve">אני מבקש להתחשב בי ולהתחשב בכך שאני אדם חולה וסובל מסוכרת ואין לי עניינים עם אף אחד. </w:t>
      </w:r>
    </w:p>
    <w:p w14:paraId="298D06AF" w14:textId="77777777" w:rsidR="00910910" w:rsidRDefault="00910910">
      <w:pPr>
        <w:spacing w:after="80" w:line="320" w:lineRule="exact"/>
        <w:ind w:firstLine="283"/>
        <w:rPr>
          <w:rFonts w:hint="cs"/>
          <w:b/>
          <w:bCs/>
          <w:sz w:val="22"/>
          <w:szCs w:val="24"/>
          <w:u w:val="single"/>
          <w:rtl/>
        </w:rPr>
      </w:pPr>
      <w:bookmarkStart w:id="13" w:name="Decision2"/>
    </w:p>
    <w:p w14:paraId="22463D85" w14:textId="77777777" w:rsidR="00910910" w:rsidRDefault="00910910">
      <w:pPr>
        <w:spacing w:after="80" w:line="320" w:lineRule="exact"/>
        <w:ind w:firstLine="283"/>
        <w:rPr>
          <w:rFonts w:hint="cs"/>
          <w:b/>
          <w:bCs/>
          <w:sz w:val="22"/>
          <w:szCs w:val="24"/>
          <w:u w:val="single"/>
          <w:rtl/>
        </w:rPr>
      </w:pPr>
    </w:p>
    <w:p w14:paraId="7BB2D7E7" w14:textId="77777777" w:rsidR="00910910" w:rsidRDefault="00910910">
      <w:pPr>
        <w:spacing w:after="80" w:line="320" w:lineRule="exact"/>
        <w:ind w:firstLine="283"/>
        <w:rPr>
          <w:rFonts w:hint="cs"/>
          <w:b/>
          <w:bCs/>
          <w:sz w:val="22"/>
          <w:szCs w:val="24"/>
          <w:u w:val="single"/>
          <w:rtl/>
        </w:rPr>
      </w:pPr>
    </w:p>
    <w:p w14:paraId="1711A8CA" w14:textId="77777777" w:rsidR="00910910" w:rsidRDefault="00910910">
      <w:pPr>
        <w:spacing w:after="80" w:line="320" w:lineRule="exact"/>
        <w:ind w:firstLine="283"/>
        <w:rPr>
          <w:rFonts w:hint="cs"/>
          <w:b/>
          <w:bCs/>
          <w:sz w:val="22"/>
          <w:szCs w:val="24"/>
          <w:u w:val="single"/>
          <w:rtl/>
        </w:rPr>
      </w:pPr>
    </w:p>
    <w:p w14:paraId="1B850834" w14:textId="77777777" w:rsidR="00910910" w:rsidRDefault="00910910">
      <w:pPr>
        <w:spacing w:after="80" w:line="320" w:lineRule="exact"/>
        <w:ind w:firstLine="283"/>
        <w:rPr>
          <w:rFonts w:hint="cs"/>
          <w:b/>
          <w:bCs/>
          <w:sz w:val="22"/>
          <w:szCs w:val="24"/>
          <w:u w:val="single"/>
          <w:rtl/>
        </w:rPr>
      </w:pPr>
      <w:r>
        <w:rPr>
          <w:rFonts w:hint="cs"/>
          <w:b/>
          <w:bCs/>
          <w:sz w:val="22"/>
          <w:szCs w:val="24"/>
          <w:u w:val="single"/>
          <w:rtl/>
        </w:rPr>
        <w:t>גזר דין</w:t>
      </w:r>
    </w:p>
    <w:p w14:paraId="59987CEB" w14:textId="77777777" w:rsidR="00910910" w:rsidRDefault="00910910">
      <w:pPr>
        <w:spacing w:after="80" w:line="320" w:lineRule="exact"/>
        <w:ind w:firstLine="283"/>
        <w:rPr>
          <w:rFonts w:hint="cs"/>
          <w:sz w:val="22"/>
          <w:szCs w:val="24"/>
          <w:rtl/>
        </w:rPr>
      </w:pPr>
    </w:p>
    <w:p w14:paraId="49FD2EE5" w14:textId="77777777" w:rsidR="00910910" w:rsidRDefault="00910910">
      <w:pPr>
        <w:spacing w:after="80" w:line="320" w:lineRule="exact"/>
        <w:ind w:firstLine="283"/>
        <w:rPr>
          <w:rFonts w:hint="cs"/>
          <w:sz w:val="22"/>
          <w:szCs w:val="24"/>
          <w:rtl/>
        </w:rPr>
      </w:pPr>
      <w:r>
        <w:rPr>
          <w:rFonts w:hint="cs"/>
          <w:sz w:val="22"/>
          <w:szCs w:val="24"/>
          <w:rtl/>
        </w:rPr>
        <w:t xml:space="preserve">בסיום שמיעת הוכחות הרשעתי את הנאשם במיוחס לו בכתב האישום. </w:t>
      </w:r>
    </w:p>
    <w:p w14:paraId="10FCD3C5" w14:textId="77777777" w:rsidR="00910910" w:rsidRDefault="00910910">
      <w:pPr>
        <w:spacing w:after="80" w:line="320" w:lineRule="exact"/>
        <w:ind w:firstLine="283"/>
        <w:rPr>
          <w:rFonts w:hint="cs"/>
          <w:sz w:val="22"/>
          <w:szCs w:val="24"/>
          <w:rtl/>
        </w:rPr>
      </w:pPr>
    </w:p>
    <w:p w14:paraId="4E54F878" w14:textId="77777777" w:rsidR="00910910" w:rsidRDefault="00910910">
      <w:pPr>
        <w:spacing w:after="80" w:line="320" w:lineRule="exact"/>
        <w:ind w:firstLine="283"/>
        <w:rPr>
          <w:rFonts w:hint="cs"/>
          <w:sz w:val="22"/>
          <w:szCs w:val="24"/>
          <w:rtl/>
        </w:rPr>
      </w:pPr>
      <w:r>
        <w:rPr>
          <w:rFonts w:hint="cs"/>
          <w:sz w:val="22"/>
          <w:szCs w:val="24"/>
          <w:rtl/>
        </w:rPr>
        <w:t xml:space="preserve">בהכרעת הדין, עמדתי בהרחבה על נסיבותיו של המעשה המגונה שביצע הנאשם בגופה של המתלוננת, אישה צעירה בשנות ה- 20 לחייה, כאשר ניצל את תמימותה והיכרותה עמו, ואת היותה לבדה בדירה, ושילח ידו לגופה ונגע באבריה האינטימיים. </w:t>
      </w:r>
    </w:p>
    <w:p w14:paraId="2CCCED82" w14:textId="77777777" w:rsidR="00910910" w:rsidRDefault="00910910">
      <w:pPr>
        <w:spacing w:after="80" w:line="320" w:lineRule="exact"/>
        <w:ind w:firstLine="283"/>
        <w:rPr>
          <w:rFonts w:hint="cs"/>
          <w:sz w:val="22"/>
          <w:szCs w:val="24"/>
          <w:rtl/>
        </w:rPr>
      </w:pPr>
    </w:p>
    <w:p w14:paraId="4CC06CDE" w14:textId="77777777" w:rsidR="00910910" w:rsidRDefault="00910910">
      <w:pPr>
        <w:spacing w:after="80" w:line="320" w:lineRule="exact"/>
        <w:ind w:firstLine="283"/>
        <w:rPr>
          <w:rFonts w:hint="cs"/>
          <w:sz w:val="22"/>
          <w:szCs w:val="24"/>
          <w:rtl/>
        </w:rPr>
      </w:pPr>
      <w:r>
        <w:rPr>
          <w:rFonts w:hint="cs"/>
          <w:sz w:val="22"/>
          <w:szCs w:val="24"/>
          <w:rtl/>
        </w:rPr>
        <w:t xml:space="preserve">במסגרת גזר הדין, איני רואה לחזור על העובדות שנקבעו בהכרעת הדין, אלא ככל שנדרש למידת העונש. </w:t>
      </w:r>
    </w:p>
    <w:p w14:paraId="0D1D55EC" w14:textId="77777777" w:rsidR="00910910" w:rsidRDefault="00910910">
      <w:pPr>
        <w:spacing w:after="80" w:line="320" w:lineRule="exact"/>
        <w:ind w:firstLine="283"/>
        <w:rPr>
          <w:rFonts w:hint="cs"/>
          <w:sz w:val="22"/>
          <w:szCs w:val="24"/>
          <w:rtl/>
        </w:rPr>
      </w:pPr>
    </w:p>
    <w:p w14:paraId="3975E6F9" w14:textId="77777777" w:rsidR="00910910" w:rsidRDefault="00910910">
      <w:pPr>
        <w:spacing w:after="80" w:line="320" w:lineRule="exact"/>
        <w:ind w:firstLine="283"/>
        <w:rPr>
          <w:rFonts w:hint="cs"/>
          <w:sz w:val="22"/>
          <w:szCs w:val="24"/>
          <w:rtl/>
        </w:rPr>
      </w:pPr>
      <w:r>
        <w:rPr>
          <w:rFonts w:hint="cs"/>
          <w:sz w:val="22"/>
          <w:szCs w:val="24"/>
          <w:rtl/>
        </w:rPr>
        <w:t xml:space="preserve">המעשה בו הורשע הנאשם חומרה יתירה הטבועה בו. מדובר בנאשם בשלהי שנות ה- 50 לחייו, שהגיע לדירת המתלוננת כדי לסייע לה בתיקון קלטת. בעת שהותו בדירה ביצע הנאשם מעשה מגונה בגופה תוך פגיעה בכבודה כאדם וכאישה. תוצאות המעשה השפיעו קשות על המתלוננת הצעירה ופגעו בנפשה. </w:t>
      </w:r>
    </w:p>
    <w:p w14:paraId="7B2AA6AF" w14:textId="77777777" w:rsidR="00910910" w:rsidRDefault="00910910">
      <w:pPr>
        <w:spacing w:after="80" w:line="320" w:lineRule="exact"/>
        <w:ind w:firstLine="283"/>
        <w:rPr>
          <w:rFonts w:hint="cs"/>
          <w:sz w:val="22"/>
          <w:szCs w:val="24"/>
          <w:rtl/>
        </w:rPr>
      </w:pPr>
    </w:p>
    <w:p w14:paraId="2E498BAD" w14:textId="77777777" w:rsidR="00910910" w:rsidRDefault="00910910">
      <w:pPr>
        <w:spacing w:after="80" w:line="320" w:lineRule="exact"/>
        <w:ind w:firstLine="283"/>
        <w:rPr>
          <w:rFonts w:hint="cs"/>
          <w:sz w:val="22"/>
          <w:szCs w:val="24"/>
          <w:rtl/>
        </w:rPr>
      </w:pPr>
      <w:r>
        <w:rPr>
          <w:rFonts w:hint="cs"/>
          <w:sz w:val="22"/>
          <w:szCs w:val="24"/>
          <w:rtl/>
        </w:rPr>
        <w:t xml:space="preserve">מדובר במעשים שמן הראוי לגנותם בקול ולהוקיעם באופן חד משמעי על דרך של ענישה שתביע את סלידת בית המשפט ושאט נפשו. ענישה שיהא בה כדי להרתיע את הנאשם ושכמותו, הקוראים דרור ליצריהם ופוגעים באחרים. קל וחומר אמורים הדברים, כאשר מדובר בנאשם שלחובתו הרשעה קודמת אחת בעבירות בתחומי האלימות, באופן שיש בו כדי להעיד שאין מדובר באדם נורמטיבי. </w:t>
      </w:r>
    </w:p>
    <w:p w14:paraId="56802850" w14:textId="77777777" w:rsidR="00910910" w:rsidRDefault="00910910">
      <w:pPr>
        <w:spacing w:after="80" w:line="320" w:lineRule="exact"/>
        <w:ind w:firstLine="283"/>
        <w:rPr>
          <w:rFonts w:hint="cs"/>
          <w:sz w:val="22"/>
          <w:szCs w:val="24"/>
          <w:rtl/>
        </w:rPr>
      </w:pPr>
    </w:p>
    <w:p w14:paraId="0D97754F" w14:textId="77777777" w:rsidR="00910910" w:rsidRDefault="00910910">
      <w:pPr>
        <w:spacing w:after="80" w:line="320" w:lineRule="exact"/>
        <w:ind w:firstLine="283"/>
        <w:rPr>
          <w:rFonts w:hint="cs"/>
          <w:sz w:val="22"/>
          <w:szCs w:val="24"/>
          <w:rtl/>
        </w:rPr>
      </w:pPr>
      <w:r>
        <w:rPr>
          <w:rFonts w:hint="cs"/>
          <w:sz w:val="22"/>
          <w:szCs w:val="24"/>
          <w:rtl/>
        </w:rPr>
        <w:t xml:space="preserve">יחד עם זאת, כל מקרה נבחן לגופו ולנסיבותיו ולאחר ששקלתי את מכלול השיקולים הגעתי לכלל מסקנה שלא למצות עמו את מלוא הדין. המדובר בנאשם שמעולם קודם לכן לא הורשע בעבירות מן הסוג בו הורשע בתיק זה, ומאז ביצוע העבירה לפני למעלה משנתיים, לא נפתחו כנגדו תיקים. עברו אינו מכביד וכולל הרשעה אחת. </w:t>
      </w:r>
    </w:p>
    <w:p w14:paraId="067C0EED" w14:textId="77777777" w:rsidR="00910910" w:rsidRDefault="00910910">
      <w:pPr>
        <w:spacing w:after="80" w:line="320" w:lineRule="exact"/>
        <w:ind w:firstLine="283"/>
        <w:rPr>
          <w:rFonts w:hint="cs"/>
          <w:sz w:val="22"/>
          <w:szCs w:val="24"/>
          <w:rtl/>
        </w:rPr>
      </w:pPr>
      <w:r>
        <w:rPr>
          <w:rFonts w:hint="cs"/>
          <w:sz w:val="22"/>
          <w:szCs w:val="24"/>
          <w:rtl/>
        </w:rPr>
        <w:t xml:space="preserve">בגזירת הדין, ראיתי גם להתחשב בגילו של הנאשם ובמצבו הבריאותי, כעולה מהתעודה הרפואית, נ/2. </w:t>
      </w:r>
    </w:p>
    <w:p w14:paraId="6055488D" w14:textId="77777777" w:rsidR="00910910" w:rsidRDefault="00910910">
      <w:pPr>
        <w:spacing w:after="80" w:line="320" w:lineRule="exact"/>
        <w:ind w:firstLine="283"/>
        <w:rPr>
          <w:rFonts w:hint="cs"/>
          <w:sz w:val="22"/>
          <w:szCs w:val="24"/>
          <w:rtl/>
        </w:rPr>
      </w:pPr>
    </w:p>
    <w:p w14:paraId="42CD3ABD" w14:textId="77777777" w:rsidR="00910910" w:rsidRDefault="00910910">
      <w:pPr>
        <w:spacing w:after="80" w:line="320" w:lineRule="exact"/>
        <w:ind w:firstLine="283"/>
        <w:rPr>
          <w:rFonts w:hint="cs"/>
          <w:sz w:val="22"/>
          <w:szCs w:val="24"/>
          <w:rtl/>
        </w:rPr>
      </w:pPr>
      <w:r>
        <w:rPr>
          <w:rFonts w:hint="cs"/>
          <w:sz w:val="22"/>
          <w:szCs w:val="24"/>
          <w:rtl/>
        </w:rPr>
        <w:t xml:space="preserve">הנני סבורה כי במקרה זה עונש מרתיע לתקופה משמעותית שירחף מעל לראשו של הנאשם, כאות אזהרה, עשוי להוות עבורו גורם מרסן ומציב גבולות. </w:t>
      </w:r>
    </w:p>
    <w:p w14:paraId="5653459E" w14:textId="77777777" w:rsidR="00910910" w:rsidRDefault="00910910">
      <w:pPr>
        <w:spacing w:after="80" w:line="320" w:lineRule="exact"/>
        <w:ind w:firstLine="283"/>
        <w:rPr>
          <w:rFonts w:hint="cs"/>
          <w:sz w:val="22"/>
          <w:szCs w:val="24"/>
          <w:rtl/>
        </w:rPr>
      </w:pPr>
    </w:p>
    <w:p w14:paraId="53A299E3" w14:textId="77777777" w:rsidR="00910910" w:rsidRDefault="00910910">
      <w:pPr>
        <w:spacing w:after="80" w:line="320" w:lineRule="exact"/>
        <w:ind w:firstLine="283"/>
        <w:rPr>
          <w:rFonts w:hint="cs"/>
          <w:sz w:val="22"/>
          <w:szCs w:val="24"/>
          <w:rtl/>
        </w:rPr>
      </w:pPr>
      <w:r>
        <w:rPr>
          <w:rFonts w:hint="cs"/>
          <w:sz w:val="22"/>
          <w:szCs w:val="24"/>
          <w:rtl/>
        </w:rPr>
        <w:t>אשר על כן, ולאחר ששקלתי את כל השיקולים הצריכים לענין, לקולא ולחומרא, הנני גוזרת על הנאשם את העונשים הבאים:</w:t>
      </w:r>
    </w:p>
    <w:p w14:paraId="1FF66AFD" w14:textId="77777777" w:rsidR="00910910" w:rsidRDefault="00910910">
      <w:pPr>
        <w:spacing w:after="80" w:line="320" w:lineRule="exact"/>
        <w:ind w:firstLine="283"/>
        <w:rPr>
          <w:rFonts w:hint="cs"/>
          <w:sz w:val="22"/>
          <w:szCs w:val="24"/>
          <w:rtl/>
        </w:rPr>
      </w:pPr>
      <w:r>
        <w:rPr>
          <w:rFonts w:hint="cs"/>
          <w:sz w:val="22"/>
          <w:szCs w:val="24"/>
          <w:rtl/>
        </w:rPr>
        <w:t>1.</w:t>
      </w:r>
      <w:r>
        <w:rPr>
          <w:rFonts w:hint="cs"/>
          <w:sz w:val="22"/>
          <w:szCs w:val="24"/>
          <w:rtl/>
        </w:rPr>
        <w:tab/>
        <w:t>14 חודשי מאסר על תנאי, והתנאי הוא שהנאשם לא יעבור במשך שלוש שנים מהיום על העבירה בה הורשע.</w:t>
      </w:r>
    </w:p>
    <w:p w14:paraId="4B73375D" w14:textId="77777777" w:rsidR="00910910" w:rsidRDefault="00910910">
      <w:pPr>
        <w:spacing w:after="80" w:line="320" w:lineRule="exact"/>
        <w:ind w:firstLine="283"/>
        <w:rPr>
          <w:rFonts w:hint="cs"/>
          <w:sz w:val="22"/>
          <w:szCs w:val="24"/>
          <w:rtl/>
        </w:rPr>
      </w:pPr>
      <w:r>
        <w:rPr>
          <w:rFonts w:hint="cs"/>
          <w:sz w:val="22"/>
          <w:szCs w:val="24"/>
          <w:rtl/>
        </w:rPr>
        <w:t>2.</w:t>
      </w:r>
      <w:r>
        <w:rPr>
          <w:rFonts w:hint="cs"/>
          <w:sz w:val="22"/>
          <w:szCs w:val="24"/>
          <w:rtl/>
        </w:rPr>
        <w:tab/>
        <w:t xml:space="preserve">2,000 ₪ קנס, או 20 ימי מאסר תמורתו. הקנס ישולם ב- 4 תשלומים חודשיים שווים ורצופים החל מיום 1/10/03. </w:t>
      </w:r>
    </w:p>
    <w:p w14:paraId="1E1FC141" w14:textId="77777777" w:rsidR="00910910" w:rsidRDefault="00910910">
      <w:pPr>
        <w:spacing w:after="80" w:line="320" w:lineRule="exact"/>
        <w:ind w:firstLine="283"/>
        <w:rPr>
          <w:rFonts w:hint="cs"/>
          <w:sz w:val="22"/>
          <w:szCs w:val="24"/>
          <w:rtl/>
        </w:rPr>
      </w:pPr>
      <w:r>
        <w:rPr>
          <w:rFonts w:hint="cs"/>
          <w:sz w:val="22"/>
          <w:szCs w:val="24"/>
          <w:rtl/>
        </w:rPr>
        <w:t>3.</w:t>
      </w:r>
      <w:r>
        <w:rPr>
          <w:rFonts w:hint="cs"/>
          <w:sz w:val="22"/>
          <w:szCs w:val="24"/>
          <w:rtl/>
        </w:rPr>
        <w:tab/>
        <w:t>הנאשם ישלם למתלוננת אילנית רבייב פיצוי בסך 2,500 ₪.</w:t>
      </w:r>
    </w:p>
    <w:p w14:paraId="4345A59E" w14:textId="77777777" w:rsidR="00910910" w:rsidRDefault="00910910">
      <w:pPr>
        <w:spacing w:after="80" w:line="320" w:lineRule="exact"/>
        <w:ind w:firstLine="283"/>
        <w:rPr>
          <w:rFonts w:hint="cs"/>
          <w:sz w:val="22"/>
          <w:szCs w:val="24"/>
          <w:rtl/>
        </w:rPr>
      </w:pPr>
      <w:r>
        <w:rPr>
          <w:rFonts w:hint="cs"/>
          <w:sz w:val="22"/>
          <w:szCs w:val="24"/>
          <w:rtl/>
        </w:rPr>
        <w:tab/>
        <w:t xml:space="preserve">סכום הפיצויים יופקד על שמה בגזברות בית המשפט תוך 30 יום מהיום. </w:t>
      </w:r>
    </w:p>
    <w:p w14:paraId="61EF716B" w14:textId="77777777" w:rsidR="00910910" w:rsidRDefault="00910910">
      <w:pPr>
        <w:spacing w:after="80" w:line="320" w:lineRule="exact"/>
        <w:ind w:firstLine="283"/>
        <w:rPr>
          <w:rFonts w:hint="cs"/>
          <w:sz w:val="22"/>
          <w:szCs w:val="24"/>
          <w:rtl/>
        </w:rPr>
      </w:pPr>
      <w:r>
        <w:rPr>
          <w:rFonts w:hint="cs"/>
          <w:sz w:val="22"/>
          <w:szCs w:val="24"/>
          <w:rtl/>
        </w:rPr>
        <w:t xml:space="preserve"> </w:t>
      </w:r>
    </w:p>
    <w:p w14:paraId="39DEF99A" w14:textId="77777777" w:rsidR="00910910" w:rsidRDefault="00910910">
      <w:pPr>
        <w:spacing w:after="80" w:line="320" w:lineRule="exact"/>
        <w:ind w:firstLine="283"/>
        <w:rPr>
          <w:rFonts w:hint="cs"/>
          <w:b/>
          <w:bCs/>
          <w:sz w:val="22"/>
          <w:szCs w:val="24"/>
          <w:rtl/>
        </w:rPr>
      </w:pPr>
      <w:r>
        <w:rPr>
          <w:rFonts w:hint="cs"/>
          <w:b/>
          <w:bCs/>
          <w:sz w:val="22"/>
          <w:szCs w:val="24"/>
          <w:rtl/>
        </w:rPr>
        <w:t xml:space="preserve">הודעה זכות ערעור בתוך 45 יום מהיום. </w:t>
      </w:r>
    </w:p>
    <w:p w14:paraId="3A1A59B8" w14:textId="77777777" w:rsidR="00910910" w:rsidRDefault="00910910">
      <w:pPr>
        <w:pStyle w:val="Heading3"/>
        <w:keepNext w:val="0"/>
        <w:spacing w:after="80" w:line="320" w:lineRule="exact"/>
        <w:ind w:firstLine="283"/>
        <w:rPr>
          <w:rFonts w:hint="cs"/>
          <w:sz w:val="22"/>
          <w:szCs w:val="24"/>
          <w:rtl/>
        </w:rPr>
      </w:pPr>
      <w:r>
        <w:rPr>
          <w:rFonts w:hint="cs"/>
          <w:sz w:val="22"/>
          <w:szCs w:val="24"/>
          <w:rtl/>
        </w:rPr>
        <w:t>ניתן היום י"ב באלול, תשס"ג (9 בספטמבר 2003) במעמד הצדדים.</w:t>
      </w:r>
    </w:p>
    <w:p w14:paraId="1FF0BA58" w14:textId="77777777" w:rsidR="00910910" w:rsidRDefault="00910910">
      <w:pPr>
        <w:spacing w:after="80" w:line="320" w:lineRule="exact"/>
        <w:ind w:firstLine="283"/>
        <w:rPr>
          <w:rFonts w:hint="cs"/>
          <w:sz w:val="22"/>
          <w:szCs w:val="24"/>
          <w:rtl/>
        </w:rPr>
      </w:pPr>
    </w:p>
    <w:tbl>
      <w:tblPr>
        <w:tblW w:w="0" w:type="auto"/>
        <w:tblInd w:w="5727" w:type="dxa"/>
        <w:tblBorders>
          <w:top w:val="single" w:sz="4" w:space="0" w:color="auto"/>
        </w:tblBorders>
        <w:tblLook w:val="0000" w:firstRow="0" w:lastRow="0" w:firstColumn="0" w:lastColumn="0" w:noHBand="0" w:noVBand="0"/>
      </w:tblPr>
      <w:tblGrid>
        <w:gridCol w:w="2802"/>
      </w:tblGrid>
      <w:tr w:rsidR="00910910" w14:paraId="5E7748FD" w14:textId="77777777">
        <w:tc>
          <w:tcPr>
            <w:tcW w:w="2802" w:type="dxa"/>
            <w:tcBorders>
              <w:top w:val="single" w:sz="4" w:space="0" w:color="auto"/>
              <w:left w:val="nil"/>
              <w:bottom w:val="nil"/>
              <w:right w:val="nil"/>
            </w:tcBorders>
          </w:tcPr>
          <w:p w14:paraId="712974EB" w14:textId="77777777" w:rsidR="00910910" w:rsidRDefault="00910910">
            <w:pPr>
              <w:spacing w:after="80" w:line="320" w:lineRule="exact"/>
              <w:ind w:firstLine="283"/>
              <w:rPr>
                <w:b/>
                <w:bCs/>
                <w:sz w:val="22"/>
                <w:szCs w:val="24"/>
              </w:rPr>
            </w:pPr>
            <w:r>
              <w:rPr>
                <w:rFonts w:hint="cs"/>
                <w:b/>
                <w:bCs/>
                <w:sz w:val="22"/>
                <w:szCs w:val="24"/>
                <w:rtl/>
              </w:rPr>
              <w:t>מ.דיסקין, שופטת</w:t>
            </w:r>
          </w:p>
        </w:tc>
      </w:tr>
    </w:tbl>
    <w:bookmarkEnd w:id="13"/>
    <w:p w14:paraId="21380839" w14:textId="77777777" w:rsidR="00910910" w:rsidRDefault="00910910">
      <w:pPr>
        <w:spacing w:after="80" w:line="320" w:lineRule="exact"/>
        <w:ind w:firstLine="283"/>
        <w:rPr>
          <w:rFonts w:hint="cs"/>
          <w:sz w:val="22"/>
          <w:szCs w:val="24"/>
          <w:rtl/>
        </w:rPr>
      </w:pPr>
      <w:r>
        <w:rPr>
          <w:rFonts w:hint="cs"/>
          <w:sz w:val="22"/>
          <w:szCs w:val="24"/>
          <w:rtl/>
        </w:rPr>
        <w:t xml:space="preserve">          </w:t>
      </w:r>
    </w:p>
    <w:p w14:paraId="7DA04546" w14:textId="77777777" w:rsidR="00910910" w:rsidRDefault="00910910">
      <w:pPr>
        <w:spacing w:after="80" w:line="320" w:lineRule="exact"/>
        <w:ind w:firstLine="283"/>
        <w:rPr>
          <w:sz w:val="22"/>
          <w:szCs w:val="24"/>
          <w:rtl/>
        </w:rPr>
      </w:pPr>
      <w:r>
        <w:rPr>
          <w:sz w:val="22"/>
          <w:szCs w:val="24"/>
          <w:rtl/>
        </w:rPr>
        <w:t>נוסח זה כפוף לשינויי עריכה וניסוח</w:t>
      </w:r>
    </w:p>
    <w:sectPr w:rsidR="00910910">
      <w:headerReference w:type="even" r:id="rId12"/>
      <w:headerReference w:type="default" r:id="rId13"/>
      <w:footerReference w:type="even" r:id="rId14"/>
      <w:footerReference w:type="default" r:id="rId15"/>
      <w:endnotePr>
        <w:numFmt w:val="lowerLetter"/>
      </w:endnotePr>
      <w:pgSz w:w="11907" w:h="16840"/>
      <w:pgMar w:top="1134" w:right="1701" w:bottom="1134" w:left="1134" w:header="850" w:footer="567"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E98F8" w14:textId="77777777" w:rsidR="00CC4077" w:rsidRDefault="00CC4077">
      <w:pPr>
        <w:spacing w:line="240" w:lineRule="auto"/>
      </w:pPr>
      <w:r>
        <w:separator/>
      </w:r>
    </w:p>
  </w:endnote>
  <w:endnote w:type="continuationSeparator" w:id="0">
    <w:p w14:paraId="1771D026" w14:textId="77777777" w:rsidR="00CC4077" w:rsidRDefault="00CC40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BC23D" w14:textId="77777777" w:rsidR="00081B8D" w:rsidRDefault="00081B8D">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6</w:t>
    </w:r>
    <w:r>
      <w:rPr>
        <w:rFonts w:hAnsi="FrankRuehl" w:cs="FrankRuehl"/>
        <w:sz w:val="24"/>
        <w:rtl/>
      </w:rPr>
      <w:fldChar w:fldCharType="end"/>
    </w:r>
  </w:p>
  <w:p w14:paraId="66675FA5" w14:textId="77777777" w:rsidR="00081B8D" w:rsidRDefault="00081B8D">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6CD33B4" w14:textId="77777777" w:rsidR="00081B8D" w:rsidRDefault="00081B8D">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M:\000-shay\03-09-10\5\s03002629-14.doc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0C1B3" w14:textId="77777777" w:rsidR="00081B8D" w:rsidRDefault="00081B8D">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743CB5">
      <w:rPr>
        <w:rFonts w:hAnsi="FrankRuehl" w:cs="FrankRuehl"/>
        <w:noProof/>
        <w:sz w:val="24"/>
        <w:rtl/>
      </w:rPr>
      <w:t>1</w:t>
    </w:r>
    <w:r>
      <w:rPr>
        <w:rFonts w:hAnsi="FrankRuehl" w:cs="FrankRuehl"/>
        <w:sz w:val="24"/>
        <w:rtl/>
      </w:rPr>
      <w:fldChar w:fldCharType="end"/>
    </w:r>
  </w:p>
  <w:p w14:paraId="71E3DBC6" w14:textId="77777777" w:rsidR="00081B8D" w:rsidRDefault="00081B8D">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D731C69" w14:textId="77777777" w:rsidR="00081B8D" w:rsidRDefault="00081B8D">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M:\000-shay\03-09-10\5\s03002629-14.doc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E9514" w14:textId="77777777" w:rsidR="00CC4077" w:rsidRDefault="00CC4077">
      <w:pPr>
        <w:spacing w:line="240" w:lineRule="auto"/>
      </w:pPr>
      <w:r>
        <w:separator/>
      </w:r>
    </w:p>
  </w:footnote>
  <w:footnote w:type="continuationSeparator" w:id="0">
    <w:p w14:paraId="6D989689" w14:textId="77777777" w:rsidR="00CC4077" w:rsidRDefault="00CC40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2DF36" w14:textId="77777777" w:rsidR="00081B8D" w:rsidRDefault="00081B8D">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(ת"א) 2629/03</w:t>
    </w:r>
    <w:r>
      <w:rPr>
        <w:rFonts w:hAnsi="David"/>
        <w:color w:val="000000"/>
        <w:sz w:val="22"/>
        <w:szCs w:val="22"/>
        <w:rtl/>
      </w:rPr>
      <w:tab/>
      <w:t xml:space="preserve"> מדור תביעות פלילי ת"א נ' אלייב אריה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00470" w14:textId="77777777" w:rsidR="00081B8D" w:rsidRDefault="00081B8D">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(ת"א) 2629/03</w:t>
    </w:r>
    <w:r>
      <w:rPr>
        <w:rFonts w:hAnsi="David"/>
        <w:color w:val="000000"/>
        <w:sz w:val="22"/>
        <w:szCs w:val="22"/>
        <w:rtl/>
      </w:rPr>
      <w:tab/>
      <w:t xml:space="preserve"> מדור תביעות פלילי ת"א נ' אלייב אריה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rawingGridHorizontalSpacing w:val="75"/>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51217C"/>
    <w:rsid w:val="00081B8D"/>
    <w:rsid w:val="00275EBC"/>
    <w:rsid w:val="0029789F"/>
    <w:rsid w:val="0051217C"/>
    <w:rsid w:val="006E76D8"/>
    <w:rsid w:val="00743CB5"/>
    <w:rsid w:val="008D375C"/>
    <w:rsid w:val="00910910"/>
    <w:rsid w:val="00CC40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325A65F"/>
  <w15:chartTrackingRefBased/>
  <w15:docId w15:val="{29ED92B4-6E44-4C12-AC2D-7493DD5F4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spacing w:line="360" w:lineRule="auto"/>
      <w:jc w:val="both"/>
    </w:pPr>
    <w:rPr>
      <w:rFonts w:cs="David"/>
      <w:szCs w:val="26"/>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sz w:val="26"/>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snapToGrid w:val="0"/>
    </w:pPr>
    <w:rPr>
      <w:szCs w:val="24"/>
    </w:rPr>
  </w:style>
  <w:style w:type="paragraph" w:styleId="Footer">
    <w:name w:val="footer"/>
    <w:basedOn w:val="Normal"/>
    <w:semiHidden/>
    <w:pPr>
      <w:tabs>
        <w:tab w:val="center" w:pos="4153"/>
        <w:tab w:val="right" w:pos="8306"/>
      </w:tabs>
      <w:snapToGrid w:val="0"/>
    </w:pPr>
    <w:rPr>
      <w:sz w:val="22"/>
      <w:szCs w:val="24"/>
    </w:rPr>
  </w:style>
  <w:style w:type="paragraph" w:styleId="Title">
    <w:name w:val="Title"/>
    <w:basedOn w:val="Normal"/>
    <w:qFormat/>
    <w:pPr>
      <w:spacing w:line="240" w:lineRule="auto"/>
      <w:jc w:val="center"/>
    </w:pPr>
    <w:rPr>
      <w:b/>
      <w:bCs/>
      <w:sz w:val="28"/>
      <w:szCs w:val="28"/>
      <w:u w:val="single"/>
    </w:rPr>
  </w:style>
  <w:style w:type="paragraph" w:styleId="Subtitle">
    <w:name w:val="Subtitle"/>
    <w:basedOn w:val="Normal"/>
    <w:qFormat/>
    <w:pPr>
      <w:spacing w:line="240" w:lineRule="auto"/>
      <w:jc w:val="left"/>
    </w:pPr>
    <w:rPr>
      <w:b/>
      <w:bCs/>
      <w:sz w:val="26"/>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semiHidden/>
    <w:rPr>
      <w:rFonts w:cs="David"/>
    </w:rPr>
  </w:style>
  <w:style w:type="character" w:styleId="LineNumber">
    <w:name w:val="line number"/>
    <w:basedOn w:val="DefaultParagraphFont"/>
    <w:semiHidden/>
  </w:style>
  <w:style w:type="character" w:styleId="Hyperlink">
    <w:name w:val="Hyperlink"/>
    <w:rsid w:val="008D37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c"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70301/348.c"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law/70301/348.c" TargetMode="Externa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1893</Words>
  <Characters>10796</Characters>
  <Application>Microsoft Office Word</Application>
  <DocSecurity>0</DocSecurity>
  <Lines>89</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12664</CharactersWithSpaces>
  <SharedDoc>false</SharedDoc>
  <HLinks>
    <vt:vector size="36" baseType="variant">
      <vt:variant>
        <vt:i4>7995492</vt:i4>
      </vt:variant>
      <vt:variant>
        <vt:i4>15</vt:i4>
      </vt:variant>
      <vt:variant>
        <vt:i4>0</vt:i4>
      </vt:variant>
      <vt:variant>
        <vt:i4>5</vt:i4>
      </vt:variant>
      <vt:variant>
        <vt:lpwstr>http://www.nevo.co.il/law/70301</vt:lpwstr>
      </vt:variant>
      <vt:variant>
        <vt:lpwstr/>
      </vt:variant>
      <vt:variant>
        <vt:i4>5177438</vt:i4>
      </vt:variant>
      <vt:variant>
        <vt:i4>12</vt:i4>
      </vt:variant>
      <vt:variant>
        <vt:i4>0</vt:i4>
      </vt:variant>
      <vt:variant>
        <vt:i4>5</vt:i4>
      </vt:variant>
      <vt:variant>
        <vt:lpwstr>http://www.nevo.co.il/law/70301/348.c</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5177438</vt:i4>
      </vt:variant>
      <vt:variant>
        <vt:i4>6</vt:i4>
      </vt:variant>
      <vt:variant>
        <vt:i4>0</vt:i4>
      </vt:variant>
      <vt:variant>
        <vt:i4>5</vt:i4>
      </vt:variant>
      <vt:variant>
        <vt:lpwstr>http://www.nevo.co.il/law/70301/348.c</vt:lpwstr>
      </vt:variant>
      <vt:variant>
        <vt:lpwstr/>
      </vt:variant>
      <vt:variant>
        <vt:i4>5177438</vt:i4>
      </vt:variant>
      <vt:variant>
        <vt:i4>3</vt:i4>
      </vt:variant>
      <vt:variant>
        <vt:i4>0</vt:i4>
      </vt:variant>
      <vt:variant>
        <vt:i4>5</vt:i4>
      </vt:variant>
      <vt:variant>
        <vt:lpwstr>http://www.nevo.co.il/law/70301/348.c</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2003-09-09T10:56:00Z</cp:lastPrinted>
  <dcterms:created xsi:type="dcterms:W3CDTF">2022-05-24T10:18:00Z</dcterms:created>
  <dcterms:modified xsi:type="dcterms:W3CDTF">2022-05-24T10:18:00Z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2629</vt:lpwstr>
  </property>
  <property fmtid="{D5CDD505-2E9C-101B-9397-08002B2CF9AE}" pid="6" name="PROCYEAR">
    <vt:lpwstr>03</vt:lpwstr>
  </property>
  <property fmtid="{D5CDD505-2E9C-101B-9397-08002B2CF9AE}" pid="7" name="APPELLANT">
    <vt:lpwstr>מדור תביעות פלילי ת"א</vt:lpwstr>
  </property>
  <property fmtid="{D5CDD505-2E9C-101B-9397-08002B2CF9AE}" pid="8" name="APPELLEE">
    <vt:lpwstr>אלייב אריה</vt:lpwstr>
  </property>
  <property fmtid="{D5CDD505-2E9C-101B-9397-08002B2CF9AE}" pid="9" name="JUDGE">
    <vt:lpwstr>דיסקין מרים</vt:lpwstr>
  </property>
  <property fmtid="{D5CDD505-2E9C-101B-9397-08002B2CF9AE}" pid="10" name="CITY">
    <vt:lpwstr>ת"א</vt:lpwstr>
  </property>
  <property fmtid="{D5CDD505-2E9C-101B-9397-08002B2CF9AE}" pid="11" name="DATE">
    <vt:lpwstr>20030909</vt:lpwstr>
  </property>
  <property fmtid="{D5CDD505-2E9C-101B-9397-08002B2CF9AE}" pid="12" name="WORDNUMPAGES">
    <vt:lpwstr>6</vt:lpwstr>
  </property>
  <property fmtid="{D5CDD505-2E9C-101B-9397-08002B2CF9AE}" pid="13" name="ISABSTRACT">
    <vt:lpwstr>Y</vt:lpwstr>
  </property>
  <property fmtid="{D5CDD505-2E9C-101B-9397-08002B2CF9AE}" pid="14" name="CASENOTES1">
    <vt:lpwstr>ProcID=213&amp;PartA=16&amp;PartC=19</vt:lpwstr>
  </property>
  <property fmtid="{D5CDD505-2E9C-101B-9397-08002B2CF9AE}" pid="15" name="LAWLISTTMP1">
    <vt:lpwstr>70301/348.c:2</vt:lpwstr>
  </property>
</Properties>
</file>