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FDDE6" w14:textId="77777777" w:rsidR="00FC1723" w:rsidRDefault="00FC1723">
      <w:pPr>
        <w:jc w:val="center"/>
        <w:rPr>
          <w:rtl/>
        </w:rPr>
      </w:pPr>
      <w:bookmarkStart w:id="0"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0"/>
        <w:gridCol w:w="964"/>
        <w:gridCol w:w="1950"/>
      </w:tblGrid>
      <w:tr w:rsidR="00FC1723" w14:paraId="5D5C5A5A"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13707C47" w14:textId="77777777" w:rsidR="00FC1723" w:rsidRDefault="00FC1723">
            <w:pPr>
              <w:spacing w:line="240" w:lineRule="auto"/>
              <w:jc w:val="center"/>
              <w:rPr>
                <w:b/>
                <w:bCs/>
                <w:spacing w:val="110"/>
                <w:sz w:val="40"/>
                <w:szCs w:val="48"/>
              </w:rPr>
            </w:pPr>
          </w:p>
        </w:tc>
      </w:tr>
      <w:tr w:rsidR="00FC1723" w14:paraId="5BEECBD1"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3B030F21" w14:textId="77777777" w:rsidR="00FC1723" w:rsidRDefault="00FC1723">
            <w:pPr>
              <w:rPr>
                <w:b/>
                <w:bCs/>
                <w:szCs w:val="28"/>
              </w:rPr>
            </w:pPr>
            <w:r>
              <w:rPr>
                <w:rFonts w:hint="cs"/>
                <w:b/>
                <w:bCs/>
                <w:szCs w:val="28"/>
                <w:rtl/>
              </w:rPr>
              <w:t>בית משפט השלום באר שבע</w:t>
            </w:r>
          </w:p>
        </w:tc>
        <w:tc>
          <w:tcPr>
            <w:tcW w:w="2915" w:type="dxa"/>
            <w:gridSpan w:val="2"/>
            <w:tcBorders>
              <w:top w:val="single" w:sz="4" w:space="0" w:color="auto"/>
              <w:left w:val="single" w:sz="4" w:space="0" w:color="auto"/>
              <w:bottom w:val="single" w:sz="4" w:space="0" w:color="auto"/>
              <w:right w:val="single" w:sz="4" w:space="0" w:color="auto"/>
            </w:tcBorders>
          </w:tcPr>
          <w:p w14:paraId="7F68360F" w14:textId="77777777" w:rsidR="00FC1723" w:rsidRDefault="00FC1723">
            <w:pPr>
              <w:rPr>
                <w:b/>
                <w:bCs/>
                <w:szCs w:val="28"/>
              </w:rPr>
            </w:pPr>
            <w:r>
              <w:rPr>
                <w:rFonts w:hint="cs"/>
                <w:b/>
                <w:bCs/>
                <w:szCs w:val="28"/>
                <w:rtl/>
              </w:rPr>
              <w:t>פ  005113/03</w:t>
            </w:r>
          </w:p>
        </w:tc>
      </w:tr>
      <w:tr w:rsidR="00FC1723" w14:paraId="20FAE17F"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30E0031" w14:textId="77777777" w:rsidR="00FC1723" w:rsidRDefault="00FC1723">
            <w:pPr>
              <w:bidi w:val="0"/>
              <w:spacing w:line="240" w:lineRule="auto"/>
              <w:jc w:val="left"/>
              <w:rPr>
                <w:b/>
                <w:bCs/>
                <w:szCs w:val="28"/>
              </w:rPr>
            </w:pPr>
          </w:p>
        </w:tc>
        <w:tc>
          <w:tcPr>
            <w:tcW w:w="2915" w:type="dxa"/>
            <w:gridSpan w:val="2"/>
            <w:tcBorders>
              <w:top w:val="single" w:sz="4" w:space="0" w:color="auto"/>
              <w:left w:val="single" w:sz="4" w:space="0" w:color="auto"/>
              <w:bottom w:val="single" w:sz="4" w:space="0" w:color="auto"/>
              <w:right w:val="single" w:sz="4" w:space="0" w:color="auto"/>
            </w:tcBorders>
          </w:tcPr>
          <w:p w14:paraId="7B2A4DE2" w14:textId="77777777" w:rsidR="00FC1723" w:rsidRDefault="00FC1723">
            <w:pPr>
              <w:rPr>
                <w:b/>
                <w:bCs/>
                <w:szCs w:val="28"/>
              </w:rPr>
            </w:pPr>
          </w:p>
        </w:tc>
      </w:tr>
      <w:tr w:rsidR="00FC1723" w14:paraId="3DAAF2DC"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53A98B7E" w14:textId="77777777" w:rsidR="00FC1723" w:rsidRDefault="00FC1723">
            <w:pPr>
              <w:rPr>
                <w:b/>
                <w:bCs/>
                <w:szCs w:val="28"/>
              </w:rPr>
            </w:pPr>
            <w:r>
              <w:rPr>
                <w:rFonts w:hint="cs"/>
                <w:b/>
                <w:bCs/>
                <w:szCs w:val="28"/>
                <w:rtl/>
              </w:rPr>
              <w:t>בפני:</w:t>
            </w:r>
          </w:p>
        </w:tc>
        <w:tc>
          <w:tcPr>
            <w:tcW w:w="4706" w:type="dxa"/>
            <w:tcBorders>
              <w:top w:val="single" w:sz="4" w:space="0" w:color="auto"/>
              <w:left w:val="single" w:sz="4" w:space="0" w:color="auto"/>
              <w:bottom w:val="single" w:sz="4" w:space="0" w:color="auto"/>
              <w:right w:val="single" w:sz="4" w:space="0" w:color="auto"/>
            </w:tcBorders>
          </w:tcPr>
          <w:p w14:paraId="2A59501E" w14:textId="77777777" w:rsidR="00FC1723" w:rsidRDefault="00FC1723">
            <w:pPr>
              <w:rPr>
                <w:b/>
                <w:bCs/>
                <w:szCs w:val="28"/>
              </w:rPr>
            </w:pPr>
            <w:r>
              <w:rPr>
                <w:rFonts w:hint="cs"/>
                <w:b/>
                <w:bCs/>
                <w:szCs w:val="28"/>
                <w:rtl/>
              </w:rPr>
              <w:t>השופט יעקב שפסר</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F636597" w14:textId="77777777" w:rsidR="00FC1723" w:rsidRDefault="00FC1723">
            <w:pPr>
              <w:rPr>
                <w:b/>
                <w:bCs/>
                <w:szCs w:val="28"/>
              </w:rPr>
            </w:pPr>
            <w:r>
              <w:rPr>
                <w:rFonts w:hint="cs"/>
                <w:b/>
                <w:bCs/>
                <w:szCs w:val="28"/>
                <w:rtl/>
              </w:rPr>
              <w:t>תאריך:</w:t>
            </w:r>
          </w:p>
        </w:tc>
        <w:tc>
          <w:tcPr>
            <w:tcW w:w="1951" w:type="dxa"/>
            <w:tcBorders>
              <w:top w:val="single" w:sz="4" w:space="0" w:color="auto"/>
              <w:left w:val="single" w:sz="4" w:space="0" w:color="auto"/>
              <w:bottom w:val="single" w:sz="4" w:space="0" w:color="auto"/>
              <w:right w:val="single" w:sz="4" w:space="0" w:color="auto"/>
            </w:tcBorders>
          </w:tcPr>
          <w:p w14:paraId="633D31C3" w14:textId="77777777" w:rsidR="00FC1723" w:rsidRDefault="00FC1723">
            <w:pPr>
              <w:rPr>
                <w:b/>
                <w:bCs/>
                <w:szCs w:val="28"/>
              </w:rPr>
            </w:pPr>
            <w:r>
              <w:rPr>
                <w:rFonts w:hint="cs"/>
                <w:b/>
                <w:bCs/>
                <w:szCs w:val="28"/>
                <w:rtl/>
              </w:rPr>
              <w:t>24/04/2006</w:t>
            </w:r>
          </w:p>
        </w:tc>
      </w:tr>
    </w:tbl>
    <w:p w14:paraId="6233C6C6" w14:textId="77777777" w:rsidR="00FC1723" w:rsidRDefault="00FC1723">
      <w:pPr>
        <w:pStyle w:val="Header"/>
        <w:jc w:val="left"/>
        <w:rPr>
          <w:rFonts w:hint="cs"/>
          <w:rtl/>
        </w:rPr>
      </w:pPr>
    </w:p>
    <w:p w14:paraId="775D867F" w14:textId="77777777" w:rsidR="00FC1723" w:rsidRDefault="00FC1723">
      <w:pPr>
        <w:spacing w:line="240" w:lineRule="auto"/>
        <w:rPr>
          <w:rFonts w:hint="cs"/>
          <w:b/>
          <w:b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FC1723" w14:paraId="68ADE4BC" w14:textId="77777777">
        <w:tc>
          <w:tcPr>
            <w:tcW w:w="1362" w:type="dxa"/>
          </w:tcPr>
          <w:p w14:paraId="59FDBDE8" w14:textId="77777777" w:rsidR="00FC1723" w:rsidRDefault="00FC1723">
            <w:pPr>
              <w:pStyle w:val="a0"/>
              <w:rPr>
                <w:szCs w:val="26"/>
              </w:rPr>
            </w:pPr>
            <w:bookmarkStart w:id="1" w:name="שם_א" w:colFirst="1" w:colLast="1"/>
            <w:bookmarkStart w:id="2" w:name="FirstAppellant"/>
            <w:r>
              <w:rPr>
                <w:rFonts w:hint="cs"/>
                <w:rtl/>
              </w:rPr>
              <w:t>בעניין:</w:t>
            </w:r>
          </w:p>
        </w:tc>
        <w:tc>
          <w:tcPr>
            <w:tcW w:w="4820" w:type="dxa"/>
            <w:gridSpan w:val="2"/>
          </w:tcPr>
          <w:p w14:paraId="766B4C36" w14:textId="77777777" w:rsidR="00FC1723" w:rsidRDefault="00FC1723">
            <w:pPr>
              <w:pStyle w:val="a0"/>
            </w:pPr>
            <w:r>
              <w:rPr>
                <w:rFonts w:hint="cs"/>
                <w:rtl/>
              </w:rPr>
              <w:t xml:space="preserve">מדינת ישראל </w:t>
            </w:r>
          </w:p>
          <w:p w14:paraId="0D57B925" w14:textId="77777777" w:rsidR="00FC1723" w:rsidRDefault="00FC1723">
            <w:pPr>
              <w:pStyle w:val="a0"/>
            </w:pPr>
            <w:r>
              <w:rPr>
                <w:rFonts w:hint="cs"/>
                <w:rtl/>
              </w:rPr>
              <w:t>לשכת תביעות מרחב נגב - באר שבע</w:t>
            </w:r>
          </w:p>
        </w:tc>
        <w:tc>
          <w:tcPr>
            <w:tcW w:w="2409" w:type="dxa"/>
          </w:tcPr>
          <w:p w14:paraId="796667ED" w14:textId="77777777" w:rsidR="00FC1723" w:rsidRDefault="00FC1723">
            <w:pPr>
              <w:pStyle w:val="a0"/>
            </w:pPr>
          </w:p>
        </w:tc>
      </w:tr>
      <w:tr w:rsidR="00FC1723" w14:paraId="3EF0B400" w14:textId="77777777">
        <w:tc>
          <w:tcPr>
            <w:tcW w:w="1362" w:type="dxa"/>
          </w:tcPr>
          <w:p w14:paraId="722CE107" w14:textId="77777777" w:rsidR="00FC1723" w:rsidRDefault="00FC1723">
            <w:pPr>
              <w:pStyle w:val="a0"/>
              <w:rPr>
                <w:szCs w:val="26"/>
              </w:rPr>
            </w:pPr>
            <w:bookmarkStart w:id="3" w:name="בא_כוח_א" w:colFirst="2" w:colLast="2"/>
            <w:bookmarkStart w:id="4" w:name="FirstLawyer"/>
            <w:bookmarkEnd w:id="1"/>
            <w:bookmarkEnd w:id="2"/>
          </w:p>
        </w:tc>
        <w:tc>
          <w:tcPr>
            <w:tcW w:w="1757" w:type="dxa"/>
          </w:tcPr>
          <w:p w14:paraId="3EC1B67D" w14:textId="77777777" w:rsidR="00FC1723" w:rsidRDefault="00FC1723">
            <w:pPr>
              <w:pStyle w:val="a0"/>
            </w:pPr>
            <w:r>
              <w:rPr>
                <w:rFonts w:hint="cs"/>
                <w:rtl/>
              </w:rPr>
              <w:t>ע"י ב"כ</w:t>
            </w:r>
            <w:r>
              <w:rPr>
                <w:rFonts w:hint="cs"/>
              </w:rPr>
              <w:t xml:space="preserve"> </w:t>
            </w:r>
            <w:r>
              <w:rPr>
                <w:rFonts w:hint="cs"/>
                <w:rtl/>
              </w:rPr>
              <w:t xml:space="preserve"> עו"ד </w:t>
            </w:r>
          </w:p>
        </w:tc>
        <w:tc>
          <w:tcPr>
            <w:tcW w:w="3063" w:type="dxa"/>
          </w:tcPr>
          <w:p w14:paraId="2882B772" w14:textId="77777777" w:rsidR="00FC1723" w:rsidRDefault="00FC1723">
            <w:pPr>
              <w:pStyle w:val="a0"/>
            </w:pPr>
            <w:r>
              <w:rPr>
                <w:rFonts w:hint="cs"/>
                <w:rtl/>
              </w:rPr>
              <w:t>ניסים כחלון ועו"ד איילת גיל</w:t>
            </w:r>
          </w:p>
        </w:tc>
        <w:tc>
          <w:tcPr>
            <w:tcW w:w="2409" w:type="dxa"/>
          </w:tcPr>
          <w:p w14:paraId="39C468AE" w14:textId="77777777" w:rsidR="00FC1723" w:rsidRDefault="00FC1723">
            <w:pPr>
              <w:pStyle w:val="a0"/>
            </w:pPr>
            <w:r>
              <w:rPr>
                <w:rFonts w:hint="cs"/>
                <w:rtl/>
              </w:rPr>
              <w:t>המאשימה</w:t>
            </w:r>
          </w:p>
        </w:tc>
      </w:tr>
      <w:bookmarkEnd w:id="3"/>
      <w:bookmarkEnd w:id="4"/>
      <w:tr w:rsidR="00FC1723" w14:paraId="5F049225" w14:textId="77777777">
        <w:tc>
          <w:tcPr>
            <w:tcW w:w="1362" w:type="dxa"/>
          </w:tcPr>
          <w:p w14:paraId="33364735" w14:textId="77777777" w:rsidR="00FC1723" w:rsidRDefault="00FC1723">
            <w:pPr>
              <w:pStyle w:val="a0"/>
            </w:pPr>
          </w:p>
        </w:tc>
        <w:tc>
          <w:tcPr>
            <w:tcW w:w="4820" w:type="dxa"/>
            <w:gridSpan w:val="2"/>
          </w:tcPr>
          <w:p w14:paraId="4456829D" w14:textId="77777777" w:rsidR="00FC1723" w:rsidRDefault="00FC1723">
            <w:pPr>
              <w:pStyle w:val="a0"/>
              <w:jc w:val="center"/>
            </w:pPr>
            <w:r>
              <w:rPr>
                <w:rFonts w:hint="cs"/>
                <w:rtl/>
              </w:rPr>
              <w:t>נ  ג  ד</w:t>
            </w:r>
          </w:p>
        </w:tc>
        <w:tc>
          <w:tcPr>
            <w:tcW w:w="2409" w:type="dxa"/>
          </w:tcPr>
          <w:p w14:paraId="45DD8A04" w14:textId="77777777" w:rsidR="00FC1723" w:rsidRDefault="00FC1723">
            <w:pPr>
              <w:pStyle w:val="a0"/>
            </w:pPr>
          </w:p>
        </w:tc>
      </w:tr>
      <w:tr w:rsidR="00FC1723" w14:paraId="4BA0086E" w14:textId="77777777">
        <w:tc>
          <w:tcPr>
            <w:tcW w:w="1362" w:type="dxa"/>
          </w:tcPr>
          <w:p w14:paraId="4D677559" w14:textId="77777777" w:rsidR="00FC1723" w:rsidRDefault="00FC1723">
            <w:pPr>
              <w:pStyle w:val="a0"/>
              <w:rPr>
                <w:szCs w:val="26"/>
              </w:rPr>
            </w:pPr>
            <w:bookmarkStart w:id="5" w:name="שם_ב" w:colFirst="1" w:colLast="1"/>
          </w:p>
        </w:tc>
        <w:tc>
          <w:tcPr>
            <w:tcW w:w="4820" w:type="dxa"/>
            <w:gridSpan w:val="2"/>
          </w:tcPr>
          <w:p w14:paraId="150DC45B" w14:textId="77777777" w:rsidR="00FC1723" w:rsidRDefault="00FC1723">
            <w:pPr>
              <w:pStyle w:val="a0"/>
            </w:pPr>
            <w:r>
              <w:rPr>
                <w:rFonts w:hint="cs"/>
                <w:rtl/>
              </w:rPr>
              <w:t>אוליאננקו איגור- בעצמו</w:t>
            </w:r>
          </w:p>
        </w:tc>
        <w:tc>
          <w:tcPr>
            <w:tcW w:w="2409" w:type="dxa"/>
          </w:tcPr>
          <w:p w14:paraId="4C32958C" w14:textId="77777777" w:rsidR="00FC1723" w:rsidRDefault="00FC1723">
            <w:pPr>
              <w:pStyle w:val="a0"/>
            </w:pPr>
          </w:p>
        </w:tc>
      </w:tr>
      <w:tr w:rsidR="00FC1723" w14:paraId="7F693653" w14:textId="77777777">
        <w:tc>
          <w:tcPr>
            <w:tcW w:w="1362" w:type="dxa"/>
          </w:tcPr>
          <w:p w14:paraId="5570455E" w14:textId="77777777" w:rsidR="00FC1723" w:rsidRDefault="00FC1723">
            <w:pPr>
              <w:pStyle w:val="a0"/>
              <w:rPr>
                <w:szCs w:val="26"/>
              </w:rPr>
            </w:pPr>
            <w:bookmarkStart w:id="6" w:name="בא_כוח_ב" w:colFirst="2" w:colLast="2"/>
            <w:bookmarkEnd w:id="5"/>
          </w:p>
        </w:tc>
        <w:tc>
          <w:tcPr>
            <w:tcW w:w="1757" w:type="dxa"/>
          </w:tcPr>
          <w:p w14:paraId="4F220615" w14:textId="77777777" w:rsidR="00FC1723" w:rsidRDefault="00FC1723">
            <w:pPr>
              <w:pStyle w:val="a0"/>
            </w:pPr>
            <w:r>
              <w:rPr>
                <w:rFonts w:hint="cs"/>
                <w:rtl/>
              </w:rPr>
              <w:t>ע"י ב"כ עו"ד</w:t>
            </w:r>
          </w:p>
        </w:tc>
        <w:tc>
          <w:tcPr>
            <w:tcW w:w="3063" w:type="dxa"/>
          </w:tcPr>
          <w:p w14:paraId="675032C9" w14:textId="77777777" w:rsidR="00FC1723" w:rsidRDefault="00FC1723">
            <w:pPr>
              <w:pStyle w:val="a0"/>
            </w:pPr>
            <w:r>
              <w:rPr>
                <w:rFonts w:hint="cs"/>
                <w:rtl/>
              </w:rPr>
              <w:t>יעקב גסר</w:t>
            </w:r>
          </w:p>
        </w:tc>
        <w:tc>
          <w:tcPr>
            <w:tcW w:w="2409" w:type="dxa"/>
          </w:tcPr>
          <w:p w14:paraId="0AB93D16" w14:textId="77777777" w:rsidR="00FC1723" w:rsidRDefault="00FC1723">
            <w:pPr>
              <w:pStyle w:val="a0"/>
            </w:pPr>
            <w:r>
              <w:rPr>
                <w:rFonts w:hint="cs"/>
                <w:rtl/>
              </w:rPr>
              <w:t>הנאשם</w:t>
            </w:r>
          </w:p>
        </w:tc>
      </w:tr>
    </w:tbl>
    <w:p w14:paraId="02561D58" w14:textId="77777777" w:rsidR="003A7A8C" w:rsidRDefault="003A7A8C">
      <w:pPr>
        <w:spacing w:line="240" w:lineRule="auto"/>
        <w:rPr>
          <w:rtl/>
        </w:rPr>
      </w:pPr>
      <w:bookmarkStart w:id="7" w:name="LawTable"/>
      <w:bookmarkEnd w:id="6"/>
      <w:bookmarkEnd w:id="7"/>
    </w:p>
    <w:p w14:paraId="3CB070F1" w14:textId="77777777" w:rsidR="003A7A8C" w:rsidRPr="003A7A8C" w:rsidRDefault="003A7A8C" w:rsidP="003A7A8C">
      <w:pPr>
        <w:spacing w:after="120" w:line="240" w:lineRule="exact"/>
        <w:ind w:left="283" w:hanging="283"/>
        <w:rPr>
          <w:rFonts w:ascii="FrankRuehl" w:hAnsi="FrankRuehl" w:cs="FrankRuehl"/>
          <w:sz w:val="24"/>
          <w:rtl/>
        </w:rPr>
      </w:pPr>
    </w:p>
    <w:p w14:paraId="57E99B54" w14:textId="77777777" w:rsidR="003A7A8C" w:rsidRPr="003A7A8C" w:rsidRDefault="003A7A8C" w:rsidP="003A7A8C">
      <w:pPr>
        <w:spacing w:after="120" w:line="240" w:lineRule="exact"/>
        <w:ind w:left="283" w:hanging="283"/>
        <w:rPr>
          <w:rFonts w:ascii="FrankRuehl" w:hAnsi="FrankRuehl" w:cs="FrankRuehl"/>
          <w:sz w:val="24"/>
          <w:rtl/>
        </w:rPr>
      </w:pPr>
      <w:r w:rsidRPr="003A7A8C">
        <w:rPr>
          <w:rFonts w:ascii="FrankRuehl" w:hAnsi="FrankRuehl" w:cs="FrankRuehl"/>
          <w:sz w:val="24"/>
          <w:rtl/>
        </w:rPr>
        <w:t xml:space="preserve">חקיקה שאוזכרה: </w:t>
      </w:r>
    </w:p>
    <w:p w14:paraId="37F8C4D3" w14:textId="77777777" w:rsidR="003A7A8C" w:rsidRPr="003A7A8C" w:rsidRDefault="003A7A8C" w:rsidP="003A7A8C">
      <w:pPr>
        <w:spacing w:after="120" w:line="240" w:lineRule="exact"/>
        <w:ind w:left="283" w:hanging="283"/>
        <w:rPr>
          <w:rFonts w:ascii="FrankRuehl" w:hAnsi="FrankRuehl" w:cs="FrankRuehl"/>
          <w:sz w:val="24"/>
          <w:rtl/>
        </w:rPr>
      </w:pPr>
      <w:hyperlink r:id="rId7" w:history="1">
        <w:r w:rsidRPr="003A7A8C">
          <w:rPr>
            <w:rFonts w:ascii="FrankRuehl" w:hAnsi="FrankRuehl" w:cs="FrankRuehl"/>
            <w:color w:val="0000FF"/>
            <w:sz w:val="24"/>
            <w:u w:val="single"/>
            <w:rtl/>
          </w:rPr>
          <w:t>חוק העונשין, תשל"ז-1977</w:t>
        </w:r>
      </w:hyperlink>
      <w:r w:rsidRPr="003A7A8C">
        <w:rPr>
          <w:rFonts w:ascii="FrankRuehl" w:hAnsi="FrankRuehl" w:cs="FrankRuehl"/>
          <w:sz w:val="24"/>
          <w:rtl/>
        </w:rPr>
        <w:t xml:space="preserve">: סע'  </w:t>
      </w:r>
      <w:hyperlink r:id="rId8" w:history="1">
        <w:r w:rsidRPr="003A7A8C">
          <w:rPr>
            <w:rFonts w:ascii="FrankRuehl" w:hAnsi="FrankRuehl" w:cs="FrankRuehl"/>
            <w:color w:val="0000FF"/>
            <w:sz w:val="24"/>
            <w:u w:val="single"/>
            <w:rtl/>
          </w:rPr>
          <w:t>345(א)(2)</w:t>
        </w:r>
      </w:hyperlink>
      <w:r w:rsidRPr="003A7A8C">
        <w:rPr>
          <w:rFonts w:ascii="FrankRuehl" w:hAnsi="FrankRuehl" w:cs="FrankRuehl"/>
          <w:sz w:val="24"/>
          <w:rtl/>
        </w:rPr>
        <w:t xml:space="preserve">, </w:t>
      </w:r>
      <w:hyperlink r:id="rId9" w:history="1">
        <w:r w:rsidRPr="003A7A8C">
          <w:rPr>
            <w:rFonts w:ascii="FrankRuehl" w:hAnsi="FrankRuehl" w:cs="FrankRuehl"/>
            <w:color w:val="0000FF"/>
            <w:sz w:val="24"/>
            <w:u w:val="single"/>
            <w:rtl/>
          </w:rPr>
          <w:t>348(א)</w:t>
        </w:r>
      </w:hyperlink>
      <w:r w:rsidRPr="003A7A8C">
        <w:rPr>
          <w:rFonts w:ascii="FrankRuehl" w:hAnsi="FrankRuehl" w:cs="FrankRuehl"/>
          <w:sz w:val="24"/>
          <w:rtl/>
        </w:rPr>
        <w:t xml:space="preserve">, </w:t>
      </w:r>
      <w:hyperlink r:id="rId10" w:history="1">
        <w:r w:rsidRPr="003A7A8C">
          <w:rPr>
            <w:rFonts w:ascii="FrankRuehl" w:hAnsi="FrankRuehl" w:cs="FrankRuehl"/>
            <w:color w:val="0000FF"/>
            <w:sz w:val="24"/>
            <w:u w:val="single"/>
            <w:rtl/>
          </w:rPr>
          <w:t>348(ו)</w:t>
        </w:r>
      </w:hyperlink>
    </w:p>
    <w:p w14:paraId="5DA3AE4A" w14:textId="77777777" w:rsidR="003A7A8C" w:rsidRPr="003A7A8C" w:rsidRDefault="003A7A8C" w:rsidP="003A7A8C">
      <w:pPr>
        <w:spacing w:after="120" w:line="240" w:lineRule="exact"/>
        <w:ind w:left="283" w:hanging="283"/>
        <w:rPr>
          <w:rFonts w:ascii="FrankRuehl" w:hAnsi="FrankRuehl" w:cs="FrankRuehl"/>
          <w:sz w:val="24"/>
          <w:rtl/>
        </w:rPr>
      </w:pPr>
      <w:hyperlink r:id="rId11" w:history="1">
        <w:r w:rsidRPr="003A7A8C">
          <w:rPr>
            <w:rFonts w:ascii="FrankRuehl" w:hAnsi="FrankRuehl" w:cs="FrankRuehl"/>
            <w:color w:val="0000FF"/>
            <w:sz w:val="24"/>
            <w:u w:val="single"/>
            <w:rtl/>
          </w:rPr>
          <w:t>פקודת הראיות [נוסח חדש], תשל"א-1971</w:t>
        </w:r>
      </w:hyperlink>
      <w:r w:rsidRPr="003A7A8C">
        <w:rPr>
          <w:rFonts w:ascii="FrankRuehl" w:hAnsi="FrankRuehl" w:cs="FrankRuehl"/>
          <w:sz w:val="24"/>
          <w:rtl/>
        </w:rPr>
        <w:t xml:space="preserve">: סע'  </w:t>
      </w:r>
      <w:hyperlink r:id="rId12" w:history="1">
        <w:r w:rsidRPr="003A7A8C">
          <w:rPr>
            <w:rFonts w:ascii="FrankRuehl" w:hAnsi="FrankRuehl" w:cs="FrankRuehl"/>
            <w:color w:val="0000FF"/>
            <w:sz w:val="24"/>
            <w:u w:val="single"/>
            <w:rtl/>
          </w:rPr>
          <w:t>54א(ב)</w:t>
        </w:r>
      </w:hyperlink>
    </w:p>
    <w:p w14:paraId="6B622C57" w14:textId="77777777" w:rsidR="003A7A8C" w:rsidRPr="003A7A8C" w:rsidRDefault="003A7A8C" w:rsidP="003A7A8C">
      <w:pPr>
        <w:spacing w:after="120" w:line="240" w:lineRule="exact"/>
        <w:ind w:left="283" w:hanging="283"/>
        <w:rPr>
          <w:rFonts w:ascii="FrankRuehl" w:hAnsi="FrankRuehl" w:cs="FrankRuehl"/>
          <w:sz w:val="24"/>
          <w:rtl/>
        </w:rPr>
      </w:pPr>
    </w:p>
    <w:p w14:paraId="304BEF2E" w14:textId="77777777" w:rsidR="003A7A8C" w:rsidRPr="003A7A8C" w:rsidRDefault="003A7A8C">
      <w:pPr>
        <w:spacing w:line="240" w:lineRule="auto"/>
        <w:rPr>
          <w:rtl/>
        </w:rPr>
      </w:pPr>
      <w:bookmarkStart w:id="8" w:name="LawTable_End"/>
      <w:bookmarkEnd w:id="8"/>
    </w:p>
    <w:p w14:paraId="6C238F00" w14:textId="77777777" w:rsidR="003A7A8C" w:rsidRPr="003A7A8C" w:rsidRDefault="003A7A8C">
      <w:pPr>
        <w:spacing w:line="240" w:lineRule="auto"/>
        <w:rPr>
          <w:b/>
          <w:bCs/>
          <w:rtl/>
        </w:rPr>
      </w:pPr>
    </w:p>
    <w:p w14:paraId="2B31E44B" w14:textId="77777777" w:rsidR="00FC1723" w:rsidRPr="003A7A8C" w:rsidRDefault="00FC1723">
      <w:pPr>
        <w:spacing w:line="240" w:lineRule="auto"/>
        <w:rPr>
          <w:rFonts w:hint="cs"/>
          <w:b/>
          <w:bCs/>
          <w:rtl/>
        </w:rPr>
      </w:pPr>
    </w:p>
    <w:p w14:paraId="340FDD4D" w14:textId="77777777" w:rsidR="00134D76" w:rsidRPr="00134D76" w:rsidRDefault="00134D76">
      <w:pPr>
        <w:pStyle w:val="Heading1"/>
        <w:jc w:val="both"/>
        <w:rPr>
          <w:b w:val="0"/>
          <w:bCs w:val="0"/>
          <w:u w:val="none"/>
          <w:rtl/>
        </w:rPr>
      </w:pPr>
      <w:bookmarkStart w:id="9" w:name="סוג_מסמך"/>
    </w:p>
    <w:p w14:paraId="5FA99475" w14:textId="77777777" w:rsidR="00134D76" w:rsidRPr="00134D76" w:rsidRDefault="00134D76">
      <w:pPr>
        <w:pStyle w:val="Heading1"/>
        <w:jc w:val="both"/>
        <w:rPr>
          <w:u w:val="none"/>
          <w:rtl/>
        </w:rPr>
      </w:pPr>
    </w:p>
    <w:p w14:paraId="07B14345" w14:textId="77777777" w:rsidR="00FC1723" w:rsidRPr="00134D76" w:rsidRDefault="00FC1723">
      <w:pPr>
        <w:pStyle w:val="Heading1"/>
        <w:jc w:val="both"/>
        <w:rPr>
          <w:rFonts w:hint="cs"/>
          <w:u w:val="none"/>
          <w:rtl/>
        </w:rPr>
      </w:pPr>
    </w:p>
    <w:p w14:paraId="366E5DB9" w14:textId="77777777" w:rsidR="00FC1723" w:rsidRDefault="00FC1723">
      <w:pPr>
        <w:pBdr>
          <w:top w:val="single" w:sz="4" w:space="1" w:color="auto"/>
          <w:bottom w:val="single" w:sz="4" w:space="1" w:color="auto"/>
        </w:pBdr>
        <w:spacing w:after="120" w:line="320" w:lineRule="exact"/>
        <w:rPr>
          <w:rFonts w:ascii="Franklin Gothic Medium" w:hAnsi="Franklin Gothic Medium" w:cs="FrankRuehl" w:hint="cs"/>
          <w:sz w:val="26"/>
          <w:szCs w:val="26"/>
          <w:rtl/>
        </w:rPr>
      </w:pPr>
      <w:bookmarkStart w:id="10" w:name="ABSTRACT_START"/>
      <w:bookmarkEnd w:id="10"/>
      <w:r>
        <w:rPr>
          <w:rFonts w:ascii="Franklin Gothic Medium" w:hAnsi="Franklin Gothic Medium" w:cs="FrankRuehl"/>
          <w:sz w:val="26"/>
          <w:szCs w:val="26"/>
          <w:rtl/>
        </w:rPr>
        <w:t>מיני-רציו:</w:t>
      </w:r>
    </w:p>
    <w:p w14:paraId="430E49C4" w14:textId="77777777" w:rsidR="00FC1723" w:rsidRDefault="00FC1723">
      <w:pPr>
        <w:pBdr>
          <w:top w:val="single" w:sz="4" w:space="1" w:color="auto"/>
          <w:bottom w:val="single" w:sz="4" w:space="1" w:color="auto"/>
        </w:pBdr>
        <w:spacing w:after="120" w:line="320" w:lineRule="exact"/>
        <w:rPr>
          <w:rFonts w:ascii="Franklin Gothic Medium" w:hAnsi="Franklin Gothic Medium" w:cs="FrankRuehl" w:hint="cs"/>
          <w:sz w:val="26"/>
          <w:szCs w:val="26"/>
          <w:rtl/>
        </w:rPr>
      </w:pPr>
      <w:r>
        <w:rPr>
          <w:rFonts w:ascii="Franklin Gothic Medium" w:hAnsi="Franklin Gothic Medium" w:cs="FrankRuehl" w:hint="cs"/>
          <w:sz w:val="26"/>
          <w:szCs w:val="26"/>
          <w:rtl/>
        </w:rPr>
        <w:t xml:space="preserve">* </w:t>
      </w:r>
      <w:r>
        <w:rPr>
          <w:rFonts w:ascii="Franklin Gothic Medium" w:hAnsi="Franklin Gothic Medium" w:cs="FrankRuehl"/>
          <w:sz w:val="26"/>
          <w:szCs w:val="26"/>
          <w:rtl/>
        </w:rPr>
        <w:t>עונשין – עבירות – מעשה מגונה</w:t>
      </w:r>
    </w:p>
    <w:p w14:paraId="1630A997" w14:textId="77777777" w:rsidR="00FC1723" w:rsidRDefault="00FC1723">
      <w:pPr>
        <w:pBdr>
          <w:top w:val="single" w:sz="4" w:space="1" w:color="auto"/>
          <w:bottom w:val="single" w:sz="4" w:space="1" w:color="auto"/>
        </w:pBdr>
        <w:spacing w:after="120" w:line="320" w:lineRule="exact"/>
        <w:rPr>
          <w:rFonts w:ascii="Franklin Gothic Medium" w:hAnsi="Franklin Gothic Medium" w:cs="FrankRuehl" w:hint="cs"/>
          <w:sz w:val="26"/>
          <w:szCs w:val="26"/>
          <w:rtl/>
        </w:rPr>
      </w:pPr>
      <w:r>
        <w:rPr>
          <w:rFonts w:ascii="Franklin Gothic Medium" w:hAnsi="Franklin Gothic Medium" w:cs="FrankRuehl"/>
          <w:sz w:val="26"/>
          <w:szCs w:val="26"/>
          <w:rtl/>
        </w:rPr>
        <w:t>כתב האישום ייחס לנאשם, שעבד כמעסה במלון, ביצוע מעשה מגונה במהלך עיסוי בתשלום שביצע במתלוננת.</w:t>
      </w:r>
    </w:p>
    <w:p w14:paraId="63E6C0F9" w14:textId="77777777" w:rsidR="00FC1723" w:rsidRDefault="00FC1723">
      <w:pPr>
        <w:pBdr>
          <w:top w:val="single" w:sz="4" w:space="1" w:color="auto"/>
          <w:bottom w:val="single" w:sz="4" w:space="1" w:color="auto"/>
        </w:pBdr>
        <w:spacing w:after="120" w:line="320" w:lineRule="exact"/>
        <w:rPr>
          <w:rFonts w:ascii="Franklin Gothic Medium" w:hAnsi="Franklin Gothic Medium" w:cs="FrankRuehl" w:hint="cs"/>
          <w:sz w:val="26"/>
          <w:szCs w:val="26"/>
          <w:rtl/>
        </w:rPr>
      </w:pPr>
      <w:r>
        <w:rPr>
          <w:rFonts w:ascii="Franklin Gothic Medium" w:hAnsi="Franklin Gothic Medium" w:cs="FrankRuehl" w:hint="cs"/>
          <w:sz w:val="26"/>
          <w:szCs w:val="26"/>
          <w:rtl/>
        </w:rPr>
        <w:t>.</w:t>
      </w:r>
    </w:p>
    <w:p w14:paraId="2685F65D" w14:textId="77777777" w:rsidR="00FC1723" w:rsidRDefault="00FC1723">
      <w:pPr>
        <w:pBdr>
          <w:top w:val="single" w:sz="4" w:space="1" w:color="auto"/>
          <w:bottom w:val="single" w:sz="4" w:space="1" w:color="auto"/>
        </w:pBdr>
        <w:spacing w:after="120" w:line="320" w:lineRule="exact"/>
        <w:rPr>
          <w:rFonts w:ascii="Franklin Gothic Medium" w:hAnsi="Franklin Gothic Medium" w:cs="FrankRuehl" w:hint="cs"/>
          <w:sz w:val="26"/>
          <w:szCs w:val="26"/>
          <w:rtl/>
        </w:rPr>
      </w:pPr>
      <w:r>
        <w:rPr>
          <w:rFonts w:ascii="Franklin Gothic Medium" w:hAnsi="Franklin Gothic Medium" w:cs="FrankRuehl"/>
          <w:sz w:val="26"/>
          <w:szCs w:val="26"/>
          <w:rtl/>
        </w:rPr>
        <w:t>בימ"ש השלום זיכה את הנאשם מחמת הספק ופסק כי:</w:t>
      </w:r>
    </w:p>
    <w:p w14:paraId="7C490275" w14:textId="77777777" w:rsidR="00FC1723" w:rsidRDefault="00FC1723">
      <w:pPr>
        <w:pBdr>
          <w:top w:val="single" w:sz="4" w:space="1" w:color="auto"/>
          <w:bottom w:val="single" w:sz="4" w:space="1" w:color="auto"/>
        </w:pBdr>
        <w:spacing w:after="120" w:line="320" w:lineRule="exact"/>
        <w:rPr>
          <w:rFonts w:ascii="Franklin Gothic Medium" w:hAnsi="Franklin Gothic Medium" w:cs="FrankRuehl" w:hint="cs"/>
          <w:sz w:val="26"/>
          <w:szCs w:val="26"/>
          <w:rtl/>
        </w:rPr>
      </w:pPr>
      <w:r>
        <w:rPr>
          <w:rFonts w:ascii="Franklin Gothic Medium" w:hAnsi="Franklin Gothic Medium" w:cs="FrankRuehl"/>
          <w:sz w:val="26"/>
          <w:szCs w:val="26"/>
          <w:rtl/>
        </w:rPr>
        <w:t xml:space="preserve">היסוד העובדתי בעבירה של עשיית מעשה מגונה הוא מעשה שבנסיבות העניין הוא בעיני האדם הסביר מעשה מגונה, ובלבד שנעשה הוא למטרה של גירוי, סיפוק או ביזוי מיני. לצורך אחריות פלילית אין די בכך שהמעשה יהיה על פניו פגום מן הבחינה המוסרית אם לא נתלוותה לו מטרה להשיג את אחד </w:t>
      </w:r>
      <w:r>
        <w:rPr>
          <w:rFonts w:ascii="Franklin Gothic Medium" w:hAnsi="Franklin Gothic Medium" w:cs="FrankRuehl"/>
          <w:sz w:val="26"/>
          <w:szCs w:val="26"/>
          <w:rtl/>
        </w:rPr>
        <w:lastRenderedPageBreak/>
        <w:t>היעדים כאמור. ככזו, עבירת המעשה המגונה מחייבת הוכחת קיומה של מטרה כיסוד נפשי בעבירה אולם אין בצדה דרישה להתממשות אותו יעד.</w:t>
      </w:r>
    </w:p>
    <w:p w14:paraId="17F036F2" w14:textId="77777777" w:rsidR="00FC1723" w:rsidRDefault="00FC1723">
      <w:pPr>
        <w:pBdr>
          <w:top w:val="single" w:sz="4" w:space="1" w:color="auto"/>
          <w:bottom w:val="single" w:sz="4" w:space="1" w:color="auto"/>
        </w:pBdr>
        <w:spacing w:after="120" w:line="320" w:lineRule="exact"/>
        <w:rPr>
          <w:rFonts w:ascii="Franklin Gothic Medium" w:hAnsi="Franklin Gothic Medium" w:cs="FrankRuehl" w:hint="cs"/>
          <w:sz w:val="26"/>
          <w:szCs w:val="26"/>
          <w:rtl/>
        </w:rPr>
      </w:pPr>
      <w:r>
        <w:rPr>
          <w:rFonts w:ascii="Franklin Gothic Medium" w:hAnsi="Franklin Gothic Medium" w:cs="FrankRuehl"/>
          <w:sz w:val="26"/>
          <w:szCs w:val="26"/>
          <w:rtl/>
        </w:rPr>
        <w:t>בנסיבות העניין, ברור כי הימצאותו של הנאשם ביחידות עם המתלוננת, כאשר הוא מעסה את גופה העירום לחלוטין, תוך נגיעה כזו או אחרת, באבריה האינטימיים או בסמוך להם, עונים בעל כורחם למושג "מעשה מגונה" בהקשרו העובדתי. ברם, לא הוכח קיומו של יסוד העבירה הנוגע להסכמתה שהושגה במרמה, שכן סביר יותר שהיתה כאן אי הבנה, "קצר בתקשורת", בין תכלית הגעתה ואורח מחשבתה של המתלוננת מחד, לבין התכלית אותה תפס הנאשם, לפי הבנתו הוא מאידך. כמו-כן, מעשי הנאשם בגופה של המתלוננת לא נועדו לסיפוק יצר מין, ומבחינתו לא כוונו להשגת אחת התכליות של גירוי, סיפוק או ביזוי מיניים, אלא עניינם היה ביצוע עבודתו לצורך קבלת שכרו ושביעות רצונה היא.</w:t>
      </w:r>
      <w:bookmarkStart w:id="11" w:name="ABSTRACT_END"/>
      <w:bookmarkEnd w:id="11"/>
    </w:p>
    <w:p w14:paraId="75789FE0" w14:textId="77777777" w:rsidR="00FC1723" w:rsidRDefault="00FC1723">
      <w:pPr>
        <w:rPr>
          <w:rFonts w:cs="Times New Roman" w:hint="cs"/>
          <w:sz w:val="24"/>
          <w:rtl/>
        </w:rPr>
      </w:pPr>
    </w:p>
    <w:p w14:paraId="2F9A5CE5" w14:textId="77777777" w:rsidR="00FC1723" w:rsidRDefault="00FC1723">
      <w:pPr>
        <w:rPr>
          <w:rFonts w:hint="cs"/>
          <w:rtl/>
        </w:rPr>
      </w:pPr>
    </w:p>
    <w:p w14:paraId="4FEA953B" w14:textId="77777777" w:rsidR="00FC1723" w:rsidRDefault="00FC1723">
      <w:pPr>
        <w:jc w:val="center"/>
        <w:rPr>
          <w:b/>
          <w:bCs/>
          <w:sz w:val="32"/>
          <w:szCs w:val="32"/>
          <w:u w:val="single"/>
          <w:rtl/>
        </w:rPr>
      </w:pPr>
      <w:bookmarkStart w:id="12" w:name="PsakDin"/>
      <w:bookmarkEnd w:id="0"/>
      <w:r>
        <w:rPr>
          <w:b/>
          <w:bCs/>
          <w:sz w:val="32"/>
          <w:szCs w:val="32"/>
          <w:u w:val="single"/>
          <w:rtl/>
        </w:rPr>
        <w:t>הכרעת דין</w:t>
      </w:r>
    </w:p>
    <w:bookmarkEnd w:id="12"/>
    <w:p w14:paraId="756BE2AE" w14:textId="77777777" w:rsidR="00FC1723" w:rsidRDefault="00FC1723">
      <w:pPr>
        <w:rPr>
          <w:rFonts w:hint="cs"/>
          <w:szCs w:val="26"/>
          <w:rtl/>
        </w:rPr>
      </w:pPr>
    </w:p>
    <w:p w14:paraId="46E41CC7" w14:textId="77777777" w:rsidR="00FC1723" w:rsidRDefault="00FC1723">
      <w:pPr>
        <w:rPr>
          <w:rFonts w:hint="cs"/>
          <w:szCs w:val="26"/>
          <w:rtl/>
        </w:rPr>
      </w:pPr>
      <w:r>
        <w:rPr>
          <w:rFonts w:hint="cs"/>
          <w:szCs w:val="26"/>
          <w:rtl/>
        </w:rPr>
        <w:t>החלטתי לזכות את הנאשם מחמת הספק.</w:t>
      </w:r>
    </w:p>
    <w:p w14:paraId="3830E9F7" w14:textId="77777777" w:rsidR="00FC1723" w:rsidRDefault="00FC1723">
      <w:pPr>
        <w:rPr>
          <w:rFonts w:hint="cs"/>
          <w:szCs w:val="26"/>
          <w:rtl/>
        </w:rPr>
      </w:pPr>
    </w:p>
    <w:p w14:paraId="478C833E" w14:textId="77777777" w:rsidR="00FC1723" w:rsidRDefault="00FC1723">
      <w:pPr>
        <w:rPr>
          <w:rFonts w:hint="cs"/>
          <w:b/>
          <w:bCs/>
          <w:sz w:val="28"/>
          <w:szCs w:val="28"/>
          <w:u w:val="single"/>
          <w:rtl/>
        </w:rPr>
      </w:pPr>
      <w:r>
        <w:rPr>
          <w:rFonts w:hint="cs"/>
          <w:b/>
          <w:bCs/>
          <w:sz w:val="28"/>
          <w:szCs w:val="28"/>
          <w:rtl/>
        </w:rPr>
        <w:t xml:space="preserve">א. </w:t>
      </w:r>
      <w:r>
        <w:rPr>
          <w:rFonts w:hint="cs"/>
          <w:b/>
          <w:bCs/>
          <w:sz w:val="28"/>
          <w:szCs w:val="28"/>
          <w:rtl/>
        </w:rPr>
        <w:tab/>
      </w:r>
      <w:r>
        <w:rPr>
          <w:rFonts w:hint="cs"/>
          <w:b/>
          <w:bCs/>
          <w:sz w:val="28"/>
          <w:szCs w:val="28"/>
          <w:u w:val="single"/>
          <w:rtl/>
        </w:rPr>
        <w:t>רקע</w:t>
      </w:r>
    </w:p>
    <w:p w14:paraId="7493CB8B" w14:textId="77777777" w:rsidR="00FC1723" w:rsidRDefault="00FC1723">
      <w:pPr>
        <w:rPr>
          <w:rFonts w:hint="cs"/>
          <w:szCs w:val="26"/>
          <w:rtl/>
        </w:rPr>
      </w:pPr>
    </w:p>
    <w:p w14:paraId="64F49485" w14:textId="77777777" w:rsidR="00FC1723" w:rsidRDefault="00FC1723">
      <w:pPr>
        <w:ind w:left="584" w:hanging="584"/>
        <w:rPr>
          <w:rFonts w:hint="cs"/>
          <w:sz w:val="22"/>
          <w:szCs w:val="26"/>
          <w:rtl/>
        </w:rPr>
      </w:pPr>
      <w:r>
        <w:rPr>
          <w:rFonts w:hint="cs"/>
          <w:szCs w:val="26"/>
          <w:rtl/>
        </w:rPr>
        <w:t xml:space="preserve">   1.</w:t>
      </w:r>
      <w:r>
        <w:rPr>
          <w:rFonts w:hint="cs"/>
          <w:szCs w:val="26"/>
          <w:rtl/>
        </w:rPr>
        <w:tab/>
        <w:t>בהתאם לכתב האישום נשוא תיק זה, מיוחסת לנאשם עבירת מעשה מגונה (</w:t>
      </w:r>
      <w:hyperlink r:id="rId13" w:history="1">
        <w:r w:rsidR="003A7A8C" w:rsidRPr="003A7A8C">
          <w:rPr>
            <w:color w:val="0000FF"/>
            <w:szCs w:val="26"/>
            <w:u w:val="single"/>
            <w:rtl/>
          </w:rPr>
          <w:t>סעיף 348(א)</w:t>
        </w:r>
      </w:hyperlink>
      <w:r w:rsidR="003A7A8C">
        <w:rPr>
          <w:rFonts w:hint="cs"/>
          <w:szCs w:val="26"/>
          <w:rtl/>
        </w:rPr>
        <w:t xml:space="preserve"> בנסיבות המנויות בסעיף </w:t>
      </w:r>
      <w:hyperlink r:id="rId14" w:history="1">
        <w:r w:rsidR="003A7A8C" w:rsidRPr="003A7A8C">
          <w:rPr>
            <w:color w:val="0000FF"/>
            <w:szCs w:val="26"/>
            <w:u w:val="single"/>
            <w:rtl/>
          </w:rPr>
          <w:t>345(א)(2)</w:t>
        </w:r>
      </w:hyperlink>
      <w:r>
        <w:rPr>
          <w:rFonts w:hint="cs"/>
          <w:szCs w:val="26"/>
          <w:rtl/>
        </w:rPr>
        <w:t xml:space="preserve"> ל</w:t>
      </w:r>
      <w:hyperlink r:id="rId15" w:history="1">
        <w:r w:rsidR="00134D76" w:rsidRPr="00134D76">
          <w:rPr>
            <w:rStyle w:val="Hyperlink"/>
            <w:rFonts w:hint="eastAsia"/>
            <w:szCs w:val="26"/>
            <w:rtl/>
          </w:rPr>
          <w:t>חוק</w:t>
        </w:r>
        <w:r w:rsidR="00134D76" w:rsidRPr="00134D76">
          <w:rPr>
            <w:rStyle w:val="Hyperlink"/>
            <w:szCs w:val="26"/>
            <w:rtl/>
          </w:rPr>
          <w:t xml:space="preserve"> העונשין</w:t>
        </w:r>
      </w:hyperlink>
      <w:r>
        <w:rPr>
          <w:rFonts w:hint="cs"/>
          <w:szCs w:val="26"/>
          <w:rtl/>
        </w:rPr>
        <w:t xml:space="preserve"> תשל"ז – 1977), זאת בגין ארוע מיום 5.7.03 במלון "קראון פלאז'ה" בים המלח,  עת ביצע הנאשם, כך נטען, מעשה מגונה במתלוננת, בהסכמתה שהושגה במרמה, בכך שבמהלך עיסוי בתשלום נגע באבריה המוצנעים, באופן החורג מהטיפול המקובל וזאת לשם גירוי, סיפוק או ביזוי מיניים.   </w:t>
      </w:r>
    </w:p>
    <w:p w14:paraId="15F2AA6E" w14:textId="77777777" w:rsidR="00FC1723" w:rsidRDefault="00FC1723">
      <w:pPr>
        <w:rPr>
          <w:rFonts w:hint="cs"/>
          <w:sz w:val="22"/>
          <w:szCs w:val="26"/>
          <w:rtl/>
        </w:rPr>
      </w:pPr>
    </w:p>
    <w:p w14:paraId="1980F7F5" w14:textId="77777777" w:rsidR="00FC1723" w:rsidRDefault="00FC1723">
      <w:pPr>
        <w:pStyle w:val="BodyTextIndent3"/>
        <w:numPr>
          <w:ilvl w:val="0"/>
          <w:numId w:val="6"/>
        </w:numPr>
        <w:ind w:right="0" w:hanging="496"/>
        <w:rPr>
          <w:rFonts w:hint="cs"/>
          <w:rtl/>
        </w:rPr>
      </w:pPr>
      <w:r>
        <w:rPr>
          <w:rFonts w:hint="cs"/>
          <w:rtl/>
        </w:rPr>
        <w:t>הנאשם כפר באמצעות סניגורו, עוה"ד יעקב גסר במיוחס לו בכתב האישום. בהתאם לכך נשמעו הראיות בתיק ובהמשך לסיכומי הצדדים, ניתנת הכרעת דין זו.</w:t>
      </w:r>
    </w:p>
    <w:p w14:paraId="03B53C1D" w14:textId="77777777" w:rsidR="00FC1723" w:rsidRDefault="00FC1723">
      <w:pPr>
        <w:pStyle w:val="BodyTextIndent3"/>
        <w:rPr>
          <w:rFonts w:hint="cs"/>
          <w:rtl/>
        </w:rPr>
      </w:pPr>
    </w:p>
    <w:p w14:paraId="5ACFCA4C" w14:textId="77777777" w:rsidR="00FC1723" w:rsidRDefault="00FC1723">
      <w:pPr>
        <w:pStyle w:val="BodyTextIndent3"/>
        <w:rPr>
          <w:rFonts w:hint="cs"/>
          <w:rtl/>
        </w:rPr>
      </w:pPr>
    </w:p>
    <w:p w14:paraId="7090B46D" w14:textId="77777777" w:rsidR="00FC1723" w:rsidRDefault="00FC1723">
      <w:pPr>
        <w:pStyle w:val="BodyTextIndent3"/>
        <w:numPr>
          <w:ilvl w:val="0"/>
          <w:numId w:val="8"/>
        </w:numPr>
        <w:tabs>
          <w:tab w:val="num" w:pos="764"/>
        </w:tabs>
        <w:ind w:right="0" w:hanging="901"/>
        <w:rPr>
          <w:rFonts w:hint="cs"/>
          <w:b/>
          <w:bCs/>
          <w:sz w:val="28"/>
          <w:szCs w:val="28"/>
          <w:u w:val="single"/>
          <w:rtl/>
        </w:rPr>
      </w:pPr>
      <w:r>
        <w:rPr>
          <w:rFonts w:hint="cs"/>
          <w:b/>
          <w:bCs/>
          <w:sz w:val="28"/>
          <w:szCs w:val="28"/>
          <w:u w:val="single"/>
          <w:rtl/>
        </w:rPr>
        <w:t>העובדות שאינן שנויות במחלוקת:</w:t>
      </w:r>
    </w:p>
    <w:p w14:paraId="7A66AC3C" w14:textId="77777777" w:rsidR="00FC1723" w:rsidRDefault="00FC1723">
      <w:pPr>
        <w:pStyle w:val="BodyTextIndent3"/>
        <w:rPr>
          <w:rFonts w:hint="cs"/>
          <w:b/>
          <w:bCs/>
          <w:u w:val="single"/>
          <w:rtl/>
        </w:rPr>
      </w:pPr>
    </w:p>
    <w:p w14:paraId="4FEA76B4" w14:textId="77777777" w:rsidR="00FC1723" w:rsidRDefault="00FC1723">
      <w:pPr>
        <w:pStyle w:val="BodyTextIndent3"/>
        <w:numPr>
          <w:ilvl w:val="1"/>
          <w:numId w:val="8"/>
        </w:numPr>
        <w:ind w:left="658" w:right="0" w:hanging="425"/>
        <w:rPr>
          <w:rFonts w:hint="cs"/>
          <w:rtl/>
        </w:rPr>
      </w:pPr>
      <w:r>
        <w:rPr>
          <w:rFonts w:hint="cs"/>
          <w:rtl/>
        </w:rPr>
        <w:t>הנאשם, עולה חדש, עבד בעת הרלוונטית כמעסה במלון. המתלוננת, שהיתה אורחת במלון, הזמינה בדלפק הקבלה עיסוי מסוג "אירו-ודה", אותו ביצע הנאשם.</w:t>
      </w:r>
    </w:p>
    <w:p w14:paraId="70D8A96F" w14:textId="77777777" w:rsidR="00FC1723" w:rsidRDefault="00FC1723">
      <w:pPr>
        <w:pStyle w:val="BodyTextIndent3"/>
        <w:ind w:hanging="360"/>
        <w:rPr>
          <w:rFonts w:hint="cs"/>
          <w:rtl/>
        </w:rPr>
      </w:pPr>
      <w:r>
        <w:rPr>
          <w:rFonts w:hint="cs"/>
          <w:rtl/>
        </w:rPr>
        <w:lastRenderedPageBreak/>
        <w:t>2.   העיסוי בוצע ע"י הנאשם משך כ-  45-50 דקות, כשהמתלוננת עירומה לגמרי, זאת לאחר שהנאשם הינחה אותה להסיר את שני חלקי בגד הים בו היתה לבושה, עובר לתחילת הטיפול.</w:t>
      </w:r>
    </w:p>
    <w:p w14:paraId="42E9038E" w14:textId="77777777" w:rsidR="00FC1723" w:rsidRDefault="00FC1723">
      <w:pPr>
        <w:pStyle w:val="BodyTextIndent3"/>
        <w:ind w:hanging="360"/>
        <w:rPr>
          <w:rFonts w:hint="cs"/>
          <w:rtl/>
        </w:rPr>
      </w:pPr>
      <w:r>
        <w:rPr>
          <w:rFonts w:hint="cs"/>
          <w:rtl/>
        </w:rPr>
        <w:t xml:space="preserve">3.  המדובר במתלוננת מנוסה בקבלת עיסויים (אם כי לא מסוג זה), אשר העידה על עצמה כי אין זו הפעם הראשונה בה מקבלת עיסוי ואינה תמימה או חסרת ידע בנושא.  </w:t>
      </w:r>
    </w:p>
    <w:p w14:paraId="003A3EB9" w14:textId="77777777" w:rsidR="00FC1723" w:rsidRDefault="00FC1723">
      <w:pPr>
        <w:pStyle w:val="BodyTextIndent3"/>
        <w:ind w:left="764" w:hanging="540"/>
        <w:rPr>
          <w:rFonts w:hint="cs"/>
          <w:rtl/>
        </w:rPr>
      </w:pPr>
      <w:r>
        <w:rPr>
          <w:rFonts w:hint="cs"/>
          <w:rtl/>
        </w:rPr>
        <w:t xml:space="preserve">4.   משך כל מהלך הטיפול, לא העירה המתלוננת דבר לנאשם. </w:t>
      </w:r>
    </w:p>
    <w:p w14:paraId="5584F468" w14:textId="77777777" w:rsidR="00FC1723" w:rsidRDefault="00FC1723">
      <w:pPr>
        <w:pStyle w:val="BodyTextIndent3"/>
        <w:ind w:left="764" w:hanging="764"/>
        <w:rPr>
          <w:rFonts w:hint="cs"/>
          <w:rtl/>
        </w:rPr>
      </w:pPr>
      <w:r>
        <w:rPr>
          <w:rFonts w:hint="cs"/>
          <w:rtl/>
        </w:rPr>
        <w:t xml:space="preserve">    5.   בתום הטיפול מסר הנאשם בידי המתלוננת כרטיס ביקור שלו.</w:t>
      </w:r>
    </w:p>
    <w:p w14:paraId="68A11245" w14:textId="77777777" w:rsidR="00FC1723" w:rsidRDefault="00FC1723">
      <w:pPr>
        <w:pStyle w:val="BodyTextIndent3"/>
        <w:numPr>
          <w:ilvl w:val="0"/>
          <w:numId w:val="10"/>
        </w:numPr>
        <w:ind w:right="0"/>
        <w:rPr>
          <w:rFonts w:hint="cs"/>
          <w:rtl/>
        </w:rPr>
      </w:pPr>
      <w:r>
        <w:rPr>
          <w:rFonts w:hint="cs"/>
          <w:rtl/>
        </w:rPr>
        <w:t>לאחר תום העיסוי, נפגשה המתלוננת עם חבר שלה, שעימו ועם משפחתו שהתה במלון, ולאחר ששוחחה עימו, ניגשו שניהם  לאחראית הספא במלון, כדי לדווח על האירוע. תשובת אחראית הספא היתה שהזמנתה של המתלוננת היתה עיסוי אירוטי, ועל כן אין פסול למעשה בפעולות הנאשם.</w:t>
      </w:r>
    </w:p>
    <w:p w14:paraId="0646DD27" w14:textId="77777777" w:rsidR="00FC1723" w:rsidRDefault="00FC1723">
      <w:pPr>
        <w:pStyle w:val="BodyTextIndent3"/>
        <w:rPr>
          <w:rFonts w:hint="cs"/>
          <w:b/>
          <w:bCs/>
          <w:u w:val="single"/>
          <w:rtl/>
        </w:rPr>
      </w:pPr>
      <w:r>
        <w:rPr>
          <w:rFonts w:hint="cs"/>
          <w:rtl/>
        </w:rPr>
        <w:t xml:space="preserve">   </w:t>
      </w:r>
    </w:p>
    <w:p w14:paraId="679ECCD9" w14:textId="77777777" w:rsidR="00FC1723" w:rsidRDefault="00FC1723">
      <w:pPr>
        <w:pStyle w:val="BodyTextIndent3"/>
        <w:numPr>
          <w:ilvl w:val="0"/>
          <w:numId w:val="8"/>
        </w:numPr>
        <w:ind w:right="0"/>
        <w:rPr>
          <w:rFonts w:hint="cs"/>
          <w:b/>
          <w:bCs/>
          <w:sz w:val="28"/>
          <w:szCs w:val="28"/>
          <w:rtl/>
        </w:rPr>
      </w:pPr>
      <w:r>
        <w:rPr>
          <w:rFonts w:hint="cs"/>
          <w:b/>
          <w:bCs/>
          <w:sz w:val="28"/>
          <w:szCs w:val="28"/>
          <w:u w:val="single"/>
          <w:rtl/>
        </w:rPr>
        <w:t>המחלוקת</w:t>
      </w:r>
    </w:p>
    <w:p w14:paraId="52259D10" w14:textId="77777777" w:rsidR="00FC1723" w:rsidRDefault="00FC1723">
      <w:pPr>
        <w:pStyle w:val="BodyTextIndent3"/>
        <w:rPr>
          <w:rFonts w:hint="cs"/>
          <w:b/>
          <w:bCs/>
          <w:rtl/>
        </w:rPr>
      </w:pPr>
    </w:p>
    <w:p w14:paraId="08074ECD" w14:textId="77777777" w:rsidR="00FC1723" w:rsidRDefault="00FC1723">
      <w:pPr>
        <w:ind w:left="404" w:hanging="44"/>
        <w:rPr>
          <w:rFonts w:hint="cs"/>
          <w:szCs w:val="26"/>
          <w:rtl/>
        </w:rPr>
      </w:pPr>
      <w:r>
        <w:rPr>
          <w:rFonts w:hint="cs"/>
          <w:szCs w:val="26"/>
          <w:rtl/>
        </w:rPr>
        <w:t>המחלוקת נשוא תיק זה מצומצמת באופן יחסי ונוגעת לשתי שאלות בלבד:</w:t>
      </w:r>
    </w:p>
    <w:p w14:paraId="1B66B5BD" w14:textId="77777777" w:rsidR="00FC1723" w:rsidRDefault="00FC1723">
      <w:pPr>
        <w:ind w:left="404" w:hanging="44"/>
        <w:rPr>
          <w:rFonts w:hint="cs"/>
          <w:szCs w:val="26"/>
          <w:rtl/>
        </w:rPr>
      </w:pPr>
    </w:p>
    <w:p w14:paraId="4E56CE07" w14:textId="77777777" w:rsidR="00FC1723" w:rsidRDefault="00FC1723">
      <w:pPr>
        <w:ind w:left="764" w:hanging="360"/>
        <w:rPr>
          <w:rFonts w:hint="cs"/>
          <w:szCs w:val="26"/>
          <w:rtl/>
        </w:rPr>
      </w:pPr>
      <w:r>
        <w:rPr>
          <w:rFonts w:hint="cs"/>
          <w:szCs w:val="26"/>
          <w:rtl/>
        </w:rPr>
        <w:t>1.    האם חרג הנאשם מהטיפול הנדרש, ביחס למקובל ולמוזמן על ידי המתלוננת?</w:t>
      </w:r>
    </w:p>
    <w:p w14:paraId="732ACF7C" w14:textId="77777777" w:rsidR="00FC1723" w:rsidRDefault="00FC1723">
      <w:pPr>
        <w:numPr>
          <w:ilvl w:val="0"/>
          <w:numId w:val="12"/>
        </w:numPr>
        <w:ind w:right="0"/>
        <w:rPr>
          <w:rFonts w:hint="cs"/>
          <w:szCs w:val="26"/>
          <w:rtl/>
        </w:rPr>
      </w:pPr>
      <w:r>
        <w:rPr>
          <w:rFonts w:hint="cs"/>
          <w:szCs w:val="26"/>
          <w:rtl/>
        </w:rPr>
        <w:t>מה היה הלך רוחו של הנאשם, היינו האם התקיים בו היסוד הנפשי הנדרש להרשעתו בעבירה זו?</w:t>
      </w:r>
    </w:p>
    <w:p w14:paraId="4C66CC4B" w14:textId="77777777" w:rsidR="00FC1723" w:rsidRDefault="00FC1723">
      <w:pPr>
        <w:pStyle w:val="BodyTextIndent3"/>
        <w:ind w:left="1168"/>
        <w:rPr>
          <w:rFonts w:hint="cs"/>
          <w:rtl/>
        </w:rPr>
      </w:pPr>
    </w:p>
    <w:p w14:paraId="1EB84A04" w14:textId="77777777" w:rsidR="00FC1723" w:rsidRDefault="00FC1723">
      <w:pPr>
        <w:pStyle w:val="BodyTextIndent3"/>
        <w:ind w:left="1168"/>
        <w:rPr>
          <w:rFonts w:hint="cs"/>
          <w:rtl/>
        </w:rPr>
      </w:pPr>
    </w:p>
    <w:p w14:paraId="1EFC3D18" w14:textId="77777777" w:rsidR="00FC1723" w:rsidRDefault="00FC1723">
      <w:pPr>
        <w:pStyle w:val="BodyTextIndent3"/>
        <w:ind w:left="1168"/>
        <w:rPr>
          <w:rFonts w:hint="cs"/>
          <w:rtl/>
        </w:rPr>
      </w:pPr>
      <w:r>
        <w:rPr>
          <w:rFonts w:hint="cs"/>
          <w:rtl/>
        </w:rPr>
        <w:t xml:space="preserve"> </w:t>
      </w:r>
    </w:p>
    <w:p w14:paraId="4DC079B1" w14:textId="77777777" w:rsidR="00FC1723" w:rsidRDefault="00FC1723">
      <w:pPr>
        <w:pStyle w:val="BodyTextIndent3"/>
        <w:ind w:hanging="179"/>
        <w:rPr>
          <w:rFonts w:hint="cs"/>
          <w:sz w:val="28"/>
          <w:szCs w:val="28"/>
          <w:rtl/>
        </w:rPr>
      </w:pPr>
      <w:r>
        <w:rPr>
          <w:rFonts w:hint="cs"/>
          <w:b/>
          <w:bCs/>
          <w:sz w:val="28"/>
          <w:szCs w:val="28"/>
          <w:rtl/>
        </w:rPr>
        <w:t xml:space="preserve">ד.      </w:t>
      </w:r>
      <w:r>
        <w:rPr>
          <w:rFonts w:hint="cs"/>
          <w:b/>
          <w:bCs/>
          <w:sz w:val="28"/>
          <w:szCs w:val="28"/>
          <w:u w:val="single"/>
          <w:rtl/>
        </w:rPr>
        <w:t>הראיות</w:t>
      </w:r>
    </w:p>
    <w:p w14:paraId="6C094913" w14:textId="77777777" w:rsidR="00FC1723" w:rsidRDefault="00FC1723">
      <w:pPr>
        <w:rPr>
          <w:rFonts w:hint="cs"/>
          <w:sz w:val="22"/>
          <w:szCs w:val="26"/>
          <w:rtl/>
        </w:rPr>
      </w:pPr>
    </w:p>
    <w:p w14:paraId="3B454C92" w14:textId="77777777" w:rsidR="00FC1723" w:rsidRDefault="00FC1723">
      <w:pPr>
        <w:numPr>
          <w:ilvl w:val="0"/>
          <w:numId w:val="14"/>
        </w:numPr>
        <w:ind w:right="0"/>
        <w:rPr>
          <w:rFonts w:hint="cs"/>
          <w:sz w:val="22"/>
          <w:szCs w:val="26"/>
          <w:rtl/>
        </w:rPr>
      </w:pPr>
      <w:r>
        <w:rPr>
          <w:rFonts w:hint="cs"/>
          <w:sz w:val="22"/>
          <w:szCs w:val="26"/>
          <w:rtl/>
        </w:rPr>
        <w:t xml:space="preserve">מטעם המאשימה העידו שלושה עדים: מר שמואל פייפר, מנהל מכללת רידמן, המתלוננת, וחוקרת המשטרה רוית פציניאש מתחנת ערד, אשר ביצעה פעולות חקירה שונות בתיק, לרבות גביית עדות הנאשם וביצוע עימות בין הצדדים. כן הוגשו דף הסבר של מכללת רידמן לטיפול אירו-ודה (ת/1), הודעת הנאשם במשטרה (ת/2) ודו"ח העימות (ת/3). </w:t>
      </w:r>
    </w:p>
    <w:p w14:paraId="6C9761D1" w14:textId="77777777" w:rsidR="00FC1723" w:rsidRDefault="00FC1723">
      <w:pPr>
        <w:numPr>
          <w:ilvl w:val="0"/>
          <w:numId w:val="14"/>
        </w:numPr>
        <w:ind w:right="0"/>
        <w:rPr>
          <w:rFonts w:hint="cs"/>
          <w:sz w:val="22"/>
          <w:szCs w:val="26"/>
          <w:rtl/>
        </w:rPr>
      </w:pPr>
      <w:r>
        <w:rPr>
          <w:rFonts w:hint="cs"/>
          <w:sz w:val="22"/>
          <w:szCs w:val="26"/>
          <w:rtl/>
        </w:rPr>
        <w:t xml:space="preserve">מטעם ההגנה העיד הנאשם עצמו וכן הוגשו הודעת המתלוננת במשטרה (נ/1), דו"ח זכ"ד מטעם החוקרת פציניאש (נ/2),  "תפריט טיפולים" של המלון (נ/3), תעודות השתלמות של הנאשם (נ/4 א'-ד'), וכרטיס ביקור שלו (נ/5 א'-ב'). </w:t>
      </w:r>
    </w:p>
    <w:p w14:paraId="06907488" w14:textId="77777777" w:rsidR="00FC1723" w:rsidRDefault="00FC1723">
      <w:pPr>
        <w:ind w:left="405"/>
        <w:rPr>
          <w:rFonts w:hint="cs"/>
          <w:sz w:val="22"/>
          <w:szCs w:val="26"/>
          <w:rtl/>
        </w:rPr>
      </w:pPr>
    </w:p>
    <w:p w14:paraId="6ED34491" w14:textId="77777777" w:rsidR="00FC1723" w:rsidRDefault="00FC1723">
      <w:pPr>
        <w:ind w:left="405" w:right="765"/>
        <w:rPr>
          <w:rFonts w:hint="cs"/>
          <w:sz w:val="22"/>
          <w:szCs w:val="26"/>
          <w:rtl/>
        </w:rPr>
      </w:pPr>
      <w:r>
        <w:rPr>
          <w:rFonts w:hint="cs"/>
          <w:sz w:val="22"/>
          <w:szCs w:val="26"/>
          <w:rtl/>
        </w:rPr>
        <w:lastRenderedPageBreak/>
        <w:t xml:space="preserve">א. </w:t>
      </w:r>
      <w:r>
        <w:rPr>
          <w:rFonts w:hint="cs"/>
          <w:sz w:val="22"/>
          <w:szCs w:val="26"/>
          <w:u w:val="single"/>
          <w:rtl/>
        </w:rPr>
        <w:t>עת/1 – מר שמואל פייפר</w:t>
      </w:r>
    </w:p>
    <w:p w14:paraId="39FA7399" w14:textId="77777777" w:rsidR="00FC1723" w:rsidRDefault="00FC1723">
      <w:pPr>
        <w:ind w:left="720"/>
        <w:rPr>
          <w:rFonts w:hint="cs"/>
          <w:sz w:val="22"/>
          <w:szCs w:val="26"/>
          <w:rtl/>
        </w:rPr>
      </w:pPr>
    </w:p>
    <w:p w14:paraId="58319769" w14:textId="77777777" w:rsidR="00FC1723" w:rsidRDefault="00FC1723">
      <w:pPr>
        <w:ind w:left="375"/>
        <w:rPr>
          <w:rFonts w:hint="cs"/>
          <w:sz w:val="26"/>
          <w:szCs w:val="26"/>
          <w:rtl/>
        </w:rPr>
      </w:pPr>
      <w:r>
        <w:rPr>
          <w:rFonts w:hint="cs"/>
          <w:sz w:val="22"/>
          <w:szCs w:val="26"/>
          <w:rtl/>
        </w:rPr>
        <w:t xml:space="preserve">עד זה משמש כאמור מנהל מכללת רידמן, שהיא מכללה לרפואה משלימה ואשר הוזמן כמומחה בתחום, על מנת להבהיר את משמעות העיסוי ופרטיו, ברמה העקרונית ובלא התייחסות ספציפית לאירוע נשוא כתב האישום </w:t>
      </w:r>
      <w:r>
        <w:rPr>
          <w:rFonts w:hint="cs"/>
          <w:sz w:val="22"/>
          <w:szCs w:val="22"/>
          <w:rtl/>
        </w:rPr>
        <w:t xml:space="preserve">(עמ' 4 ש' 29-30). </w:t>
      </w:r>
      <w:r>
        <w:rPr>
          <w:rFonts w:hint="cs"/>
          <w:sz w:val="22"/>
          <w:szCs w:val="26"/>
          <w:rtl/>
        </w:rPr>
        <w:t xml:space="preserve">במכללה זו עבר גם הנאשם את ההכשרה הנדרשת לצורך ביצוע הטיפול, ובה הוסמך ביום 9.7.02, לאחר שסיים השתלמות בת 8 שעות בנושא </w:t>
      </w:r>
      <w:r>
        <w:rPr>
          <w:rFonts w:hint="cs"/>
          <w:sz w:val="22"/>
          <w:szCs w:val="22"/>
          <w:rtl/>
        </w:rPr>
        <w:t>(עמ' 4 ש' 7-8)</w:t>
      </w:r>
      <w:r>
        <w:rPr>
          <w:rFonts w:hint="cs"/>
          <w:sz w:val="22"/>
          <w:szCs w:val="26"/>
          <w:rtl/>
        </w:rPr>
        <w:t xml:space="preserve">.  העד אישר כי העיסוי מבוצע בעירום מלא, ברצף על כל הגוף מכף רגל ועד ראש </w:t>
      </w:r>
      <w:r>
        <w:rPr>
          <w:rFonts w:hint="cs"/>
          <w:sz w:val="22"/>
          <w:szCs w:val="22"/>
          <w:rtl/>
        </w:rPr>
        <w:t>(עמ' 1 ש' 12-17).</w:t>
      </w:r>
      <w:r>
        <w:rPr>
          <w:rFonts w:hint="cs"/>
          <w:sz w:val="22"/>
          <w:szCs w:val="26"/>
          <w:rtl/>
        </w:rPr>
        <w:t xml:space="preserve"> על מנת לשמור על חום הגוף יש צורך לכסות את החלק שאינו מטופל. </w:t>
      </w:r>
      <w:r>
        <w:rPr>
          <w:rFonts w:hint="cs"/>
          <w:sz w:val="22"/>
          <w:szCs w:val="22"/>
          <w:rtl/>
        </w:rPr>
        <w:t xml:space="preserve">(עמ' 1 ש' 21). </w:t>
      </w:r>
      <w:r>
        <w:rPr>
          <w:rFonts w:hint="cs"/>
          <w:sz w:val="26"/>
          <w:szCs w:val="26"/>
          <w:rtl/>
        </w:rPr>
        <w:t xml:space="preserve">העד הדגיש כי קיימת בעיסוי זה רגישות יתר, "וקשה להסביר לכל מטופל לקראת מה הוא הולך ומה מהות הטיפול" </w:t>
      </w:r>
      <w:r>
        <w:rPr>
          <w:rFonts w:hint="cs"/>
          <w:sz w:val="22"/>
          <w:szCs w:val="22"/>
          <w:rtl/>
        </w:rPr>
        <w:t xml:space="preserve">(עמ' 2 ש' 2-1) </w:t>
      </w:r>
      <w:r>
        <w:rPr>
          <w:rFonts w:hint="cs"/>
          <w:sz w:val="26"/>
          <w:szCs w:val="26"/>
          <w:rtl/>
        </w:rPr>
        <w:t xml:space="preserve">וכן ציין את הבעייתיות הנובעת מנושא העירום </w:t>
      </w:r>
      <w:r>
        <w:rPr>
          <w:rFonts w:hint="cs"/>
          <w:sz w:val="22"/>
          <w:szCs w:val="22"/>
          <w:rtl/>
        </w:rPr>
        <w:t xml:space="preserve">(עמ' 2 ש' 22-15). </w:t>
      </w:r>
      <w:r>
        <w:rPr>
          <w:rFonts w:hint="cs"/>
          <w:sz w:val="26"/>
          <w:szCs w:val="26"/>
          <w:rtl/>
        </w:rPr>
        <w:t xml:space="preserve">לדברי העד ההסבר למטופל מעקר את האירוטיות ממנו, שכן לולא ההסבר, "בהחלט יכולים להתעורר הרהורים ומחשבות" </w:t>
      </w:r>
      <w:r>
        <w:rPr>
          <w:rFonts w:hint="cs"/>
          <w:sz w:val="22"/>
          <w:szCs w:val="22"/>
          <w:rtl/>
        </w:rPr>
        <w:t xml:space="preserve">(עמ' 2 ש' 25-28). </w:t>
      </w:r>
      <w:r>
        <w:rPr>
          <w:rFonts w:hint="cs"/>
          <w:sz w:val="26"/>
          <w:szCs w:val="26"/>
          <w:rtl/>
        </w:rPr>
        <w:t>לפי שידוע לו, לא מקפידים בתי המלון להסביר למטופלים את הצפוי בעיסוי</w:t>
      </w:r>
      <w:r>
        <w:rPr>
          <w:rFonts w:hint="cs"/>
          <w:sz w:val="22"/>
          <w:szCs w:val="22"/>
          <w:rtl/>
        </w:rPr>
        <w:t xml:space="preserve">    (עמ' 5 ש' 1-2). </w:t>
      </w:r>
      <w:r>
        <w:rPr>
          <w:rFonts w:hint="cs"/>
          <w:sz w:val="26"/>
          <w:szCs w:val="26"/>
          <w:rtl/>
        </w:rPr>
        <w:t xml:space="preserve">יחד עם זאת הדגיש, כי המפשעה אמורה להיות מכוסה כשלא מתקרבים לאיזור זה, כמו גם לאיזורים אינטימיים אחרים, אשר אינם חלק מהטיפול  </w:t>
      </w:r>
      <w:r>
        <w:rPr>
          <w:rFonts w:hint="cs"/>
          <w:sz w:val="22"/>
          <w:szCs w:val="22"/>
          <w:rtl/>
        </w:rPr>
        <w:t xml:space="preserve">(עמ' 3 ש' 3-5, ש' 17 ש' 21, וש' 27, עמ' 6 ש' 11-15). </w:t>
      </w:r>
      <w:r>
        <w:rPr>
          <w:rFonts w:hint="cs"/>
          <w:sz w:val="26"/>
          <w:szCs w:val="26"/>
          <w:rtl/>
        </w:rPr>
        <w:t xml:space="preserve"> </w:t>
      </w:r>
    </w:p>
    <w:p w14:paraId="018A8764" w14:textId="77777777" w:rsidR="00FC1723" w:rsidRDefault="00FC1723">
      <w:pPr>
        <w:ind w:left="720" w:right="765"/>
        <w:rPr>
          <w:rFonts w:hint="cs"/>
          <w:sz w:val="22"/>
          <w:szCs w:val="26"/>
          <w:rtl/>
        </w:rPr>
      </w:pPr>
    </w:p>
    <w:p w14:paraId="3A78BE8D" w14:textId="77777777" w:rsidR="00FC1723" w:rsidRDefault="00FC1723">
      <w:pPr>
        <w:ind w:left="375" w:right="765"/>
        <w:rPr>
          <w:rFonts w:hint="cs"/>
          <w:sz w:val="22"/>
          <w:szCs w:val="26"/>
          <w:u w:val="single"/>
          <w:rtl/>
        </w:rPr>
      </w:pPr>
      <w:r>
        <w:rPr>
          <w:rFonts w:hint="cs"/>
          <w:sz w:val="22"/>
          <w:szCs w:val="26"/>
          <w:rtl/>
        </w:rPr>
        <w:t xml:space="preserve">ב. </w:t>
      </w:r>
      <w:r>
        <w:rPr>
          <w:rFonts w:hint="cs"/>
          <w:sz w:val="22"/>
          <w:szCs w:val="26"/>
          <w:u w:val="single"/>
          <w:rtl/>
        </w:rPr>
        <w:t>גירסת המתלוננת</w:t>
      </w:r>
    </w:p>
    <w:p w14:paraId="4532FC0B" w14:textId="77777777" w:rsidR="00FC1723" w:rsidRDefault="00FC1723">
      <w:pPr>
        <w:pStyle w:val="Heading4"/>
        <w:rPr>
          <w:rFonts w:hint="cs"/>
          <w:rtl/>
        </w:rPr>
      </w:pPr>
    </w:p>
    <w:p w14:paraId="4FFC089D" w14:textId="77777777" w:rsidR="00FC1723" w:rsidRDefault="00FC1723">
      <w:pPr>
        <w:ind w:left="764" w:hanging="764"/>
        <w:rPr>
          <w:rFonts w:hint="cs"/>
          <w:sz w:val="22"/>
          <w:szCs w:val="26"/>
          <w:rtl/>
        </w:rPr>
      </w:pPr>
      <w:r>
        <w:rPr>
          <w:rFonts w:hint="cs"/>
          <w:sz w:val="22"/>
          <w:szCs w:val="26"/>
          <w:rtl/>
        </w:rPr>
        <w:tab/>
        <w:t xml:space="preserve">המתלוננת בת 25, העידה כי הגיעה למלון עם בן זוגה שיחסיהם היו אז בתחילתם, ועם משפחתו. סוג העיסוי הומלץ לה עת ניגשה להזמין עיסוי מסוג אחר והיא הסכימה לו. </w:t>
      </w:r>
      <w:r>
        <w:rPr>
          <w:rFonts w:hint="cs"/>
          <w:sz w:val="22"/>
          <w:szCs w:val="22"/>
          <w:rtl/>
        </w:rPr>
        <w:t>(עמ' 10 ש' 5-10).</w:t>
      </w:r>
      <w:r>
        <w:rPr>
          <w:rFonts w:hint="cs"/>
          <w:sz w:val="22"/>
          <w:szCs w:val="26"/>
          <w:rtl/>
        </w:rPr>
        <w:t xml:space="preserve">  מיד בתחילת העיסוי היתה צריכה לדבריה לחשוד שמשהו אינו בסדר ואולם נוכח היותה במלון 5 כוכבים ומטרת הגעתה, היה נראה לה העניין תקין </w:t>
      </w:r>
      <w:r>
        <w:rPr>
          <w:rFonts w:hint="cs"/>
          <w:sz w:val="22"/>
          <w:szCs w:val="22"/>
          <w:rtl/>
        </w:rPr>
        <w:t xml:space="preserve">(עמ' 10 ש' 11-15). </w:t>
      </w:r>
      <w:r>
        <w:rPr>
          <w:rFonts w:hint="cs"/>
          <w:sz w:val="26"/>
          <w:szCs w:val="26"/>
          <w:rtl/>
        </w:rPr>
        <w:t>לדבריה עשתה במהלך חייה מספר מסג'ים לא מועט</w:t>
      </w:r>
      <w:r>
        <w:rPr>
          <w:rFonts w:hint="cs"/>
          <w:sz w:val="22"/>
          <w:szCs w:val="22"/>
          <w:rtl/>
        </w:rPr>
        <w:t xml:space="preserve"> (עמ' 10 ש' 20) </w:t>
      </w:r>
      <w:r>
        <w:rPr>
          <w:rFonts w:hint="cs"/>
          <w:sz w:val="26"/>
          <w:szCs w:val="26"/>
          <w:rtl/>
        </w:rPr>
        <w:t>והיה לה מידע אף על עיסוי האירו-ודה שנעשה לעיתים</w:t>
      </w:r>
      <w:r>
        <w:rPr>
          <w:rFonts w:hint="cs"/>
          <w:sz w:val="22"/>
          <w:szCs w:val="22"/>
          <w:rtl/>
        </w:rPr>
        <w:t xml:space="preserve"> </w:t>
      </w:r>
      <w:r>
        <w:rPr>
          <w:rFonts w:hint="cs"/>
          <w:sz w:val="26"/>
          <w:szCs w:val="26"/>
          <w:rtl/>
        </w:rPr>
        <w:t xml:space="preserve">ללא סדין </w:t>
      </w:r>
      <w:r>
        <w:rPr>
          <w:rFonts w:hint="cs"/>
          <w:sz w:val="22"/>
          <w:szCs w:val="22"/>
          <w:rtl/>
        </w:rPr>
        <w:t xml:space="preserve">(עמ' 11 ש' 23). </w:t>
      </w:r>
      <w:r>
        <w:rPr>
          <w:rFonts w:hint="cs"/>
          <w:sz w:val="26"/>
          <w:szCs w:val="26"/>
          <w:rtl/>
        </w:rPr>
        <w:t>עם תחילת הטיפול</w:t>
      </w:r>
      <w:r>
        <w:rPr>
          <w:rFonts w:hint="cs"/>
          <w:sz w:val="22"/>
          <w:szCs w:val="22"/>
          <w:rtl/>
        </w:rPr>
        <w:t xml:space="preserve"> </w:t>
      </w:r>
      <w:r>
        <w:rPr>
          <w:rFonts w:hint="cs"/>
          <w:sz w:val="26"/>
          <w:szCs w:val="26"/>
          <w:rtl/>
        </w:rPr>
        <w:t xml:space="preserve">נתבקשה לפשוט את בגד הים על שני חלקיו וכך עשתה. בהמשך דבריה מתארת את הטיפול עצמו כשהתמקדות הנאשם היתה באיזורים אינטימיים בגופה </w:t>
      </w:r>
      <w:r>
        <w:rPr>
          <w:rFonts w:hint="cs"/>
          <w:sz w:val="22"/>
          <w:szCs w:val="22"/>
          <w:rtl/>
        </w:rPr>
        <w:t>(עמ' 11 ש' 10-11 ועמ' 12 ש' 9).</w:t>
      </w:r>
      <w:r>
        <w:rPr>
          <w:rFonts w:hint="cs"/>
          <w:sz w:val="26"/>
          <w:szCs w:val="26"/>
          <w:rtl/>
        </w:rPr>
        <w:t xml:space="preserve"> במהלך העיסוי כולו, שאל הנאשם את המתלוננת "'מה עכשיו, מה עוד, איפוא', בעברית עילגת" ו"אם טוב ונעים לה"  </w:t>
      </w:r>
      <w:r>
        <w:rPr>
          <w:rFonts w:hint="cs"/>
          <w:sz w:val="22"/>
          <w:szCs w:val="22"/>
          <w:rtl/>
        </w:rPr>
        <w:t xml:space="preserve">(עמ' 11 ש' 12-13 ועמ' 12 ש' 5).  </w:t>
      </w:r>
      <w:r>
        <w:rPr>
          <w:rFonts w:hint="cs"/>
          <w:sz w:val="26"/>
          <w:szCs w:val="26"/>
          <w:rtl/>
        </w:rPr>
        <w:t xml:space="preserve">העדה מתארת מצב של חוסר אונים, היא עירומה ולא ברור לה מה עליה לעשות ואפילו מה לחשוב </w:t>
      </w:r>
      <w:r>
        <w:rPr>
          <w:rFonts w:hint="cs"/>
          <w:sz w:val="22"/>
          <w:szCs w:val="22"/>
          <w:rtl/>
        </w:rPr>
        <w:t xml:space="preserve">(עמ' 11 ש' 17-20), </w:t>
      </w:r>
      <w:r>
        <w:rPr>
          <w:rFonts w:hint="cs"/>
          <w:sz w:val="26"/>
          <w:szCs w:val="26"/>
          <w:rtl/>
        </w:rPr>
        <w:t xml:space="preserve">רועדת ולמעשה במצב של שיתוק, שההגיון לא עובד </w:t>
      </w:r>
      <w:r>
        <w:rPr>
          <w:rFonts w:hint="cs"/>
          <w:sz w:val="22"/>
          <w:szCs w:val="22"/>
          <w:rtl/>
        </w:rPr>
        <w:t>(עמ' 17 ש' 24-25)</w:t>
      </w:r>
      <w:r>
        <w:rPr>
          <w:rFonts w:hint="cs"/>
          <w:sz w:val="26"/>
          <w:szCs w:val="26"/>
          <w:rtl/>
        </w:rPr>
        <w:t xml:space="preserve"> ועל כן במהלך כל העיסוי לא הרהיבה עוז לומר לנאשם להפסיק </w:t>
      </w:r>
      <w:r>
        <w:rPr>
          <w:rFonts w:hint="cs"/>
          <w:sz w:val="22"/>
          <w:szCs w:val="22"/>
          <w:rtl/>
        </w:rPr>
        <w:t>(עמ' 17 ש' 14-15)</w:t>
      </w:r>
      <w:r>
        <w:rPr>
          <w:rFonts w:hint="cs"/>
          <w:sz w:val="26"/>
          <w:szCs w:val="26"/>
          <w:rtl/>
        </w:rPr>
        <w:t xml:space="preserve">.  בשלב מסויים, כרבע שעה לפני סוף העיסוי, החליטה לומר לו "די", מיד כשעשתה זאת, לקח הנאשם את הסדין, כיסה אותה וניגבה מהשמן בו נעשה שימוש במהלך העיסוי </w:t>
      </w:r>
      <w:r>
        <w:rPr>
          <w:rFonts w:hint="cs"/>
          <w:sz w:val="22"/>
          <w:szCs w:val="22"/>
          <w:rtl/>
        </w:rPr>
        <w:t xml:space="preserve">(עמ' 12 ש' 10-15). </w:t>
      </w:r>
      <w:r>
        <w:rPr>
          <w:rFonts w:hint="cs"/>
          <w:sz w:val="26"/>
          <w:szCs w:val="26"/>
          <w:rtl/>
        </w:rPr>
        <w:t xml:space="preserve">עצירת העיסוי התקבלה אצל הנאשם בפליאה, הוא שאל אותה באשר לסיום העיסוי - טיפול במצח ובפנים ומשסירבה, נסתיים הטיפול תוך שמסר בידיה את כרטיס הביקור שלו לצורך הזמנה נוספת </w:t>
      </w:r>
      <w:r>
        <w:rPr>
          <w:rFonts w:hint="cs"/>
          <w:sz w:val="22"/>
          <w:szCs w:val="22"/>
          <w:rtl/>
        </w:rPr>
        <w:t xml:space="preserve">(עמ' 12 ש' 18-24). </w:t>
      </w:r>
      <w:r>
        <w:rPr>
          <w:rFonts w:hint="cs"/>
          <w:sz w:val="26"/>
          <w:szCs w:val="26"/>
          <w:rtl/>
        </w:rPr>
        <w:t>דיווח המתלוננת לאחראית הספא</w:t>
      </w:r>
      <w:r>
        <w:rPr>
          <w:rFonts w:hint="cs"/>
          <w:sz w:val="22"/>
          <w:szCs w:val="22"/>
          <w:rtl/>
        </w:rPr>
        <w:t xml:space="preserve"> </w:t>
      </w:r>
      <w:r>
        <w:rPr>
          <w:rFonts w:hint="cs"/>
          <w:sz w:val="26"/>
          <w:szCs w:val="26"/>
          <w:rtl/>
        </w:rPr>
        <w:t xml:space="preserve">הביא גם לפליאתה שלה, שכן לדבריה בחרה המתלוננת בעיסוי אירוטי </w:t>
      </w:r>
      <w:r>
        <w:rPr>
          <w:rFonts w:hint="cs"/>
          <w:sz w:val="22"/>
          <w:szCs w:val="22"/>
          <w:rtl/>
        </w:rPr>
        <w:t>(עמ' 13 ש' 7-11)</w:t>
      </w:r>
      <w:r>
        <w:rPr>
          <w:rFonts w:hint="cs"/>
          <w:sz w:val="26"/>
          <w:szCs w:val="26"/>
          <w:rtl/>
        </w:rPr>
        <w:t>.</w:t>
      </w:r>
      <w:r>
        <w:rPr>
          <w:rFonts w:hint="cs"/>
          <w:sz w:val="22"/>
          <w:szCs w:val="22"/>
          <w:rtl/>
        </w:rPr>
        <w:t xml:space="preserve"> </w:t>
      </w:r>
      <w:r>
        <w:rPr>
          <w:rFonts w:hint="cs"/>
          <w:sz w:val="26"/>
          <w:szCs w:val="26"/>
          <w:rtl/>
        </w:rPr>
        <w:t xml:space="preserve"> יצויין כי הנהלת המלון לא נתנה גיבויה לדברי מנהלת הספא בו </w:t>
      </w:r>
      <w:r>
        <w:rPr>
          <w:rFonts w:hint="cs"/>
          <w:sz w:val="22"/>
          <w:szCs w:val="22"/>
          <w:rtl/>
        </w:rPr>
        <w:t>(עמ' 13 ש' 13-15)</w:t>
      </w:r>
      <w:r>
        <w:rPr>
          <w:rFonts w:hint="cs"/>
          <w:sz w:val="26"/>
          <w:szCs w:val="26"/>
          <w:rtl/>
        </w:rPr>
        <w:t xml:space="preserve">. </w:t>
      </w:r>
    </w:p>
    <w:p w14:paraId="12E347FA" w14:textId="77777777" w:rsidR="00FC1723" w:rsidRDefault="00FC1723">
      <w:pPr>
        <w:ind w:left="764" w:hanging="764"/>
        <w:rPr>
          <w:rFonts w:hint="cs"/>
          <w:sz w:val="22"/>
          <w:szCs w:val="26"/>
          <w:rtl/>
        </w:rPr>
      </w:pPr>
    </w:p>
    <w:p w14:paraId="344D0C9A" w14:textId="77777777" w:rsidR="00FC1723" w:rsidRDefault="00FC1723">
      <w:pPr>
        <w:ind w:left="375" w:right="765"/>
        <w:rPr>
          <w:rFonts w:hint="cs"/>
          <w:sz w:val="22"/>
          <w:szCs w:val="26"/>
          <w:u w:val="single"/>
          <w:rtl/>
        </w:rPr>
      </w:pPr>
      <w:r>
        <w:rPr>
          <w:rFonts w:hint="cs"/>
          <w:sz w:val="22"/>
          <w:szCs w:val="26"/>
          <w:rtl/>
        </w:rPr>
        <w:t xml:space="preserve">ג. </w:t>
      </w:r>
      <w:r>
        <w:rPr>
          <w:rFonts w:hint="cs"/>
          <w:sz w:val="22"/>
          <w:szCs w:val="26"/>
          <w:u w:val="single"/>
          <w:rtl/>
        </w:rPr>
        <w:t>עדות החוקרת פציניאש</w:t>
      </w:r>
    </w:p>
    <w:p w14:paraId="0AE92E10" w14:textId="77777777" w:rsidR="00FC1723" w:rsidRDefault="00FC1723">
      <w:pPr>
        <w:ind w:left="764" w:hanging="764"/>
        <w:rPr>
          <w:rFonts w:hint="cs"/>
          <w:sz w:val="22"/>
          <w:szCs w:val="26"/>
          <w:rtl/>
        </w:rPr>
      </w:pPr>
    </w:p>
    <w:p w14:paraId="2E98E58B" w14:textId="77777777" w:rsidR="00FC1723" w:rsidRDefault="00FC1723">
      <w:pPr>
        <w:ind w:left="375" w:hanging="44"/>
        <w:rPr>
          <w:rFonts w:hint="cs"/>
          <w:sz w:val="22"/>
          <w:szCs w:val="26"/>
          <w:rtl/>
        </w:rPr>
      </w:pPr>
      <w:r>
        <w:rPr>
          <w:rFonts w:hint="cs"/>
          <w:sz w:val="22"/>
          <w:szCs w:val="26"/>
          <w:rtl/>
        </w:rPr>
        <w:t xml:space="preserve">עדה זו הינה כאמור החוקרת בתיק. היא ציינה את התנהגותו במהלך החקירה, לפיה גימגם ורעד ובלע רוק לפני מתן תשובה </w:t>
      </w:r>
      <w:r>
        <w:rPr>
          <w:rFonts w:hint="cs"/>
          <w:sz w:val="22"/>
          <w:szCs w:val="22"/>
          <w:rtl/>
        </w:rPr>
        <w:t>(עמ' 22 ש' 7-12 )</w:t>
      </w:r>
      <w:r>
        <w:rPr>
          <w:rFonts w:hint="cs"/>
          <w:sz w:val="22"/>
          <w:szCs w:val="26"/>
          <w:rtl/>
        </w:rPr>
        <w:t xml:space="preserve">. במסגרת עדותה הוגש גם מזכר שכתבה (נ/2) ובו מצויין כי בשיחה עם עת/1, מר פייפר מסר הוא לה כי "המדובר במסאג' אירוטי, שמבוצע בד"כ בעירום מלא וברצף ומקפידים שהמטופל יהיה ללא בגדים".  </w:t>
      </w:r>
    </w:p>
    <w:p w14:paraId="3AAAD525" w14:textId="77777777" w:rsidR="00FC1723" w:rsidRDefault="00FC1723">
      <w:pPr>
        <w:ind w:left="764" w:hanging="764"/>
        <w:rPr>
          <w:rFonts w:hint="cs"/>
          <w:sz w:val="22"/>
          <w:szCs w:val="26"/>
          <w:rtl/>
        </w:rPr>
      </w:pPr>
    </w:p>
    <w:p w14:paraId="46BFC981" w14:textId="77777777" w:rsidR="00FC1723" w:rsidRDefault="00FC1723">
      <w:pPr>
        <w:ind w:left="375"/>
        <w:rPr>
          <w:rFonts w:hint="cs"/>
          <w:sz w:val="22"/>
          <w:szCs w:val="26"/>
          <w:u w:val="single"/>
          <w:rtl/>
        </w:rPr>
      </w:pPr>
      <w:r>
        <w:rPr>
          <w:rFonts w:hint="cs"/>
          <w:sz w:val="22"/>
          <w:szCs w:val="26"/>
          <w:rtl/>
        </w:rPr>
        <w:t xml:space="preserve">ד. </w:t>
      </w:r>
      <w:r>
        <w:rPr>
          <w:rFonts w:hint="cs"/>
          <w:sz w:val="22"/>
          <w:szCs w:val="26"/>
          <w:u w:val="single"/>
          <w:rtl/>
        </w:rPr>
        <w:t>גרסת הנאשם</w:t>
      </w:r>
    </w:p>
    <w:p w14:paraId="46A22444" w14:textId="77777777" w:rsidR="00FC1723" w:rsidRDefault="00FC1723">
      <w:pPr>
        <w:ind w:left="764" w:hanging="764"/>
        <w:rPr>
          <w:rFonts w:hint="cs"/>
          <w:sz w:val="22"/>
          <w:szCs w:val="26"/>
          <w:rtl/>
        </w:rPr>
      </w:pPr>
      <w:r>
        <w:rPr>
          <w:rFonts w:hint="cs"/>
          <w:sz w:val="22"/>
          <w:szCs w:val="26"/>
          <w:rtl/>
        </w:rPr>
        <w:tab/>
      </w:r>
    </w:p>
    <w:p w14:paraId="55562CB4" w14:textId="77777777" w:rsidR="00FC1723" w:rsidRDefault="00FC1723">
      <w:pPr>
        <w:ind w:left="375"/>
        <w:rPr>
          <w:rFonts w:hint="cs"/>
          <w:sz w:val="22"/>
          <w:szCs w:val="26"/>
          <w:rtl/>
        </w:rPr>
      </w:pPr>
      <w:r>
        <w:rPr>
          <w:rFonts w:hint="cs"/>
          <w:sz w:val="22"/>
          <w:szCs w:val="26"/>
          <w:rtl/>
        </w:rPr>
        <w:t xml:space="preserve">עדותו הראשית של הנאשם מתמצית רובה ככולה בת/2, ובה מתאר הנאשם כי עובד הוא כמעסה מאז שנת 1994.  בארץ החל הוא לעבוד כחודשיים בלבד קודם הארוע, שכן עלה ארצה רק כשנה וחצי קודם לכן </w:t>
      </w:r>
      <w:r>
        <w:rPr>
          <w:rFonts w:hint="cs"/>
          <w:sz w:val="22"/>
          <w:szCs w:val="22"/>
          <w:rtl/>
        </w:rPr>
        <w:t>(עמ' 1 לת/2 ש' 27-28).</w:t>
      </w:r>
      <w:r>
        <w:rPr>
          <w:rFonts w:hint="cs"/>
          <w:sz w:val="22"/>
          <w:szCs w:val="26"/>
          <w:rtl/>
        </w:rPr>
        <w:t xml:space="preserve"> במהלך עדותו בבית המשפט (שנמסרה כשנתים וחצי לאחר המקרה), ניכר היה כי הנאשם לא שולט בשפה העברית ומתקשה להבין ולבטא עצמו בה, דבר עליו העיד הוא עצמו גם כן </w:t>
      </w:r>
      <w:r>
        <w:rPr>
          <w:rFonts w:hint="cs"/>
          <w:sz w:val="22"/>
          <w:szCs w:val="22"/>
          <w:rtl/>
        </w:rPr>
        <w:t>(עמ' 26 לפרוטוקול ש' 15 ועמ' 28 ש' 7-10)</w:t>
      </w:r>
      <w:r>
        <w:rPr>
          <w:rFonts w:hint="cs"/>
          <w:sz w:val="22"/>
          <w:szCs w:val="26"/>
          <w:rtl/>
        </w:rPr>
        <w:t xml:space="preserve">.  לגופו של עניין מפרט הנאשם בעדותו את תהליך העיסוי </w:t>
      </w:r>
      <w:r>
        <w:rPr>
          <w:rFonts w:hint="cs"/>
          <w:sz w:val="22"/>
          <w:szCs w:val="22"/>
          <w:rtl/>
        </w:rPr>
        <w:t>(עמ' 2-4 לת/2),</w:t>
      </w:r>
      <w:r>
        <w:rPr>
          <w:rFonts w:hint="cs"/>
          <w:sz w:val="22"/>
          <w:szCs w:val="26"/>
          <w:rtl/>
        </w:rPr>
        <w:t xml:space="preserve"> אשר ההסבר לו צריך לדבריו להינתן עוד בקבלה </w:t>
      </w:r>
      <w:r>
        <w:rPr>
          <w:rFonts w:hint="cs"/>
          <w:sz w:val="22"/>
          <w:szCs w:val="22"/>
          <w:rtl/>
        </w:rPr>
        <w:t>(עמ' 3 ש' 8-9 ועמ' 32 לפרוטוקול ש' 1-2)</w:t>
      </w:r>
      <w:r>
        <w:rPr>
          <w:rFonts w:hint="cs"/>
          <w:sz w:val="22"/>
          <w:szCs w:val="26"/>
          <w:rtl/>
        </w:rPr>
        <w:t xml:space="preserve">. לדבריו, ביצע העיסוי על כל גופה של המתלוננת, ללא התמקדות באבריה האינטימיים דוקא </w:t>
      </w:r>
      <w:r>
        <w:rPr>
          <w:rFonts w:hint="cs"/>
          <w:sz w:val="22"/>
          <w:szCs w:val="22"/>
          <w:rtl/>
        </w:rPr>
        <w:t xml:space="preserve">(עמ' 4 ש' 20, ש' 28, עמ' 5 ש' 8, ש' 19), </w:t>
      </w:r>
      <w:r>
        <w:rPr>
          <w:rFonts w:hint="cs"/>
          <w:sz w:val="26"/>
          <w:szCs w:val="26"/>
          <w:rtl/>
        </w:rPr>
        <w:t>וללא כל כוונה מינית אלא עסקית בלבד</w:t>
      </w:r>
      <w:r>
        <w:rPr>
          <w:rFonts w:hint="cs"/>
          <w:sz w:val="22"/>
          <w:szCs w:val="22"/>
          <w:rtl/>
        </w:rPr>
        <w:t xml:space="preserve"> </w:t>
      </w:r>
      <w:r>
        <w:rPr>
          <w:rFonts w:hint="cs"/>
          <w:sz w:val="26"/>
          <w:szCs w:val="26"/>
          <w:rtl/>
        </w:rPr>
        <w:t>שכן העבודה היתה מאד חשובה עבורו בשל הקושי במציאת עבודה</w:t>
      </w:r>
      <w:r>
        <w:rPr>
          <w:rFonts w:hint="cs"/>
          <w:sz w:val="22"/>
          <w:szCs w:val="22"/>
          <w:rtl/>
        </w:rPr>
        <w:t xml:space="preserve"> (עמ' 31 לפרוטוקול ש' 19-20 ועמ' 34 ש' 13-16)</w:t>
      </w:r>
      <w:r>
        <w:rPr>
          <w:rFonts w:hint="cs"/>
          <w:sz w:val="22"/>
          <w:szCs w:val="26"/>
          <w:rtl/>
        </w:rPr>
        <w:t xml:space="preserve">. המתלוננת מצידה לא ביקשה אותו להפסיק.  לדבריו אם הרגישה שלא בנוח, היתה צריכה לקום, דבר שלא נעשה על ידה  </w:t>
      </w:r>
      <w:r>
        <w:rPr>
          <w:rFonts w:hint="cs"/>
          <w:sz w:val="22"/>
          <w:szCs w:val="22"/>
          <w:rtl/>
        </w:rPr>
        <w:t>(עמ' 6 ש' 1-2)</w:t>
      </w:r>
      <w:r>
        <w:rPr>
          <w:rFonts w:hint="cs"/>
          <w:sz w:val="22"/>
          <w:szCs w:val="26"/>
          <w:rtl/>
        </w:rPr>
        <w:t xml:space="preserve">. יתרה מכך, הנאשם אכן מאשר כי שאל אותה במהלך הטיפול אם הטיפול טוב והיא אישרה זאת </w:t>
      </w:r>
      <w:r>
        <w:rPr>
          <w:rFonts w:hint="cs"/>
          <w:sz w:val="22"/>
          <w:szCs w:val="22"/>
          <w:rtl/>
        </w:rPr>
        <w:t>(עמ' 29 לפרוטוקול ש' 15-18).</w:t>
      </w:r>
      <w:r>
        <w:rPr>
          <w:rFonts w:hint="cs"/>
          <w:sz w:val="22"/>
          <w:szCs w:val="26"/>
          <w:rtl/>
        </w:rPr>
        <w:t xml:space="preserve"> בתשובה לשאלת החוקרת טוען הנאשם, כי לא הרגיש בכל דבר חריג ואדרבא, בסיום הטיפול מסר לה כרטיס ביקור,  לצורך הזמנה חוזרת   </w:t>
      </w:r>
      <w:r>
        <w:rPr>
          <w:rFonts w:hint="cs"/>
          <w:sz w:val="22"/>
          <w:szCs w:val="22"/>
          <w:rtl/>
        </w:rPr>
        <w:t>(עמ' 6 ש' 16-17, עמ' 7 ש' 7 ועמ' 31 לפרוטוקול ש' 2-5)</w:t>
      </w:r>
      <w:r>
        <w:rPr>
          <w:rFonts w:hint="cs"/>
          <w:sz w:val="22"/>
          <w:szCs w:val="26"/>
          <w:rtl/>
        </w:rPr>
        <w:t xml:space="preserve">. סוג העיסוי הרלוונטי – האירו-ודה, היה חדש באותה עת בארץ, ובעקבות מקרה זה ומקרים דומים, ניתנה הוראת כיסוי לאיברים האינטימיים. עד אותה עת לא היה נהוג לעשות כן </w:t>
      </w:r>
      <w:r>
        <w:rPr>
          <w:rFonts w:hint="cs"/>
          <w:sz w:val="22"/>
          <w:szCs w:val="22"/>
          <w:rtl/>
        </w:rPr>
        <w:t>(עמ' 32 ש' 8-14).</w:t>
      </w:r>
      <w:r>
        <w:rPr>
          <w:rFonts w:hint="cs"/>
          <w:sz w:val="22"/>
          <w:szCs w:val="26"/>
          <w:rtl/>
        </w:rPr>
        <w:t xml:space="preserve"> בתגובה לדברי החוקרת הסביר, כי מאז אירוע טראומתי בילדותו הוא סובל מגמגום במצבי לחץ, מצב בו היה שרוי מטבע הדברים בחקירת המשטרה  לראשונה בחייו </w:t>
      </w:r>
      <w:r>
        <w:rPr>
          <w:rFonts w:hint="cs"/>
          <w:sz w:val="22"/>
          <w:szCs w:val="22"/>
          <w:rtl/>
        </w:rPr>
        <w:t>(עמ' 26 לפרוטוקול ש' 4-8 ועמ' 34 ש' 1-2)</w:t>
      </w:r>
      <w:r>
        <w:rPr>
          <w:rFonts w:hint="cs"/>
          <w:sz w:val="22"/>
          <w:szCs w:val="26"/>
          <w:rtl/>
        </w:rPr>
        <w:t xml:space="preserve">.   </w:t>
      </w:r>
    </w:p>
    <w:p w14:paraId="65FDD3B9" w14:textId="77777777" w:rsidR="00FC1723" w:rsidRDefault="00FC1723">
      <w:pPr>
        <w:ind w:left="404" w:hanging="404"/>
        <w:rPr>
          <w:rFonts w:hint="cs"/>
          <w:sz w:val="24"/>
          <w:szCs w:val="26"/>
          <w:rtl/>
        </w:rPr>
      </w:pPr>
    </w:p>
    <w:p w14:paraId="55B05458" w14:textId="77777777" w:rsidR="00FC1723" w:rsidRDefault="00FC1723">
      <w:pPr>
        <w:ind w:left="404" w:hanging="404"/>
        <w:rPr>
          <w:rFonts w:hint="cs"/>
          <w:b/>
          <w:bCs/>
          <w:sz w:val="28"/>
          <w:szCs w:val="28"/>
          <w:u w:val="single"/>
          <w:rtl/>
        </w:rPr>
      </w:pPr>
      <w:r>
        <w:rPr>
          <w:rFonts w:hint="cs"/>
          <w:b/>
          <w:bCs/>
          <w:sz w:val="28"/>
          <w:szCs w:val="28"/>
          <w:rtl/>
        </w:rPr>
        <w:t>ה</w:t>
      </w:r>
      <w:r>
        <w:rPr>
          <w:rFonts w:hint="cs"/>
          <w:sz w:val="28"/>
          <w:szCs w:val="28"/>
          <w:rtl/>
        </w:rPr>
        <w:t>.</w:t>
      </w:r>
      <w:r>
        <w:rPr>
          <w:rFonts w:hint="cs"/>
          <w:sz w:val="28"/>
          <w:szCs w:val="28"/>
          <w:rtl/>
        </w:rPr>
        <w:tab/>
      </w:r>
      <w:r>
        <w:rPr>
          <w:rFonts w:hint="cs"/>
          <w:b/>
          <w:bCs/>
          <w:sz w:val="28"/>
          <w:szCs w:val="28"/>
          <w:u w:val="single"/>
          <w:rtl/>
        </w:rPr>
        <w:t>דיון</w:t>
      </w:r>
    </w:p>
    <w:p w14:paraId="68A0A2A3" w14:textId="77777777" w:rsidR="00FC1723" w:rsidRDefault="00FC1723">
      <w:pPr>
        <w:ind w:left="224"/>
        <w:rPr>
          <w:rFonts w:hint="cs"/>
          <w:szCs w:val="26"/>
          <w:rtl/>
        </w:rPr>
      </w:pPr>
    </w:p>
    <w:p w14:paraId="758C2BEA" w14:textId="77777777" w:rsidR="00FC1723" w:rsidRDefault="00FC1723">
      <w:pPr>
        <w:ind w:left="224"/>
        <w:rPr>
          <w:rFonts w:hint="cs"/>
          <w:szCs w:val="26"/>
          <w:rtl/>
        </w:rPr>
      </w:pPr>
      <w:r>
        <w:rPr>
          <w:rFonts w:hint="cs"/>
          <w:szCs w:val="26"/>
          <w:rtl/>
        </w:rPr>
        <w:t>בפתח הדיון אציין, כי שני הצדדים, הן הנאשם הנאשם והן המתלוננת, עשו עלי רושם מהימן. המתלוננת עצמה, עשתה עלי רושם של בחורה הגונה, אינטליגנטית, אסרטיבית, ובעלת כושר ביטוי מרשים, ובשום צורה לא התרשמתי, כי היתה מבקשת להפליל או להגיש תלונת שווא על אחר, ובכלל זה לא על הנאשם. אין לי ספק, כי המתלוננת יצאה פגועה מהאירוע אותו לא חזתה מראש, ואכן היתה, כך נראה, במצב קפאון ומבוכה, שבעטיים נמנעה לעצור את אי הנעימות שנגרמה לה, עוד באיבה. התרשמותי הכללית מהנאשם היתה, של עולה חדש, זר לשפה ולתרבות בארץ, אשר פעל כפי שאפרט להלן בתום לב ובלא מחשבה פלילית, ומצא עצמו בסיטואציה, שעיקרה אי הבנה הנובעת מבעיית תקשורת, הן בשפה בכלל, הן בכללי העיסוי הספציפי ותכליתו (שהיה כאמור חדשני באותה עת),  והן ממחדלי מעסיקיו שלא נתנו את ההסבר הנדרש בקבלה, קודם תחילת הטיפול.</w:t>
      </w:r>
    </w:p>
    <w:p w14:paraId="1D7DB502" w14:textId="77777777" w:rsidR="00FC1723" w:rsidRDefault="00FC1723">
      <w:pPr>
        <w:ind w:left="224"/>
        <w:rPr>
          <w:rFonts w:hint="cs"/>
          <w:szCs w:val="26"/>
          <w:rtl/>
        </w:rPr>
      </w:pPr>
    </w:p>
    <w:p w14:paraId="7A95D115" w14:textId="77777777" w:rsidR="00FC1723" w:rsidRDefault="00FC1723">
      <w:pPr>
        <w:numPr>
          <w:ilvl w:val="2"/>
          <w:numId w:val="12"/>
        </w:numPr>
        <w:tabs>
          <w:tab w:val="num" w:pos="516"/>
        </w:tabs>
        <w:ind w:left="465" w:right="0" w:hanging="465"/>
        <w:rPr>
          <w:rFonts w:hint="cs"/>
          <w:szCs w:val="26"/>
          <w:rtl/>
        </w:rPr>
      </w:pPr>
      <w:r>
        <w:rPr>
          <w:rFonts w:hint="cs"/>
          <w:b/>
          <w:bCs/>
          <w:szCs w:val="26"/>
          <w:u w:val="single"/>
          <w:rtl/>
        </w:rPr>
        <w:t>המישור הנורמטיבי</w:t>
      </w:r>
      <w:r>
        <w:rPr>
          <w:rFonts w:hint="cs"/>
          <w:szCs w:val="26"/>
          <w:rtl/>
        </w:rPr>
        <w:t xml:space="preserve">  </w:t>
      </w:r>
    </w:p>
    <w:p w14:paraId="60831E25" w14:textId="77777777" w:rsidR="00FC1723" w:rsidRDefault="00FC1723">
      <w:pPr>
        <w:ind w:left="224"/>
        <w:rPr>
          <w:rFonts w:hint="cs"/>
          <w:szCs w:val="26"/>
          <w:rtl/>
        </w:rPr>
      </w:pPr>
    </w:p>
    <w:p w14:paraId="212853AD" w14:textId="77777777" w:rsidR="00FC1723" w:rsidRDefault="00FC1723" w:rsidP="003A7A8C">
      <w:pPr>
        <w:pStyle w:val="P00"/>
        <w:spacing w:before="72" w:line="360" w:lineRule="auto"/>
        <w:ind w:left="0"/>
        <w:rPr>
          <w:rStyle w:val="default"/>
          <w:rFonts w:cs="David" w:hint="cs"/>
          <w:rtl/>
        </w:rPr>
      </w:pPr>
      <w:r>
        <w:rPr>
          <w:rFonts w:cs="David" w:hint="cs"/>
          <w:rtl/>
        </w:rPr>
        <w:t xml:space="preserve">באופן עקרוני, על אף שמדובר בשלושה עדי תביעה, ככל שנוגעים הדברים למעשה עצמו,  מדובר בעדות מול עדות. ככלל אין מניעה להרשיע את הנאשם על סמך </w:t>
      </w:r>
      <w:r w:rsidR="003A7A8C">
        <w:rPr>
          <w:rFonts w:cs="David" w:hint="cs"/>
          <w:rtl/>
        </w:rPr>
        <w:t xml:space="preserve">עדות יחידה, מה גם שעפ"י סעיף </w:t>
      </w:r>
      <w:hyperlink r:id="rId16" w:history="1">
        <w:r w:rsidR="003A7A8C" w:rsidRPr="003A7A8C">
          <w:rPr>
            <w:rFonts w:cs="David"/>
            <w:color w:val="0000FF"/>
            <w:u w:val="single"/>
            <w:rtl/>
          </w:rPr>
          <w:t>54א(ב)</w:t>
        </w:r>
      </w:hyperlink>
      <w:r>
        <w:rPr>
          <w:rFonts w:cs="David" w:hint="cs"/>
          <w:rtl/>
        </w:rPr>
        <w:t xml:space="preserve"> ל</w:t>
      </w:r>
      <w:hyperlink r:id="rId17" w:history="1">
        <w:r w:rsidR="00134D76" w:rsidRPr="00134D76">
          <w:rPr>
            <w:rStyle w:val="Hyperlink"/>
            <w:rFonts w:cs="David" w:hint="eastAsia"/>
            <w:rtl/>
          </w:rPr>
          <w:t>פקודת</w:t>
        </w:r>
        <w:r w:rsidR="00134D76" w:rsidRPr="00134D76">
          <w:rPr>
            <w:rStyle w:val="Hyperlink"/>
            <w:rFonts w:cs="David"/>
            <w:rtl/>
          </w:rPr>
          <w:t xml:space="preserve"> הראיות</w:t>
        </w:r>
      </w:hyperlink>
      <w:r>
        <w:rPr>
          <w:rFonts w:cs="David" w:hint="cs"/>
          <w:rtl/>
        </w:rPr>
        <w:t xml:space="preserve"> [נח] תשל"א 1971, </w:t>
      </w:r>
      <w:r>
        <w:rPr>
          <w:rStyle w:val="default"/>
          <w:rFonts w:cs="David" w:hint="cs"/>
          <w:rtl/>
        </w:rPr>
        <w:tab/>
        <w:t xml:space="preserve">בוטלה דרישת הסיוע לעדות קרבן עבירת מין, כפי שנתגבשה עד אותו מועד, בד בבד עם חובת פירוט מה הניע את בית המשפט להסתפק בעדות זו, ככל שימצא לנכון להרשיע.  בענייננו כאמור, אין בכך צורך. </w:t>
      </w:r>
    </w:p>
    <w:p w14:paraId="231ECC58" w14:textId="77777777" w:rsidR="00FC1723" w:rsidRDefault="00FC1723">
      <w:pPr>
        <w:pStyle w:val="P00"/>
        <w:spacing w:before="72" w:line="360" w:lineRule="auto"/>
        <w:ind w:left="0"/>
        <w:rPr>
          <w:rStyle w:val="default"/>
          <w:rFonts w:cs="David" w:hint="cs"/>
          <w:rtl/>
        </w:rPr>
      </w:pPr>
    </w:p>
    <w:p w14:paraId="6F922428" w14:textId="77777777" w:rsidR="00FC1723" w:rsidRDefault="00FC1723" w:rsidP="003A7A8C">
      <w:pPr>
        <w:pStyle w:val="P00"/>
        <w:spacing w:before="72" w:line="360" w:lineRule="auto"/>
        <w:ind w:left="0"/>
        <w:rPr>
          <w:rStyle w:val="default"/>
          <w:rFonts w:cs="David" w:hint="cs"/>
          <w:rtl/>
        </w:rPr>
      </w:pPr>
      <w:r>
        <w:rPr>
          <w:rStyle w:val="default"/>
          <w:rFonts w:cs="David" w:hint="cs"/>
          <w:rtl/>
        </w:rPr>
        <w:t>המסגרת הנורמטיבית לאישום</w:t>
      </w:r>
      <w:r w:rsidR="003A7A8C">
        <w:rPr>
          <w:rStyle w:val="default"/>
          <w:rFonts w:cs="David" w:hint="cs"/>
          <w:rtl/>
        </w:rPr>
        <w:t xml:space="preserve"> נשוא ענייננו מצויה בסעיפים </w:t>
      </w:r>
      <w:hyperlink r:id="rId18" w:history="1">
        <w:r w:rsidR="003A7A8C" w:rsidRPr="003A7A8C">
          <w:rPr>
            <w:rStyle w:val="default"/>
            <w:rFonts w:cs="David"/>
            <w:color w:val="0000FF"/>
            <w:u w:val="single"/>
            <w:rtl/>
          </w:rPr>
          <w:t>348(א)</w:t>
        </w:r>
      </w:hyperlink>
      <w:r>
        <w:rPr>
          <w:rStyle w:val="default"/>
          <w:rFonts w:cs="David" w:hint="cs"/>
          <w:rtl/>
        </w:rPr>
        <w:t xml:space="preserve"> ו – </w:t>
      </w:r>
      <w:hyperlink r:id="rId19" w:history="1">
        <w:r w:rsidR="003A7A8C" w:rsidRPr="003A7A8C">
          <w:rPr>
            <w:rStyle w:val="default"/>
            <w:rFonts w:cs="David"/>
            <w:color w:val="0000FF"/>
            <w:u w:val="single"/>
            <w:rtl/>
          </w:rPr>
          <w:t>348(ו),</w:t>
        </w:r>
      </w:hyperlink>
      <w:r w:rsidR="003A7A8C">
        <w:rPr>
          <w:rStyle w:val="default"/>
          <w:rFonts w:cs="David" w:hint="cs"/>
          <w:rtl/>
        </w:rPr>
        <w:t xml:space="preserve"> ו – </w:t>
      </w:r>
      <w:hyperlink r:id="rId20" w:history="1">
        <w:r w:rsidR="003A7A8C" w:rsidRPr="003A7A8C">
          <w:rPr>
            <w:rStyle w:val="default"/>
            <w:rFonts w:cs="David"/>
            <w:color w:val="0000FF"/>
            <w:u w:val="single"/>
            <w:rtl/>
          </w:rPr>
          <w:t>345(א)(2)</w:t>
        </w:r>
      </w:hyperlink>
      <w:r>
        <w:rPr>
          <w:rStyle w:val="default"/>
          <w:rFonts w:cs="David" w:hint="cs"/>
          <w:rtl/>
        </w:rPr>
        <w:t xml:space="preserve"> ל</w:t>
      </w:r>
      <w:hyperlink r:id="rId21" w:history="1">
        <w:r w:rsidR="00134D76" w:rsidRPr="00134D76">
          <w:rPr>
            <w:rStyle w:val="Hyperlink"/>
            <w:rFonts w:cs="David" w:hint="eastAsia"/>
            <w:rtl/>
          </w:rPr>
          <w:t>חוק</w:t>
        </w:r>
        <w:r w:rsidR="00134D76" w:rsidRPr="00134D76">
          <w:rPr>
            <w:rStyle w:val="Hyperlink"/>
            <w:rFonts w:cs="David"/>
            <w:rtl/>
          </w:rPr>
          <w:t xml:space="preserve"> העונשין</w:t>
        </w:r>
      </w:hyperlink>
      <w:r>
        <w:rPr>
          <w:rStyle w:val="default"/>
          <w:rFonts w:cs="David" w:hint="cs"/>
          <w:rtl/>
        </w:rPr>
        <w:t xml:space="preserve"> כדלקמן:</w:t>
      </w:r>
    </w:p>
    <w:p w14:paraId="54820AB7" w14:textId="77777777" w:rsidR="00FC1723" w:rsidRDefault="00FC1723">
      <w:pPr>
        <w:pStyle w:val="P00"/>
        <w:spacing w:before="72" w:line="360" w:lineRule="auto"/>
        <w:ind w:left="0"/>
        <w:rPr>
          <w:rStyle w:val="default"/>
          <w:rFonts w:cs="David" w:hint="cs"/>
          <w:rtl/>
        </w:rPr>
      </w:pPr>
    </w:p>
    <w:p w14:paraId="1BE1F5CF" w14:textId="77777777" w:rsidR="00FC1723" w:rsidRDefault="00FC1723">
      <w:pPr>
        <w:pStyle w:val="P00"/>
        <w:spacing w:before="72" w:line="360" w:lineRule="auto"/>
        <w:ind w:left="764" w:right="1134"/>
        <w:rPr>
          <w:rStyle w:val="default"/>
          <w:rFonts w:cs="David" w:hint="cs"/>
          <w:b/>
          <w:bCs/>
          <w:sz w:val="24"/>
          <w:szCs w:val="24"/>
          <w:u w:val="single"/>
          <w:rtl/>
        </w:rPr>
      </w:pPr>
      <w:r>
        <w:rPr>
          <w:rStyle w:val="default"/>
          <w:rFonts w:cs="David" w:hint="cs"/>
          <w:b/>
          <w:bCs/>
          <w:sz w:val="24"/>
          <w:szCs w:val="24"/>
          <w:u w:val="single"/>
          <w:rtl/>
        </w:rPr>
        <w:t>348 (א)</w:t>
      </w:r>
      <w:r>
        <w:rPr>
          <w:rStyle w:val="default"/>
          <w:rFonts w:cs="David" w:hint="cs"/>
          <w:b/>
          <w:bCs/>
          <w:sz w:val="24"/>
          <w:szCs w:val="24"/>
          <w:rtl/>
        </w:rPr>
        <w:t>:</w:t>
      </w:r>
      <w:r>
        <w:rPr>
          <w:rStyle w:val="default"/>
          <w:rFonts w:cs="David" w:hint="cs"/>
          <w:b/>
          <w:bCs/>
          <w:sz w:val="24"/>
          <w:szCs w:val="24"/>
          <w:u w:val="single"/>
          <w:rtl/>
        </w:rPr>
        <w:t xml:space="preserve"> </w:t>
      </w:r>
    </w:p>
    <w:p w14:paraId="469FCC2F" w14:textId="77777777" w:rsidR="00FC1723" w:rsidRDefault="00FC1723">
      <w:pPr>
        <w:pStyle w:val="P00"/>
        <w:spacing w:before="72" w:line="360" w:lineRule="auto"/>
        <w:ind w:left="764" w:right="1134"/>
        <w:rPr>
          <w:rStyle w:val="default"/>
          <w:rFonts w:cs="David" w:hint="cs"/>
          <w:b/>
          <w:bCs/>
          <w:sz w:val="24"/>
          <w:szCs w:val="24"/>
          <w:rtl/>
        </w:rPr>
      </w:pPr>
      <w:r>
        <w:rPr>
          <w:rStyle w:val="default"/>
          <w:rFonts w:cs="David" w:hint="cs"/>
          <w:b/>
          <w:bCs/>
          <w:sz w:val="24"/>
          <w:szCs w:val="24"/>
          <w:rtl/>
        </w:rPr>
        <w:t>"העושה מעשה מגונה באדם באחת הנסיבות המנויות בסעיף 345(א) (2) עד   (5), בשינויים המחוייבים, דינו - מאסר שבע שנים".</w:t>
      </w:r>
    </w:p>
    <w:p w14:paraId="7B68F393" w14:textId="77777777" w:rsidR="00FC1723" w:rsidRDefault="00FC1723">
      <w:pPr>
        <w:pStyle w:val="P22"/>
        <w:tabs>
          <w:tab w:val="clear" w:pos="2835"/>
        </w:tabs>
        <w:spacing w:before="72" w:line="360" w:lineRule="auto"/>
        <w:ind w:left="44" w:right="1134"/>
        <w:rPr>
          <w:rStyle w:val="default"/>
          <w:rFonts w:cs="David" w:hint="cs"/>
          <w:b/>
          <w:bCs/>
          <w:sz w:val="24"/>
          <w:szCs w:val="24"/>
          <w:u w:val="single"/>
          <w:rtl/>
        </w:rPr>
      </w:pPr>
      <w:r>
        <w:rPr>
          <w:rStyle w:val="default"/>
          <w:rFonts w:cs="David" w:hint="cs"/>
          <w:b/>
          <w:bCs/>
          <w:sz w:val="24"/>
          <w:szCs w:val="24"/>
          <w:rtl/>
        </w:rPr>
        <w:t xml:space="preserve">             </w:t>
      </w:r>
      <w:r>
        <w:rPr>
          <w:rStyle w:val="default"/>
          <w:rFonts w:cs="David" w:hint="cs"/>
          <w:b/>
          <w:bCs/>
          <w:sz w:val="24"/>
          <w:szCs w:val="24"/>
          <w:u w:val="single"/>
          <w:rtl/>
        </w:rPr>
        <w:t>348(ו)</w:t>
      </w:r>
      <w:r>
        <w:rPr>
          <w:rStyle w:val="default"/>
          <w:rFonts w:cs="David" w:hint="cs"/>
          <w:b/>
          <w:bCs/>
          <w:sz w:val="24"/>
          <w:szCs w:val="24"/>
          <w:rtl/>
        </w:rPr>
        <w:t>:</w:t>
      </w:r>
    </w:p>
    <w:p w14:paraId="045539B4" w14:textId="77777777" w:rsidR="00FC1723" w:rsidRDefault="00FC1723">
      <w:pPr>
        <w:pStyle w:val="P00"/>
        <w:spacing w:before="72" w:line="360" w:lineRule="auto"/>
        <w:ind w:left="764" w:right="1134" w:hanging="764"/>
        <w:rPr>
          <w:rStyle w:val="default"/>
          <w:rFonts w:cs="David" w:hint="cs"/>
          <w:b/>
          <w:bCs/>
          <w:sz w:val="24"/>
          <w:szCs w:val="24"/>
          <w:rtl/>
        </w:rPr>
      </w:pPr>
      <w:r>
        <w:rPr>
          <w:rStyle w:val="default"/>
          <w:rFonts w:hint="cs"/>
          <w:sz w:val="24"/>
          <w:szCs w:val="24"/>
          <w:rtl/>
        </w:rPr>
        <w:tab/>
      </w:r>
      <w:r>
        <w:rPr>
          <w:rStyle w:val="default"/>
          <w:rFonts w:cs="David" w:hint="cs"/>
          <w:b/>
          <w:bCs/>
          <w:sz w:val="24"/>
          <w:szCs w:val="24"/>
          <w:rtl/>
        </w:rPr>
        <w:t xml:space="preserve">   בסימן זה, "מעשה מגונה" - מעשה לשם גירוי, סיפוק או ביזוי מיניים. </w:t>
      </w:r>
    </w:p>
    <w:p w14:paraId="54936610" w14:textId="77777777" w:rsidR="00FC1723" w:rsidRDefault="00FC1723">
      <w:pPr>
        <w:pStyle w:val="P00"/>
        <w:spacing w:before="72" w:line="360" w:lineRule="auto"/>
        <w:ind w:left="764" w:right="1134"/>
        <w:rPr>
          <w:rStyle w:val="default"/>
          <w:rFonts w:cs="David" w:hint="cs"/>
          <w:b/>
          <w:bCs/>
          <w:sz w:val="24"/>
          <w:szCs w:val="24"/>
          <w:rtl/>
        </w:rPr>
      </w:pPr>
    </w:p>
    <w:p w14:paraId="35BF4C14" w14:textId="77777777" w:rsidR="00FC1723" w:rsidRDefault="00FC1723">
      <w:pPr>
        <w:pStyle w:val="P00"/>
        <w:spacing w:before="72" w:line="360" w:lineRule="auto"/>
        <w:ind w:left="764" w:right="1134"/>
        <w:rPr>
          <w:rStyle w:val="default"/>
          <w:rFonts w:cs="David" w:hint="cs"/>
          <w:b/>
          <w:bCs/>
          <w:sz w:val="24"/>
          <w:szCs w:val="24"/>
          <w:rtl/>
        </w:rPr>
      </w:pPr>
      <w:r>
        <w:rPr>
          <w:rStyle w:val="default"/>
          <w:rFonts w:cs="David" w:hint="cs"/>
          <w:b/>
          <w:bCs/>
          <w:sz w:val="24"/>
          <w:szCs w:val="24"/>
          <w:u w:val="single"/>
          <w:rtl/>
        </w:rPr>
        <w:t>345 (א) (2)</w:t>
      </w:r>
      <w:r>
        <w:rPr>
          <w:rStyle w:val="default"/>
          <w:rFonts w:cs="David" w:hint="cs"/>
          <w:b/>
          <w:bCs/>
          <w:sz w:val="24"/>
          <w:szCs w:val="24"/>
          <w:rtl/>
        </w:rPr>
        <w:t>:</w:t>
      </w:r>
    </w:p>
    <w:p w14:paraId="06D6740F" w14:textId="77777777" w:rsidR="00FC1723" w:rsidRDefault="00FC1723">
      <w:pPr>
        <w:pStyle w:val="P00"/>
        <w:spacing w:before="72" w:line="360" w:lineRule="auto"/>
        <w:ind w:left="0" w:right="1134"/>
        <w:rPr>
          <w:rStyle w:val="default"/>
          <w:rFonts w:cs="David" w:hint="cs"/>
          <w:b/>
          <w:bCs/>
          <w:sz w:val="24"/>
          <w:szCs w:val="24"/>
          <w:rtl/>
        </w:rPr>
      </w:pPr>
      <w:r>
        <w:rPr>
          <w:rStyle w:val="big-number"/>
          <w:rFonts w:cs="Miriam" w:hint="cs"/>
          <w:sz w:val="24"/>
          <w:szCs w:val="24"/>
          <w:rtl/>
        </w:rPr>
        <w:tab/>
        <w:t xml:space="preserve">  "</w:t>
      </w:r>
      <w:r>
        <w:rPr>
          <w:rStyle w:val="default"/>
          <w:rFonts w:cs="David" w:hint="cs"/>
          <w:b/>
          <w:bCs/>
          <w:sz w:val="24"/>
          <w:szCs w:val="24"/>
          <w:rtl/>
        </w:rPr>
        <w:t xml:space="preserve">הבועל אשה - </w:t>
      </w:r>
    </w:p>
    <w:p w14:paraId="6C2F204A" w14:textId="77777777" w:rsidR="00FC1723" w:rsidRDefault="00FC1723">
      <w:pPr>
        <w:pStyle w:val="P22"/>
        <w:numPr>
          <w:ilvl w:val="1"/>
          <w:numId w:val="10"/>
        </w:numPr>
        <w:spacing w:before="72" w:line="360" w:lineRule="auto"/>
        <w:ind w:right="1134"/>
        <w:rPr>
          <w:rStyle w:val="default"/>
          <w:rFonts w:cs="David" w:hint="cs"/>
          <w:b/>
          <w:bCs/>
          <w:sz w:val="24"/>
          <w:szCs w:val="24"/>
          <w:rtl/>
        </w:rPr>
      </w:pPr>
      <w:r>
        <w:rPr>
          <w:rStyle w:val="default"/>
          <w:rFonts w:cs="David" w:hint="cs"/>
          <w:b/>
          <w:bCs/>
          <w:sz w:val="24"/>
          <w:szCs w:val="24"/>
          <w:rtl/>
        </w:rPr>
        <w:t>...</w:t>
      </w:r>
    </w:p>
    <w:p w14:paraId="66F6A39A" w14:textId="77777777" w:rsidR="00FC1723" w:rsidRDefault="00FC1723">
      <w:pPr>
        <w:pStyle w:val="P22"/>
        <w:numPr>
          <w:ilvl w:val="1"/>
          <w:numId w:val="10"/>
        </w:numPr>
        <w:spacing w:before="72" w:line="360" w:lineRule="auto"/>
        <w:ind w:right="1134"/>
        <w:rPr>
          <w:rStyle w:val="default"/>
          <w:rFonts w:cs="David" w:hint="cs"/>
          <w:b/>
          <w:bCs/>
          <w:sz w:val="24"/>
          <w:szCs w:val="24"/>
          <w:rtl/>
        </w:rPr>
      </w:pPr>
      <w:r>
        <w:rPr>
          <w:rStyle w:val="default"/>
          <w:rFonts w:cs="David" w:hint="cs"/>
          <w:b/>
          <w:bCs/>
          <w:sz w:val="24"/>
          <w:szCs w:val="24"/>
          <w:rtl/>
        </w:rPr>
        <w:t>בהסכמת האשה, שהושגה במרמה לגבי מיהות העושה או מהות המעשה;".</w:t>
      </w:r>
    </w:p>
    <w:p w14:paraId="1EEF3A5E" w14:textId="77777777" w:rsidR="00FC1723" w:rsidRDefault="00FC1723">
      <w:pPr>
        <w:pStyle w:val="P00"/>
        <w:tabs>
          <w:tab w:val="clear" w:pos="624"/>
        </w:tabs>
        <w:spacing w:before="72" w:line="360" w:lineRule="auto"/>
        <w:ind w:left="44"/>
        <w:rPr>
          <w:rStyle w:val="default"/>
          <w:rFonts w:cs="David" w:hint="cs"/>
          <w:rtl/>
        </w:rPr>
      </w:pPr>
      <w:r>
        <w:rPr>
          <w:rStyle w:val="default"/>
          <w:rFonts w:cs="David" w:hint="cs"/>
          <w:rtl/>
        </w:rPr>
        <w:t>מניסוח הסעיפים האמורים עולה, כי המדובר בעבירת התנהגות ועל התביעה להוכיח את היסודות הבאים:</w:t>
      </w:r>
    </w:p>
    <w:p w14:paraId="5A9EDF72" w14:textId="77777777" w:rsidR="00FC1723" w:rsidRDefault="00FC1723">
      <w:pPr>
        <w:pStyle w:val="P00"/>
        <w:spacing w:before="72" w:line="360" w:lineRule="auto"/>
        <w:ind w:left="764" w:right="1134"/>
        <w:rPr>
          <w:rStyle w:val="default"/>
          <w:rFonts w:cs="David" w:hint="cs"/>
          <w:b/>
          <w:bCs/>
          <w:rtl/>
        </w:rPr>
      </w:pPr>
    </w:p>
    <w:p w14:paraId="1BEEF434" w14:textId="77777777" w:rsidR="00FC1723" w:rsidRDefault="00FC1723">
      <w:pPr>
        <w:pStyle w:val="P00"/>
        <w:spacing w:before="72" w:line="360" w:lineRule="auto"/>
        <w:ind w:left="0"/>
        <w:rPr>
          <w:rStyle w:val="default"/>
          <w:rFonts w:cs="David" w:hint="cs"/>
          <w:rtl/>
        </w:rPr>
      </w:pPr>
      <w:r>
        <w:rPr>
          <w:rStyle w:val="default"/>
          <w:rFonts w:cs="David" w:hint="cs"/>
          <w:b/>
          <w:bCs/>
          <w:rtl/>
        </w:rPr>
        <w:t>א</w:t>
      </w:r>
      <w:r>
        <w:rPr>
          <w:rStyle w:val="default"/>
          <w:rFonts w:cs="David" w:hint="cs"/>
          <w:rtl/>
        </w:rPr>
        <w:t xml:space="preserve">. </w:t>
      </w:r>
      <w:r>
        <w:rPr>
          <w:rStyle w:val="default"/>
          <w:rFonts w:cs="David" w:hint="cs"/>
          <w:b/>
          <w:bCs/>
          <w:u w:val="single"/>
          <w:rtl/>
        </w:rPr>
        <w:t>עשיית המעשה המגונה</w:t>
      </w:r>
      <w:r>
        <w:rPr>
          <w:rStyle w:val="default"/>
          <w:rFonts w:cs="David" w:hint="cs"/>
          <w:rtl/>
        </w:rPr>
        <w:t xml:space="preserve"> – עשיית מעשה שיש בו אלמנט מיני גלוי, ואשר יחשב אוביקטיבית כלא מוסרי או צנוע. הדבר נכון אף לגבי מעשה שלכשעצמו נראה תמים אם לאור ההקשר והנסיבות אינו כזה.</w:t>
      </w:r>
    </w:p>
    <w:p w14:paraId="391B35EC" w14:textId="77777777" w:rsidR="00FC1723" w:rsidRDefault="00FC1723">
      <w:pPr>
        <w:pStyle w:val="P00"/>
        <w:spacing w:before="72" w:line="360" w:lineRule="auto"/>
        <w:ind w:left="0"/>
        <w:rPr>
          <w:rStyle w:val="default"/>
          <w:rFonts w:cs="David" w:hint="cs"/>
          <w:rtl/>
        </w:rPr>
      </w:pPr>
    </w:p>
    <w:p w14:paraId="63F08010" w14:textId="77777777" w:rsidR="00FC1723" w:rsidRDefault="00FC1723">
      <w:pPr>
        <w:pStyle w:val="P00"/>
        <w:spacing w:before="72" w:line="360" w:lineRule="auto"/>
        <w:ind w:left="0"/>
        <w:rPr>
          <w:rStyle w:val="default"/>
          <w:rFonts w:cs="David" w:hint="cs"/>
          <w:rtl/>
        </w:rPr>
      </w:pPr>
      <w:r>
        <w:rPr>
          <w:rStyle w:val="default"/>
          <w:rFonts w:cs="David" w:hint="cs"/>
          <w:rtl/>
        </w:rPr>
        <w:t>ב</w:t>
      </w:r>
      <w:hyperlink r:id="rId22" w:history="1">
        <w:r w:rsidR="00134D76" w:rsidRPr="00134D76">
          <w:rPr>
            <w:rStyle w:val="Hyperlink"/>
            <w:rFonts w:cs="David" w:hint="eastAsia"/>
            <w:rtl/>
          </w:rPr>
          <w:t>ע</w:t>
        </w:r>
        <w:r w:rsidR="00134D76" w:rsidRPr="00134D76">
          <w:rPr>
            <w:rStyle w:val="Hyperlink"/>
            <w:rFonts w:cs="David"/>
            <w:rtl/>
          </w:rPr>
          <w:t>"פ 616/83 פליישמן נ' מדינת ישראל פ"ד ל"ט</w:t>
        </w:r>
      </w:hyperlink>
      <w:r>
        <w:rPr>
          <w:rStyle w:val="default"/>
          <w:rFonts w:cs="David" w:hint="cs"/>
          <w:rtl/>
        </w:rPr>
        <w:t xml:space="preserve"> (1), 449, 455-458, ניתח כב' השופט לוין את יסודות הנדרש בהרחבה וקבע כדלקמן:</w:t>
      </w:r>
    </w:p>
    <w:p w14:paraId="1C6DE425" w14:textId="77777777" w:rsidR="00FC1723" w:rsidRDefault="00FC1723">
      <w:pPr>
        <w:pStyle w:val="P00"/>
        <w:spacing w:before="72" w:line="360" w:lineRule="auto"/>
        <w:ind w:left="0"/>
        <w:rPr>
          <w:rStyle w:val="default"/>
          <w:rFonts w:cs="David" w:hint="cs"/>
          <w:rtl/>
        </w:rPr>
      </w:pPr>
    </w:p>
    <w:p w14:paraId="3ED61C5C" w14:textId="77777777" w:rsidR="00FC1723" w:rsidRDefault="00FC1723">
      <w:pPr>
        <w:tabs>
          <w:tab w:val="left" w:pos="288"/>
          <w:tab w:val="left" w:pos="1124"/>
          <w:tab w:val="left" w:pos="1296"/>
        </w:tabs>
        <w:autoSpaceDE w:val="0"/>
        <w:autoSpaceDN w:val="0"/>
        <w:adjustRightInd w:val="0"/>
        <w:spacing w:after="80"/>
        <w:ind w:left="1123" w:right="1077" w:hanging="77"/>
        <w:rPr>
          <w:rFonts w:hint="cs"/>
          <w:b/>
          <w:bCs/>
          <w:sz w:val="24"/>
          <w:rtl/>
          <w:lang w:eastAsia="en-US"/>
        </w:rPr>
      </w:pPr>
      <w:r>
        <w:rPr>
          <w:rFonts w:hint="cs"/>
          <w:b/>
          <w:bCs/>
          <w:rtl/>
          <w:lang w:eastAsia="en-US"/>
        </w:rPr>
        <w:t>"</w:t>
      </w:r>
      <w:hyperlink r:id="rId23" w:history="1">
        <w:r w:rsidR="00134D76" w:rsidRPr="00134D76">
          <w:rPr>
            <w:rStyle w:val="Hyperlink"/>
            <w:rFonts w:hint="eastAsia"/>
            <w:b/>
            <w:bCs/>
            <w:rtl/>
            <w:lang w:eastAsia="en-US"/>
          </w:rPr>
          <w:t>חוק</w:t>
        </w:r>
        <w:r w:rsidR="00134D76" w:rsidRPr="00134D76">
          <w:rPr>
            <w:rStyle w:val="Hyperlink"/>
            <w:b/>
            <w:bCs/>
            <w:rtl/>
            <w:lang w:eastAsia="en-US"/>
          </w:rPr>
          <w:t xml:space="preserve"> העונשין</w:t>
        </w:r>
      </w:hyperlink>
      <w:r>
        <w:rPr>
          <w:rFonts w:hint="cs"/>
          <w:b/>
          <w:bCs/>
          <w:rtl/>
          <w:lang w:eastAsia="en-US"/>
        </w:rPr>
        <w:t xml:space="preserve"> אינו נותן הגדרה למונח מעשה מגונה. נשאלת השאלה, מה הם היסודות, אשר מקנים למעשה את אופיו המגונה.  המונח "מגונה" אינו מגדיר פעולה מסוימת אלא מאפיין פעולות מבחינה ערכית, מקנה להן משמעות ערכית על כן אין לפנינו בעבירה זו רשימה סגורה של פעולות או מעשים המהווים את העבירה, אלא הסעיף נותן אמת מידה ערכית, על פיה יש לבחון את הפעולה, אם פעולה נופלת בגדר אמת מידה זו - נעברה העבירה, ואם לאו - אין מתקיימים יסודות העבירה.</w:t>
      </w:r>
    </w:p>
    <w:p w14:paraId="370AC2C0" w14:textId="77777777" w:rsidR="00FC1723" w:rsidRDefault="00FC1723">
      <w:pPr>
        <w:pStyle w:val="P00"/>
        <w:tabs>
          <w:tab w:val="clear" w:pos="624"/>
          <w:tab w:val="left" w:pos="1124"/>
        </w:tabs>
        <w:spacing w:before="72" w:line="360" w:lineRule="auto"/>
        <w:ind w:left="1123" w:right="1077" w:hanging="360"/>
        <w:rPr>
          <w:rFonts w:cs="David" w:hint="cs"/>
          <w:b/>
          <w:bCs/>
          <w:rtl/>
          <w:lang w:eastAsia="en-US"/>
        </w:rPr>
      </w:pPr>
      <w:r>
        <w:rPr>
          <w:rFonts w:cs="David" w:hint="cs"/>
          <w:b/>
          <w:bCs/>
          <w:rtl/>
          <w:lang w:eastAsia="en-US"/>
        </w:rPr>
        <w:t xml:space="preserve">     </w:t>
      </w:r>
      <w:r>
        <w:rPr>
          <w:rFonts w:cs="David" w:hint="cs"/>
          <w:b/>
          <w:bCs/>
          <w:rtl/>
          <w:lang w:eastAsia="en-US"/>
        </w:rPr>
        <w:tab/>
        <w:t xml:space="preserve"> נשאלת השאלה, מהו תוכנה של אמת מידה זו, מהו אותו מעשה הראוי לגינוי,</w:t>
      </w:r>
      <w:r>
        <w:rPr>
          <w:rFonts w:cs="David" w:hint="cs"/>
          <w:b/>
          <w:bCs/>
          <w:lang w:eastAsia="en-US"/>
        </w:rPr>
        <w:t xml:space="preserve"> </w:t>
      </w:r>
      <w:r>
        <w:rPr>
          <w:rFonts w:cs="David" w:hint="cs"/>
          <w:b/>
          <w:bCs/>
          <w:rtl/>
          <w:lang w:eastAsia="en-US"/>
        </w:rPr>
        <w:t>אשר מהווה את העבירה...</w:t>
      </w:r>
    </w:p>
    <w:p w14:paraId="32DE049C" w14:textId="77777777" w:rsidR="00FC1723" w:rsidRDefault="00FC1723">
      <w:pPr>
        <w:tabs>
          <w:tab w:val="left" w:pos="288"/>
          <w:tab w:val="left" w:pos="1008"/>
          <w:tab w:val="left" w:pos="1124"/>
          <w:tab w:val="left" w:pos="1296"/>
          <w:tab w:val="left" w:pos="1440"/>
          <w:tab w:val="left" w:pos="1584"/>
          <w:tab w:val="left" w:pos="1872"/>
          <w:tab w:val="left" w:pos="2304"/>
          <w:tab w:val="left" w:pos="5472"/>
        </w:tabs>
        <w:autoSpaceDE w:val="0"/>
        <w:autoSpaceDN w:val="0"/>
        <w:adjustRightInd w:val="0"/>
        <w:spacing w:after="80"/>
        <w:ind w:left="1123" w:right="1077" w:hanging="77"/>
        <w:rPr>
          <w:rFonts w:hint="cs"/>
          <w:b/>
          <w:bCs/>
          <w:rtl/>
          <w:lang w:eastAsia="en-US"/>
        </w:rPr>
      </w:pPr>
    </w:p>
    <w:p w14:paraId="0A63ABBE" w14:textId="77777777" w:rsidR="00FC1723" w:rsidRDefault="00FC1723">
      <w:pPr>
        <w:tabs>
          <w:tab w:val="left" w:pos="288"/>
          <w:tab w:val="left" w:pos="1008"/>
          <w:tab w:val="left" w:pos="1124"/>
          <w:tab w:val="left" w:pos="1296"/>
          <w:tab w:val="left" w:pos="1440"/>
          <w:tab w:val="left" w:pos="1584"/>
          <w:tab w:val="left" w:pos="1872"/>
          <w:tab w:val="left" w:pos="2304"/>
          <w:tab w:val="left" w:pos="5472"/>
        </w:tabs>
        <w:autoSpaceDE w:val="0"/>
        <w:autoSpaceDN w:val="0"/>
        <w:adjustRightInd w:val="0"/>
        <w:spacing w:after="80"/>
        <w:ind w:left="1123" w:right="1077" w:hanging="77"/>
        <w:rPr>
          <w:rFonts w:hint="cs"/>
          <w:b/>
          <w:bCs/>
          <w:rtl/>
          <w:lang w:eastAsia="en-US"/>
        </w:rPr>
      </w:pPr>
      <w:r>
        <w:rPr>
          <w:rFonts w:hint="cs"/>
          <w:b/>
          <w:bCs/>
          <w:rtl/>
          <w:lang w:eastAsia="en-US"/>
        </w:rPr>
        <w:t xml:space="preserve"> ...</w:t>
      </w:r>
      <w:r>
        <w:rPr>
          <w:rFonts w:hint="cs"/>
          <w:b/>
          <w:bCs/>
          <w:lang w:eastAsia="en-US"/>
        </w:rPr>
        <w:t xml:space="preserve"> </w:t>
      </w:r>
      <w:r>
        <w:rPr>
          <w:rFonts w:hint="cs"/>
          <w:b/>
          <w:bCs/>
          <w:rtl/>
          <w:lang w:eastAsia="en-US"/>
        </w:rPr>
        <w:t>ניתן לקבוע אם כן, לאור מטרת החוק ובהתאם לפסיקה, כי מעשה מגונה הינו מעשה, אשר יש בו על פניו אלמנט של מיניות גלויה, ואשר לפי אמות מידה אוביקטיביות של מתבונן מן הצד, של אדם הממוצע, ייחשב לא הגון, לא מוסרי, לא צנוע".</w:t>
      </w:r>
    </w:p>
    <w:p w14:paraId="2CC04E0C" w14:textId="77777777" w:rsidR="00FC1723" w:rsidRDefault="00FC1723">
      <w:pPr>
        <w:pStyle w:val="P00"/>
        <w:spacing w:before="72" w:line="360" w:lineRule="auto"/>
        <w:ind w:left="0"/>
        <w:rPr>
          <w:rStyle w:val="default"/>
          <w:rFonts w:cs="David" w:hint="cs"/>
          <w:rtl/>
        </w:rPr>
      </w:pPr>
      <w:r>
        <w:rPr>
          <w:rStyle w:val="default"/>
          <w:rFonts w:cs="David" w:hint="cs"/>
          <w:rtl/>
        </w:rPr>
        <w:t>ב</w:t>
      </w:r>
      <w:hyperlink r:id="rId24" w:history="1">
        <w:r w:rsidR="00134D76" w:rsidRPr="00134D76">
          <w:rPr>
            <w:rStyle w:val="Hyperlink"/>
            <w:rFonts w:cs="David" w:hint="eastAsia"/>
            <w:rtl/>
          </w:rPr>
          <w:t>ע</w:t>
        </w:r>
        <w:r w:rsidR="00134D76" w:rsidRPr="00134D76">
          <w:rPr>
            <w:rStyle w:val="Hyperlink"/>
            <w:rFonts w:cs="David"/>
            <w:rtl/>
          </w:rPr>
          <w:t>"פ 6255/03 פלוני נ' מדינת ישראל, פ"ד נח</w:t>
        </w:r>
      </w:hyperlink>
      <w:r>
        <w:rPr>
          <w:rStyle w:val="default"/>
          <w:rFonts w:cs="David" w:hint="cs"/>
          <w:rtl/>
        </w:rPr>
        <w:t xml:space="preserve"> (3),</w:t>
      </w:r>
      <w:r>
        <w:rPr>
          <w:rStyle w:val="default"/>
          <w:rFonts w:cs="David" w:hint="cs"/>
          <w:b/>
          <w:bCs/>
          <w:rtl/>
        </w:rPr>
        <w:t xml:space="preserve"> </w:t>
      </w:r>
      <w:r>
        <w:rPr>
          <w:rStyle w:val="default"/>
          <w:rFonts w:cs="David" w:hint="cs"/>
          <w:rtl/>
        </w:rPr>
        <w:t>168</w:t>
      </w:r>
      <w:r>
        <w:rPr>
          <w:rStyle w:val="default"/>
          <w:rFonts w:cs="David" w:hint="cs"/>
          <w:b/>
          <w:bCs/>
          <w:rtl/>
        </w:rPr>
        <w:t xml:space="preserve">, </w:t>
      </w:r>
      <w:r>
        <w:rPr>
          <w:rStyle w:val="default"/>
          <w:rFonts w:cs="David" w:hint="cs"/>
          <w:rtl/>
        </w:rPr>
        <w:t>177,</w:t>
      </w:r>
      <w:r>
        <w:rPr>
          <w:rStyle w:val="default"/>
          <w:rFonts w:cs="David" w:hint="cs"/>
          <w:b/>
          <w:bCs/>
          <w:rtl/>
        </w:rPr>
        <w:t xml:space="preserve">  </w:t>
      </w:r>
      <w:r>
        <w:rPr>
          <w:rStyle w:val="default"/>
          <w:rFonts w:cs="David" w:hint="cs"/>
          <w:rtl/>
        </w:rPr>
        <w:t>דן גם כב' השופט חשין בהגדרה האמורה וקבע:</w:t>
      </w:r>
    </w:p>
    <w:p w14:paraId="687EFAC6" w14:textId="77777777" w:rsidR="00FC1723" w:rsidRDefault="00FC1723">
      <w:pPr>
        <w:pStyle w:val="P00"/>
        <w:spacing w:before="72" w:line="360" w:lineRule="auto"/>
        <w:ind w:left="1124" w:right="1080" w:hanging="1124"/>
        <w:rPr>
          <w:rStyle w:val="default"/>
          <w:rFonts w:cs="David" w:hint="cs"/>
          <w:b/>
          <w:bCs/>
          <w:rtl/>
        </w:rPr>
      </w:pPr>
      <w:r>
        <w:rPr>
          <w:rStyle w:val="default"/>
          <w:rFonts w:cs="David" w:hint="cs"/>
          <w:b/>
          <w:bCs/>
          <w:rtl/>
        </w:rPr>
        <w:tab/>
      </w:r>
      <w:r>
        <w:rPr>
          <w:rStyle w:val="default"/>
          <w:rFonts w:cs="David" w:hint="cs"/>
          <w:b/>
          <w:bCs/>
          <w:rtl/>
        </w:rPr>
        <w:tab/>
        <w:t xml:space="preserve"> </w:t>
      </w:r>
    </w:p>
    <w:p w14:paraId="6A6764A7" w14:textId="77777777" w:rsidR="00FC1723" w:rsidRDefault="00FC1723">
      <w:pPr>
        <w:pStyle w:val="P00"/>
        <w:spacing w:before="72" w:line="360" w:lineRule="auto"/>
        <w:ind w:left="1124" w:right="1080" w:hanging="1124"/>
        <w:rPr>
          <w:rStyle w:val="default"/>
          <w:rFonts w:cs="David" w:hint="cs"/>
          <w:b/>
          <w:bCs/>
          <w:sz w:val="24"/>
          <w:szCs w:val="24"/>
          <w:rtl/>
        </w:rPr>
      </w:pPr>
      <w:r>
        <w:rPr>
          <w:rStyle w:val="default"/>
          <w:rFonts w:cs="David" w:hint="cs"/>
          <w:b/>
          <w:bCs/>
          <w:rtl/>
        </w:rPr>
        <w:tab/>
      </w:r>
      <w:r>
        <w:rPr>
          <w:rStyle w:val="default"/>
          <w:rFonts w:cs="David" w:hint="cs"/>
          <w:b/>
          <w:bCs/>
          <w:rtl/>
        </w:rPr>
        <w:tab/>
      </w:r>
      <w:r>
        <w:rPr>
          <w:rStyle w:val="default"/>
          <w:rFonts w:cs="David" w:hint="cs"/>
          <w:b/>
          <w:bCs/>
          <w:sz w:val="24"/>
          <w:szCs w:val="24"/>
          <w:rtl/>
        </w:rPr>
        <w:t>"</w:t>
      </w:r>
      <w:r>
        <w:rPr>
          <w:rFonts w:cs="David" w:hint="cs"/>
          <w:b/>
          <w:bCs/>
          <w:sz w:val="24"/>
          <w:szCs w:val="24"/>
          <w:rtl/>
        </w:rPr>
        <w:t>לסיכום הדברים נאמר כך: היסוד העובדתי בעבירה של עשיית מעשה מגונה הוא מעשה שבנסיבות העניין הוא בעיני האדם הסביר מעשה מגונה, ובלבד שנעשה הוא למטרה של גירוי, סיפוק או ביזוי מיני".</w:t>
      </w:r>
    </w:p>
    <w:p w14:paraId="1B8D5BFF" w14:textId="77777777" w:rsidR="00FC1723" w:rsidRDefault="00FC1723">
      <w:pPr>
        <w:pStyle w:val="P00"/>
        <w:spacing w:before="72" w:line="360" w:lineRule="auto"/>
        <w:ind w:left="0"/>
        <w:rPr>
          <w:rStyle w:val="default"/>
          <w:rFonts w:cs="David" w:hint="cs"/>
          <w:b/>
          <w:bCs/>
          <w:rtl/>
        </w:rPr>
      </w:pPr>
    </w:p>
    <w:p w14:paraId="190F0CBF" w14:textId="77777777" w:rsidR="00FC1723" w:rsidRDefault="00FC1723">
      <w:pPr>
        <w:pStyle w:val="P00"/>
        <w:spacing w:before="72" w:line="360" w:lineRule="auto"/>
        <w:ind w:left="0"/>
        <w:rPr>
          <w:rStyle w:val="default"/>
          <w:rFonts w:cs="David" w:hint="cs"/>
          <w:b/>
          <w:bCs/>
          <w:rtl/>
        </w:rPr>
      </w:pPr>
      <w:r>
        <w:rPr>
          <w:rStyle w:val="default"/>
          <w:rFonts w:cs="David" w:hint="cs"/>
          <w:b/>
          <w:bCs/>
          <w:rtl/>
        </w:rPr>
        <w:t xml:space="preserve">ב.  </w:t>
      </w:r>
      <w:r>
        <w:rPr>
          <w:rStyle w:val="default"/>
          <w:rFonts w:cs="David" w:hint="cs"/>
          <w:b/>
          <w:bCs/>
          <w:u w:val="single"/>
          <w:rtl/>
        </w:rPr>
        <w:t>בהסכמה שהושגה במרמה</w:t>
      </w:r>
    </w:p>
    <w:p w14:paraId="7168BD52" w14:textId="77777777" w:rsidR="00FC1723" w:rsidRDefault="00FC1723">
      <w:pPr>
        <w:pStyle w:val="P00"/>
        <w:spacing w:before="72"/>
        <w:rPr>
          <w:rStyle w:val="default"/>
          <w:rFonts w:cs="David" w:hint="cs"/>
          <w:highlight w:val="yellow"/>
          <w:rtl/>
        </w:rPr>
      </w:pPr>
    </w:p>
    <w:p w14:paraId="5A33ECFF" w14:textId="77777777" w:rsidR="00FC1723" w:rsidRDefault="00FC1723">
      <w:pPr>
        <w:pStyle w:val="P00"/>
        <w:tabs>
          <w:tab w:val="clear" w:pos="2381"/>
          <w:tab w:val="clear" w:pos="2835"/>
          <w:tab w:val="left" w:pos="-51"/>
        </w:tabs>
        <w:spacing w:before="72" w:line="360" w:lineRule="auto"/>
        <w:ind w:left="0"/>
        <w:rPr>
          <w:rStyle w:val="default"/>
          <w:rFonts w:cs="David" w:hint="cs"/>
          <w:rtl/>
        </w:rPr>
      </w:pPr>
      <w:r>
        <w:rPr>
          <w:rStyle w:val="default"/>
          <w:rFonts w:cs="David" w:hint="cs"/>
          <w:rtl/>
        </w:rPr>
        <w:t xml:space="preserve">כשמדובר בעבירת מרמה, נדרשת הוכחה, כי המתלוננת אכן רומתה בפועל. יתרה מכך, יש להוכיח את הקשר הסיבתי בין המרמה לבין ההסכמה של האישה למעשה שבוצע בה, ובמקרה שלנו: על מנת להרשיע את הנאשם בעבירת המעשה המגונה, יש לבחון האם אכן רומתה המתלוננת ע"י הנאשם, שגרם לה להאמין, כי מעשיו דרושים היו לשם העיסוי, ורק משום כך הסכימה לו, שאז רואים הסכמה ככזו שהושגה במרמה, ואיננה הסכמה מרצון חופשי ואמיתי. </w:t>
      </w:r>
    </w:p>
    <w:p w14:paraId="1517D65F" w14:textId="77777777" w:rsidR="00FC1723" w:rsidRDefault="00FC1723">
      <w:pPr>
        <w:pStyle w:val="P00"/>
        <w:spacing w:before="72" w:line="360" w:lineRule="auto"/>
        <w:ind w:left="0"/>
        <w:rPr>
          <w:rStyle w:val="default"/>
          <w:rFonts w:cs="David" w:hint="cs"/>
          <w:sz w:val="26"/>
          <w:rtl/>
        </w:rPr>
      </w:pPr>
    </w:p>
    <w:p w14:paraId="4E87A4EC" w14:textId="77777777" w:rsidR="00FC1723" w:rsidRDefault="00FC1723">
      <w:pPr>
        <w:pStyle w:val="P00"/>
        <w:spacing w:before="72" w:line="360" w:lineRule="auto"/>
        <w:ind w:left="0"/>
        <w:rPr>
          <w:rStyle w:val="default"/>
          <w:rFonts w:cs="David" w:hint="cs"/>
          <w:rtl/>
        </w:rPr>
      </w:pPr>
      <w:r>
        <w:rPr>
          <w:rStyle w:val="default"/>
          <w:rFonts w:cs="David" w:hint="cs"/>
          <w:b/>
          <w:bCs/>
          <w:rtl/>
        </w:rPr>
        <w:t>ג</w:t>
      </w:r>
      <w:r>
        <w:rPr>
          <w:rStyle w:val="default"/>
          <w:rFonts w:cs="David" w:hint="cs"/>
          <w:rtl/>
        </w:rPr>
        <w:t xml:space="preserve">.  </w:t>
      </w:r>
      <w:r>
        <w:rPr>
          <w:rStyle w:val="default"/>
          <w:rFonts w:cs="David" w:hint="cs"/>
          <w:b/>
          <w:bCs/>
          <w:u w:val="single"/>
          <w:rtl/>
        </w:rPr>
        <w:t>היסוד הנפשי</w:t>
      </w:r>
      <w:r>
        <w:rPr>
          <w:rStyle w:val="default"/>
          <w:rFonts w:cs="David" w:hint="cs"/>
          <w:u w:val="single"/>
          <w:rtl/>
        </w:rPr>
        <w:t xml:space="preserve">  -  </w:t>
      </w:r>
      <w:r>
        <w:rPr>
          <w:rStyle w:val="default"/>
          <w:rFonts w:cs="David" w:hint="cs"/>
          <w:b/>
          <w:bCs/>
          <w:u w:val="single"/>
          <w:rtl/>
        </w:rPr>
        <w:t>כוונה פלילית לשם גירוי, סיפוק או ביזוי מיני</w:t>
      </w:r>
      <w:r>
        <w:rPr>
          <w:rStyle w:val="default"/>
          <w:rFonts w:cs="David" w:hint="cs"/>
          <w:rtl/>
        </w:rPr>
        <w:t xml:space="preserve">. </w:t>
      </w:r>
    </w:p>
    <w:p w14:paraId="44CEC43B" w14:textId="77777777" w:rsidR="00FC1723" w:rsidRDefault="00FC1723">
      <w:pPr>
        <w:pStyle w:val="P00"/>
        <w:spacing w:before="72" w:line="360" w:lineRule="auto"/>
        <w:ind w:left="0"/>
        <w:rPr>
          <w:rStyle w:val="default"/>
          <w:rFonts w:cs="David" w:hint="cs"/>
          <w:rtl/>
        </w:rPr>
      </w:pPr>
    </w:p>
    <w:p w14:paraId="4B4AE4BF" w14:textId="77777777" w:rsidR="00FC1723" w:rsidRDefault="00FC1723">
      <w:pPr>
        <w:pStyle w:val="P00"/>
        <w:spacing w:before="72" w:line="360" w:lineRule="auto"/>
        <w:ind w:left="0"/>
        <w:rPr>
          <w:rStyle w:val="default"/>
          <w:rFonts w:cs="David" w:hint="cs"/>
          <w:rtl/>
        </w:rPr>
      </w:pPr>
      <w:r>
        <w:rPr>
          <w:rStyle w:val="default"/>
          <w:rFonts w:cs="David" w:hint="cs"/>
          <w:rtl/>
        </w:rPr>
        <w:t>ב</w:t>
      </w:r>
      <w:hyperlink r:id="rId25" w:history="1">
        <w:r w:rsidR="00134D76" w:rsidRPr="00134D76">
          <w:rPr>
            <w:rStyle w:val="Hyperlink"/>
            <w:rFonts w:cs="David" w:hint="eastAsia"/>
            <w:rtl/>
          </w:rPr>
          <w:t>ע</w:t>
        </w:r>
        <w:r w:rsidR="00134D76" w:rsidRPr="00134D76">
          <w:rPr>
            <w:rStyle w:val="Hyperlink"/>
            <w:rFonts w:cs="David"/>
            <w:rtl/>
          </w:rPr>
          <w:t>"פ 6255/03</w:t>
        </w:r>
      </w:hyperlink>
      <w:r>
        <w:rPr>
          <w:rStyle w:val="default"/>
          <w:rFonts w:cs="David" w:hint="cs"/>
          <w:rtl/>
        </w:rPr>
        <w:t xml:space="preserve"> </w:t>
      </w:r>
      <w:r>
        <w:rPr>
          <w:rStyle w:val="default"/>
          <w:rFonts w:cs="David" w:hint="cs"/>
          <w:b/>
          <w:bCs/>
          <w:rtl/>
        </w:rPr>
        <w:t xml:space="preserve">פלוני נ' מדינת ישראל </w:t>
      </w:r>
      <w:r>
        <w:rPr>
          <w:rStyle w:val="default"/>
          <w:rFonts w:cs="David" w:hint="cs"/>
          <w:rtl/>
        </w:rPr>
        <w:t>הנ"ל, בעמ' 179, נידון בהרחבה גם עניין היסוד הנפשי הנדרש לעבירת המעשה המגונה:</w:t>
      </w:r>
    </w:p>
    <w:p w14:paraId="13366103" w14:textId="77777777" w:rsidR="00FC1723" w:rsidRDefault="00FC1723">
      <w:pPr>
        <w:pStyle w:val="P00"/>
        <w:spacing w:before="72" w:line="360" w:lineRule="auto"/>
        <w:ind w:left="0"/>
        <w:rPr>
          <w:rStyle w:val="default"/>
          <w:rFonts w:cs="David" w:hint="cs"/>
          <w:b/>
          <w:bCs/>
          <w:rtl/>
        </w:rPr>
      </w:pPr>
      <w:r>
        <w:rPr>
          <w:rStyle w:val="default"/>
          <w:rFonts w:cs="David" w:hint="cs"/>
          <w:b/>
          <w:bCs/>
          <w:rtl/>
        </w:rPr>
        <w:tab/>
      </w:r>
    </w:p>
    <w:p w14:paraId="2834599A" w14:textId="77777777" w:rsidR="00FC1723" w:rsidRDefault="00FC1723">
      <w:pPr>
        <w:pStyle w:val="a4"/>
        <w:spacing w:line="360" w:lineRule="auto"/>
        <w:ind w:left="1124" w:right="1080" w:firstLine="0"/>
        <w:rPr>
          <w:rFonts w:hint="cs"/>
          <w:rtl/>
        </w:rPr>
      </w:pPr>
      <w:r>
        <w:rPr>
          <w:rFonts w:cs="David" w:hint="cs"/>
          <w:b/>
          <w:bCs/>
          <w:rtl/>
        </w:rPr>
        <w:t>"מבחינת היסוד הנפשי המתלווה למעשה, מעשה יֵרֵד בדרגה להיותו מעשה מגונה  אם נעשה לשם גירוי מיני, לשם סיפוק מיני או לשם ביזוי מיני. מילת המפתח היא המילה "לְשֵׁם", והוראתה: בבחינת היסוד הנפשי שבעבירה מעשה ייחתם בחותם הגנות – יהיה "מעשה מגונה" – רק אם מטרת העושה במעשהו הייתה לגירוי מיני, לסיפוק מיני או לביזוי מיני. מעשה – מעשה באשר הוא – שהאדם הסביר יראה בו מעשה מגונה, בכל</w:t>
      </w:r>
      <w:r>
        <w:rPr>
          <w:rFonts w:cs="David" w:hint="cs"/>
          <w:b/>
          <w:bCs/>
          <w:vertAlign w:val="superscript"/>
          <w:rtl/>
        </w:rPr>
        <w:t>-</w:t>
      </w:r>
      <w:r>
        <w:rPr>
          <w:rFonts w:cs="David" w:hint="cs"/>
          <w:b/>
          <w:bCs/>
          <w:rtl/>
        </w:rPr>
        <w:t>זאת לא יהא "מעשה מגונה" כהגדרת העבירה כיום, אלא אם מתלווה אליו יסוד נפשי של מטרה ספציפית – שהמעשה ייעשה למטרת גירוי מיני, למטרת סיפוק מיני או למטרת ביזוי מיני. היסוד הנפשי יכול שיילמד מעצם המעשה, ואולם גם בנסיבות שבהן בולט האופי המגונה של המעשה, חייבת שתהיה קביעה פוזיטיבית בהכרעת הדין כי עושה המעשה כיוֵון להשיג אחת משלוש המטרות המנויות בחוק"</w:t>
      </w:r>
      <w:r>
        <w:rPr>
          <w:rFonts w:hint="cs"/>
          <w:rtl/>
        </w:rPr>
        <w:t xml:space="preserve">. </w:t>
      </w:r>
    </w:p>
    <w:p w14:paraId="7B5E348B" w14:textId="77777777" w:rsidR="00FC1723" w:rsidRDefault="00FC1723">
      <w:pPr>
        <w:pStyle w:val="a4"/>
        <w:spacing w:line="360" w:lineRule="auto"/>
        <w:rPr>
          <w:rFonts w:cs="David" w:hint="cs"/>
          <w:sz w:val="26"/>
          <w:szCs w:val="26"/>
          <w:rtl/>
        </w:rPr>
      </w:pPr>
      <w:r>
        <w:rPr>
          <w:rFonts w:cs="David" w:hint="cs"/>
          <w:sz w:val="26"/>
          <w:szCs w:val="26"/>
          <w:rtl/>
        </w:rPr>
        <w:t xml:space="preserve">וכן בע"פ 6299/99 </w:t>
      </w:r>
      <w:r>
        <w:rPr>
          <w:rFonts w:cs="David" w:hint="cs"/>
          <w:b/>
          <w:bCs/>
          <w:sz w:val="26"/>
          <w:szCs w:val="26"/>
          <w:rtl/>
        </w:rPr>
        <w:t>פלוני נ' מדינת ישראל</w:t>
      </w:r>
      <w:r>
        <w:rPr>
          <w:rFonts w:cs="David" w:hint="cs"/>
          <w:sz w:val="26"/>
          <w:szCs w:val="26"/>
          <w:rtl/>
        </w:rPr>
        <w:t xml:space="preserve"> פ"ד נה (2) 496, 502 מפי כב' השופטת פרוקצ'יה:</w:t>
      </w:r>
    </w:p>
    <w:p w14:paraId="6812C343" w14:textId="77777777" w:rsidR="00FC1723" w:rsidRDefault="00FC1723">
      <w:pPr>
        <w:pStyle w:val="a4"/>
        <w:spacing w:line="360" w:lineRule="auto"/>
        <w:ind w:left="1124" w:right="1080" w:firstLine="0"/>
        <w:rPr>
          <w:rFonts w:cs="David" w:hint="cs"/>
          <w:b/>
          <w:bCs/>
          <w:sz w:val="24"/>
          <w:rtl/>
        </w:rPr>
      </w:pPr>
      <w:r>
        <w:rPr>
          <w:rFonts w:cs="David" w:hint="cs"/>
          <w:b/>
          <w:bCs/>
          <w:sz w:val="24"/>
          <w:rtl/>
        </w:rPr>
        <w:t>"היסוד הנפשי בעבירה נקשר לדרישה הכלולה בהגדרת "המעשה המגונה" כי הוא ייעשה לשם גירוי, סיפוק או ביזוי מיניים. הוא מבטא דרישה לקיומה של מטרה להשיג את אחת התכליות הנקובות בו. מכאן, שלצורך אחריות פלילית אין די בכך שהמעשה יהיה על פניו פגום מן הבחינה המוסרית אם לא נתלוותה לו מטרה להשיג את אחד היעדים כאמור. ככזו, עבירת המעשה המגונה מחייבת הוכחת קיומה של מטרה כיסוד נפשי בעבירה אולם אין בצדה דרישה להתממשות אותו יעד. די בכך "שהמטרה המייחדת את היסוד הנפשי שבעבירה היתה לנגד עיני העושה בשעת עשיית המעשה"</w:t>
      </w:r>
      <w:r>
        <w:rPr>
          <w:rFonts w:cs="David" w:hint="cs"/>
          <w:b/>
          <w:bCs/>
          <w:sz w:val="24"/>
          <w:rtl/>
        </w:rPr>
        <w:tab/>
        <w:t xml:space="preserve">       </w:t>
      </w:r>
    </w:p>
    <w:p w14:paraId="32D9CA77" w14:textId="77777777" w:rsidR="00FC1723" w:rsidRDefault="00FC1723">
      <w:pPr>
        <w:pStyle w:val="P00"/>
        <w:spacing w:before="72" w:line="240" w:lineRule="exact"/>
        <w:ind w:left="0"/>
        <w:rPr>
          <w:rStyle w:val="default"/>
          <w:rFonts w:cs="David" w:hint="cs"/>
          <w:b/>
          <w:bCs/>
          <w:rtl/>
        </w:rPr>
      </w:pPr>
      <w:r>
        <w:rPr>
          <w:rStyle w:val="default"/>
          <w:rFonts w:cs="David" w:hint="cs"/>
          <w:b/>
          <w:bCs/>
          <w:rtl/>
        </w:rPr>
        <w:t xml:space="preserve">(2)  </w:t>
      </w:r>
      <w:r>
        <w:rPr>
          <w:rStyle w:val="default"/>
          <w:rFonts w:cs="David" w:hint="cs"/>
          <w:b/>
          <w:bCs/>
          <w:u w:val="single"/>
          <w:rtl/>
        </w:rPr>
        <w:t>בחינת ענייננו</w:t>
      </w:r>
      <w:r>
        <w:rPr>
          <w:rStyle w:val="default"/>
          <w:rFonts w:cs="David" w:hint="cs"/>
          <w:b/>
          <w:bCs/>
          <w:rtl/>
        </w:rPr>
        <w:t>:</w:t>
      </w:r>
    </w:p>
    <w:p w14:paraId="68390B00" w14:textId="77777777" w:rsidR="00FC1723" w:rsidRDefault="00FC1723">
      <w:pPr>
        <w:pStyle w:val="P00"/>
        <w:spacing w:before="72" w:line="240" w:lineRule="exact"/>
        <w:ind w:left="0"/>
        <w:rPr>
          <w:rStyle w:val="default"/>
          <w:rFonts w:cs="David" w:hint="cs"/>
          <w:rtl/>
        </w:rPr>
      </w:pPr>
    </w:p>
    <w:p w14:paraId="6F67DBAF" w14:textId="77777777" w:rsidR="00FC1723" w:rsidRDefault="00FC1723">
      <w:pPr>
        <w:pStyle w:val="P00"/>
        <w:spacing w:before="72" w:line="360" w:lineRule="auto"/>
        <w:ind w:left="0"/>
        <w:rPr>
          <w:rStyle w:val="default"/>
          <w:rFonts w:cs="David" w:hint="cs"/>
          <w:rtl/>
        </w:rPr>
      </w:pPr>
      <w:r>
        <w:rPr>
          <w:rStyle w:val="default"/>
          <w:rFonts w:cs="David" w:hint="cs"/>
          <w:rtl/>
        </w:rPr>
        <w:t xml:space="preserve">כאמור, נתתי אמון בגרסת שני הצדדים, איש איש ונקודת מבטו. אבחן איפוא את כל אחד מהיסודות המרכיבים את העבירה, היינו עצם המעשה, עמדת המתלוננת וכוונות הנאשם ומודעותו לעמדתה. </w:t>
      </w:r>
    </w:p>
    <w:p w14:paraId="7E63BCDC" w14:textId="77777777" w:rsidR="00FC1723" w:rsidRDefault="00FC1723">
      <w:pPr>
        <w:pStyle w:val="P00"/>
        <w:spacing w:before="72" w:line="360" w:lineRule="auto"/>
        <w:ind w:left="0"/>
        <w:rPr>
          <w:rStyle w:val="default"/>
          <w:rFonts w:cs="David" w:hint="cs"/>
          <w:rtl/>
        </w:rPr>
      </w:pPr>
    </w:p>
    <w:p w14:paraId="53514087" w14:textId="77777777" w:rsidR="00FC1723" w:rsidRDefault="00FC1723">
      <w:pPr>
        <w:pStyle w:val="P00"/>
        <w:spacing w:before="72" w:line="360" w:lineRule="auto"/>
        <w:ind w:left="0"/>
        <w:rPr>
          <w:rStyle w:val="default"/>
          <w:rFonts w:cs="David" w:hint="cs"/>
          <w:rtl/>
        </w:rPr>
      </w:pPr>
      <w:r>
        <w:rPr>
          <w:rStyle w:val="default"/>
          <w:rFonts w:cs="David" w:hint="cs"/>
          <w:rtl/>
        </w:rPr>
        <w:t xml:space="preserve">א. </w:t>
      </w:r>
      <w:r>
        <w:rPr>
          <w:rStyle w:val="default"/>
          <w:rFonts w:cs="David" w:hint="cs"/>
          <w:u w:val="single"/>
          <w:rtl/>
        </w:rPr>
        <w:t>היסוד העובדתי</w:t>
      </w:r>
      <w:r>
        <w:rPr>
          <w:rStyle w:val="default"/>
          <w:rFonts w:cs="David" w:hint="cs"/>
          <w:rtl/>
        </w:rPr>
        <w:t xml:space="preserve">: </w:t>
      </w:r>
    </w:p>
    <w:p w14:paraId="6F255794" w14:textId="77777777" w:rsidR="00FC1723" w:rsidRDefault="00FC1723">
      <w:pPr>
        <w:pStyle w:val="P00"/>
        <w:spacing w:before="72" w:line="360" w:lineRule="auto"/>
        <w:ind w:left="0"/>
        <w:rPr>
          <w:rStyle w:val="default"/>
          <w:rFonts w:cs="David" w:hint="cs"/>
          <w:rtl/>
        </w:rPr>
      </w:pPr>
    </w:p>
    <w:p w14:paraId="069DAF1F" w14:textId="77777777" w:rsidR="00FC1723" w:rsidRDefault="00FC1723">
      <w:pPr>
        <w:pStyle w:val="a4"/>
        <w:spacing w:line="360" w:lineRule="auto"/>
        <w:ind w:firstLine="0"/>
        <w:rPr>
          <w:rFonts w:cs="David" w:hint="cs"/>
          <w:sz w:val="26"/>
          <w:szCs w:val="26"/>
          <w:rtl/>
        </w:rPr>
      </w:pPr>
      <w:r>
        <w:rPr>
          <w:rFonts w:cs="David" w:hint="cs"/>
          <w:sz w:val="26"/>
          <w:szCs w:val="26"/>
          <w:rtl/>
        </w:rPr>
        <w:t xml:space="preserve">באשר ליסוד העובדתי בעבירה, ברור כי הימצאותו של הנאשם ביחידות עם המתלוננת, כאשר הוא מעסה את גופה העירום לחלוטין, תוך נגיעה כזו או אחרת, באבריה האינטימיים או בסמוך להם, עונים בעל כורחם למושג "מעשה מגונה" בהקשרו העובדתי. מדובר במעשים </w:t>
      </w:r>
      <w:r>
        <w:rPr>
          <w:rFonts w:cs="David" w:hint="cs"/>
          <w:sz w:val="26"/>
          <w:szCs w:val="26"/>
          <w:rtl/>
          <w:lang w:eastAsia="en-US"/>
        </w:rPr>
        <w:t xml:space="preserve">אשר יש בהם על פניהם אלמנט של מיניות גלויה, ואשר לפי אמות מידה אובייקטיביות של מתבונן מן הצד, של אדם הממוצע, ייחשבו ללא מוסריים או לא צנועים. מעשים אלו </w:t>
      </w:r>
      <w:r>
        <w:rPr>
          <w:rFonts w:cs="David" w:hint="cs"/>
          <w:sz w:val="26"/>
          <w:szCs w:val="26"/>
          <w:rtl/>
        </w:rPr>
        <w:t xml:space="preserve">פוגעים בצנעת גופה של המתלוננת ומביאים בהכרח להשפלתה ולביזוי מיני שלה, מעצם הפלישה לגופה ומהפגיעה בכבודה כאדם וכאישה (ר' לעניין זה גם ע"פ 6299/99 הנ"ל). </w:t>
      </w:r>
    </w:p>
    <w:p w14:paraId="6A53F088" w14:textId="77777777" w:rsidR="00FC1723" w:rsidRDefault="00FC1723">
      <w:pPr>
        <w:pStyle w:val="P00"/>
        <w:tabs>
          <w:tab w:val="clear" w:pos="2381"/>
          <w:tab w:val="clear" w:pos="2835"/>
          <w:tab w:val="left" w:pos="-51"/>
        </w:tabs>
        <w:spacing w:before="72" w:line="360" w:lineRule="auto"/>
        <w:ind w:left="0"/>
        <w:rPr>
          <w:rStyle w:val="default"/>
          <w:rFonts w:cs="David" w:hint="cs"/>
          <w:rtl/>
        </w:rPr>
      </w:pPr>
      <w:r>
        <w:rPr>
          <w:rFonts w:cs="David" w:hint="cs"/>
          <w:rtl/>
        </w:rPr>
        <w:t>לעניין הפרט של  הסכמה שהושגה במירמה: כאמור,</w:t>
      </w:r>
      <w:r>
        <w:rPr>
          <w:rFonts w:hint="cs"/>
          <w:rtl/>
        </w:rPr>
        <w:t xml:space="preserve"> </w:t>
      </w:r>
      <w:r>
        <w:rPr>
          <w:rStyle w:val="default"/>
          <w:rFonts w:cs="David" w:hint="cs"/>
          <w:rtl/>
        </w:rPr>
        <w:t xml:space="preserve">כשמדובר בעבירת מרמה, נדרשת הוכחה, כי המתלוננת אכן רומתה בפועל. יתרה מכך, יש להוכיח את הקשר הסיבתי בין המרמה לבין ההסכמה של האישה למעשה שבוצע בה, ובמקרה שלנו: על מנת להרשיע את הנאשם בעבירת המעשה המגונה, יש לבחון האם אכן רומתה המתלוננת ע"י הנאשם, שגרם לה להאמין, כי מעשיו דרושים היו לשם העיסוי, ורק משום כך הסכימה לו, שאז רואים הסכמה ככזו שהושגה במרמה, ואיננה הסכמה מרצון חופשי ואמיתי. </w:t>
      </w:r>
    </w:p>
    <w:p w14:paraId="313F7B0E" w14:textId="77777777" w:rsidR="00FC1723" w:rsidRDefault="00FC1723">
      <w:pPr>
        <w:pStyle w:val="P00"/>
        <w:tabs>
          <w:tab w:val="clear" w:pos="2381"/>
          <w:tab w:val="clear" w:pos="2835"/>
          <w:tab w:val="left" w:pos="-51"/>
        </w:tabs>
        <w:spacing w:before="72" w:line="360" w:lineRule="auto"/>
        <w:ind w:left="0"/>
        <w:rPr>
          <w:rStyle w:val="default"/>
          <w:rFonts w:cs="David" w:hint="cs"/>
          <w:rtl/>
        </w:rPr>
      </w:pPr>
    </w:p>
    <w:p w14:paraId="6B60A645" w14:textId="77777777" w:rsidR="00FC1723" w:rsidRDefault="00FC1723">
      <w:pPr>
        <w:pStyle w:val="P00"/>
        <w:tabs>
          <w:tab w:val="clear" w:pos="2381"/>
          <w:tab w:val="clear" w:pos="2835"/>
          <w:tab w:val="left" w:pos="-51"/>
        </w:tabs>
        <w:spacing w:before="72" w:line="360" w:lineRule="auto"/>
        <w:ind w:left="0"/>
        <w:rPr>
          <w:rStyle w:val="default"/>
          <w:rFonts w:cs="David" w:hint="cs"/>
          <w:rtl/>
        </w:rPr>
      </w:pPr>
      <w:r>
        <w:rPr>
          <w:rStyle w:val="default"/>
          <w:rFonts w:cs="David" w:hint="cs"/>
          <w:rtl/>
        </w:rPr>
        <w:t xml:space="preserve">משמיעת המתלוננת עצמה, ממילותיה היא, מכנותה, מתיאור הלך מחשבתה ובהתחשב באימון שנתתי בה, לא אוכל בשום פנים לקבוע כי המתלוננת אכן רומתה על ידי הנאשם. מעדותה של המתלוננת עולה, כי מיד שהנאשם החל לעסותה, הבינה שמשהו לא בסדר ולא ידעה איך לצאת מהמצב הזה, תוך שהנאשם בודק עימה כל העת אם הכל בסדר </w:t>
      </w:r>
      <w:r>
        <w:rPr>
          <w:rStyle w:val="default"/>
          <w:rFonts w:cs="David" w:hint="cs"/>
          <w:sz w:val="22"/>
          <w:szCs w:val="22"/>
          <w:rtl/>
        </w:rPr>
        <w:t xml:space="preserve">(למשל עמ' 11 ש' 12-15). </w:t>
      </w:r>
      <w:r>
        <w:rPr>
          <w:rStyle w:val="default"/>
          <w:rFonts w:cs="David" w:hint="cs"/>
          <w:sz w:val="26"/>
          <w:rtl/>
        </w:rPr>
        <w:t xml:space="preserve">היא </w:t>
      </w:r>
      <w:r>
        <w:rPr>
          <w:rStyle w:val="default"/>
          <w:rFonts w:cs="David" w:hint="cs"/>
          <w:rtl/>
        </w:rPr>
        <w:t xml:space="preserve">לא שאלה אותו דבר ולא התנגדה או אמרה לו להפסיק לגעת בה משך קרוב ל-50 דקות! המתלוננת מתארת, שהייתה מצויה בעמדת אומללות, חוסר אונים ופחד </w:t>
      </w:r>
      <w:r>
        <w:rPr>
          <w:rStyle w:val="default"/>
          <w:rFonts w:cs="David" w:hint="cs"/>
          <w:sz w:val="22"/>
          <w:szCs w:val="22"/>
          <w:rtl/>
        </w:rPr>
        <w:t xml:space="preserve">(עמ' 11 ש' 13-14). </w:t>
      </w:r>
      <w:r>
        <w:rPr>
          <w:rStyle w:val="default"/>
          <w:rFonts w:cs="David" w:hint="cs"/>
          <w:rtl/>
        </w:rPr>
        <w:t>עם זאת, לא ייתכן כי רומתה, כאשר היא אומרת בפה מלא, שהרגישה בעצמה שהמצב לא בסדר. הרגשתה כֻּוונה כל הזמן לשאלה איך עליה לצאת מהמצב, לא עקב אלימות או איום מצידו, אלא מתוך הרגשה של בושה: "מה אני אצא בסערה? אני אקח את הבגדים? אני לא? כולם יראו בחוץ</w:t>
      </w:r>
      <w:r>
        <w:rPr>
          <w:rStyle w:val="default"/>
          <w:rFonts w:cs="David" w:hint="cs"/>
          <w:sz w:val="22"/>
          <w:szCs w:val="22"/>
          <w:rtl/>
        </w:rPr>
        <w:t>" (עמ' 11 ש' 18)</w:t>
      </w:r>
      <w:r>
        <w:rPr>
          <w:rStyle w:val="default"/>
          <w:rFonts w:cs="David" w:hint="cs"/>
          <w:rtl/>
        </w:rPr>
        <w:t xml:space="preserve">. יש לזכור שהמתלוננת עברה בחייה מספר מסאג'ים לא מועט והיא בעלת נסיון בנושא וכפי שהעידה על עצמה, אינה תמימה לחשוב אחרת.  </w:t>
      </w:r>
    </w:p>
    <w:p w14:paraId="75D78B44" w14:textId="77777777" w:rsidR="00FC1723" w:rsidRDefault="00FC1723">
      <w:pPr>
        <w:pStyle w:val="P00"/>
        <w:tabs>
          <w:tab w:val="clear" w:pos="2381"/>
          <w:tab w:val="clear" w:pos="2835"/>
          <w:tab w:val="left" w:pos="-51"/>
        </w:tabs>
        <w:spacing w:before="72" w:line="360" w:lineRule="auto"/>
        <w:ind w:left="0"/>
        <w:rPr>
          <w:rStyle w:val="default"/>
          <w:rFonts w:cs="David" w:hint="cs"/>
          <w:rtl/>
        </w:rPr>
      </w:pPr>
    </w:p>
    <w:p w14:paraId="6906A69D" w14:textId="77777777" w:rsidR="00FC1723" w:rsidRDefault="00FC1723">
      <w:pPr>
        <w:pStyle w:val="P00"/>
        <w:tabs>
          <w:tab w:val="clear" w:pos="2381"/>
          <w:tab w:val="clear" w:pos="2835"/>
          <w:tab w:val="left" w:pos="-51"/>
        </w:tabs>
        <w:spacing w:before="72" w:line="360" w:lineRule="auto"/>
        <w:ind w:left="0"/>
        <w:rPr>
          <w:rStyle w:val="default"/>
          <w:rFonts w:cs="David" w:hint="cs"/>
          <w:rtl/>
        </w:rPr>
      </w:pPr>
      <w:r>
        <w:rPr>
          <w:rStyle w:val="default"/>
          <w:rFonts w:cs="David" w:hint="cs"/>
          <w:rtl/>
        </w:rPr>
        <w:t xml:space="preserve">בחורה פוחדת ונבוכה, אשר ברור לה שעיסויו של הנאשם אינו ראוי ומתאים, אינה יכולה להיחשב, לדעתי, כמי שרומתה. לא ניתן לדעתי לומר כי הנאשם רימה אותה לחשוב שהדברים נהוגים ומקובלים, שהרי היא בעצמה ידעה והבינה שלא כך הוא הדבר! </w:t>
      </w:r>
    </w:p>
    <w:p w14:paraId="3F32B911" w14:textId="77777777" w:rsidR="00FC1723" w:rsidRDefault="00FC1723">
      <w:pPr>
        <w:pStyle w:val="P00"/>
        <w:spacing w:before="72" w:line="360" w:lineRule="auto"/>
        <w:ind w:left="0"/>
        <w:rPr>
          <w:rStyle w:val="default"/>
          <w:rFonts w:cs="David" w:hint="cs"/>
          <w:rtl/>
        </w:rPr>
      </w:pPr>
    </w:p>
    <w:p w14:paraId="17F28776" w14:textId="77777777" w:rsidR="00FC1723" w:rsidRDefault="00FC1723">
      <w:pPr>
        <w:pStyle w:val="a4"/>
        <w:spacing w:line="360" w:lineRule="auto"/>
        <w:ind w:firstLine="0"/>
        <w:rPr>
          <w:rFonts w:hint="cs"/>
          <w:rtl/>
        </w:rPr>
      </w:pPr>
      <w:r>
        <w:rPr>
          <w:rStyle w:val="default"/>
          <w:rFonts w:cs="David" w:hint="cs"/>
          <w:rtl/>
        </w:rPr>
        <w:t xml:space="preserve">יש לזכור עוד כי המתלוננת לא העידה לרגע, כי חשבה שפעולותיו של הנאשם נחוצות לצורך עבודתו, או כי גרם לה להאמין בצדקת מעשיו. תשובתה הכנה והאמיתית הייתה, שאיננה יודעת מדוע לא ביקשה מהנאשם להפסיק, ושחשה תחושה של מבוכה והשפלה </w:t>
      </w:r>
      <w:r>
        <w:rPr>
          <w:rStyle w:val="default"/>
          <w:rFonts w:cs="David" w:hint="cs"/>
          <w:sz w:val="22"/>
          <w:szCs w:val="22"/>
          <w:rtl/>
        </w:rPr>
        <w:t xml:space="preserve">(עמ' 17 ש' 27). </w:t>
      </w:r>
      <w:r>
        <w:rPr>
          <w:rStyle w:val="default"/>
          <w:rFonts w:cs="David" w:hint="cs"/>
          <w:sz w:val="26"/>
          <w:rtl/>
        </w:rPr>
        <w:t xml:space="preserve">בנסיבות אלה, לא אוכל לקבוע כי התקיים יסוד העבירה הנוגע להסכמתה שהושגה במרמה. לעניין זה </w:t>
      </w:r>
      <w:r>
        <w:rPr>
          <w:rFonts w:cs="David" w:hint="cs"/>
          <w:sz w:val="26"/>
          <w:szCs w:val="26"/>
          <w:rtl/>
        </w:rPr>
        <w:t xml:space="preserve">נראה לי כי סביר יותר שהיתה כאן אי הבנה, "קצר בתקשורת", בין תכלית הגעתה ואורח מחשבתה של המתלוננת מחד, לבין התכלית אותה תפס הנאשם, לפי הבנתו הוא מאידך.  </w:t>
      </w:r>
      <w:r>
        <w:rPr>
          <w:rFonts w:hint="cs"/>
          <w:rtl/>
        </w:rPr>
        <w:t xml:space="preserve"> </w:t>
      </w:r>
    </w:p>
    <w:p w14:paraId="4E437BE1" w14:textId="77777777" w:rsidR="00FC1723" w:rsidRDefault="00FC1723">
      <w:pPr>
        <w:pStyle w:val="P00"/>
        <w:spacing w:before="72" w:line="360" w:lineRule="auto"/>
        <w:ind w:left="0"/>
        <w:rPr>
          <w:rStyle w:val="default"/>
          <w:rFonts w:cs="David" w:hint="cs"/>
          <w:sz w:val="26"/>
          <w:rtl/>
        </w:rPr>
      </w:pPr>
      <w:r>
        <w:rPr>
          <w:rStyle w:val="default"/>
          <w:rFonts w:cs="David" w:hint="cs"/>
          <w:sz w:val="26"/>
          <w:rtl/>
        </w:rPr>
        <w:t>די היה לכאורה בכך כדי לזכות את הנאשם מהסעיף שיוחס לו. ואולם לא התקיים לדעתי גם היסוד הנפשי הנדרש לעבירה.</w:t>
      </w:r>
      <w:r>
        <w:rPr>
          <w:rStyle w:val="default"/>
          <w:rFonts w:cs="David" w:hint="cs"/>
          <w:sz w:val="26"/>
        </w:rPr>
        <w:t xml:space="preserve"> </w:t>
      </w:r>
    </w:p>
    <w:p w14:paraId="0DF4418E" w14:textId="77777777" w:rsidR="00FC1723" w:rsidRDefault="00FC1723">
      <w:pPr>
        <w:pStyle w:val="P00"/>
        <w:spacing w:before="72" w:line="360" w:lineRule="auto"/>
        <w:ind w:left="0"/>
        <w:rPr>
          <w:rStyle w:val="default"/>
          <w:rFonts w:cs="David" w:hint="cs"/>
          <w:sz w:val="26"/>
          <w:rtl/>
        </w:rPr>
      </w:pPr>
    </w:p>
    <w:p w14:paraId="6E839DC1" w14:textId="77777777" w:rsidR="00FC1723" w:rsidRDefault="00FC1723">
      <w:pPr>
        <w:pStyle w:val="P00"/>
        <w:spacing w:before="72" w:line="360" w:lineRule="auto"/>
        <w:ind w:left="0"/>
        <w:rPr>
          <w:rStyle w:val="default"/>
          <w:rFonts w:cs="David" w:hint="cs"/>
          <w:rtl/>
        </w:rPr>
      </w:pPr>
      <w:r>
        <w:rPr>
          <w:rStyle w:val="default"/>
          <w:rFonts w:cs="David" w:hint="cs"/>
          <w:rtl/>
        </w:rPr>
        <w:t xml:space="preserve">ב. </w:t>
      </w:r>
      <w:r>
        <w:rPr>
          <w:rStyle w:val="default"/>
          <w:rFonts w:cs="David" w:hint="cs"/>
          <w:u w:val="single"/>
          <w:rtl/>
        </w:rPr>
        <w:t>היסוד הנפשי</w:t>
      </w:r>
      <w:r>
        <w:rPr>
          <w:rStyle w:val="default"/>
          <w:rFonts w:cs="David" w:hint="cs"/>
          <w:rtl/>
        </w:rPr>
        <w:t>:</w:t>
      </w:r>
    </w:p>
    <w:p w14:paraId="4A47E5A8" w14:textId="77777777" w:rsidR="00FC1723" w:rsidRDefault="00FC1723">
      <w:pPr>
        <w:pStyle w:val="a4"/>
        <w:spacing w:line="360" w:lineRule="auto"/>
        <w:ind w:left="44" w:firstLine="0"/>
        <w:rPr>
          <w:rFonts w:cs="David" w:hint="cs"/>
          <w:sz w:val="26"/>
          <w:szCs w:val="26"/>
          <w:rtl/>
        </w:rPr>
      </w:pPr>
      <w:r>
        <w:rPr>
          <w:rStyle w:val="default"/>
          <w:rFonts w:cs="David" w:hint="cs"/>
          <w:sz w:val="26"/>
          <w:rtl/>
        </w:rPr>
        <w:t xml:space="preserve">גם אם לא היה קיים הספק הנ"ל ביסוד העובדתי הנוגע להסכמתה של המתלוננת, נראה לי כי ודאי קיים ספק בקיומו של היסוד הנפשי הנדרש לביצוע העבירה ולהרשעה בפלילים. כאמור, יסוד מיסודות העבירה הוא תכליתה: </w:t>
      </w:r>
      <w:r>
        <w:rPr>
          <w:rFonts w:cs="David" w:hint="cs"/>
          <w:sz w:val="26"/>
          <w:szCs w:val="26"/>
          <w:rtl/>
        </w:rPr>
        <w:t>לשם גירוי, סיפוק או ביזוי מיניים. לצורך אחריות פלילית אין די בכך שהמעשה יהיה על פניו פגום מן הבחינה המוסרית, אלא שתתלווה לו מטרה להשיג את אחד היעדים הנ"ל. ככזו, עבירת המעשה המגונה מחייבת הוכחת קיומה של מטרה כיסוד נפשי בעבירה. האם הוכיחה התביעה מטרה כאמור? נראה לי שלא. הנאשם חזר והדגיש בעדותו, כי המדובר בעבודתו ולא היה לו כל עניין של גירוי או סיפוק מיני. כך בהודעתו המשטרתית:</w:t>
      </w:r>
    </w:p>
    <w:p w14:paraId="43423147" w14:textId="77777777" w:rsidR="00FC1723" w:rsidRDefault="00FC1723">
      <w:pPr>
        <w:pStyle w:val="a4"/>
        <w:spacing w:line="360" w:lineRule="auto"/>
        <w:ind w:left="1484" w:right="1080" w:hanging="1440"/>
        <w:rPr>
          <w:rFonts w:cs="David" w:hint="cs"/>
          <w:sz w:val="22"/>
          <w:szCs w:val="22"/>
          <w:rtl/>
        </w:rPr>
      </w:pPr>
      <w:r>
        <w:rPr>
          <w:rFonts w:cs="David" w:hint="cs"/>
          <w:sz w:val="26"/>
          <w:szCs w:val="26"/>
          <w:rtl/>
        </w:rPr>
        <w:tab/>
      </w:r>
      <w:r>
        <w:rPr>
          <w:rFonts w:cs="David" w:hint="cs"/>
          <w:b/>
          <w:bCs/>
          <w:sz w:val="26"/>
          <w:szCs w:val="26"/>
          <w:rtl/>
        </w:rPr>
        <w:t xml:space="preserve">"מה אכפת לי, זה כסף שלו (של הלקוח – י.ש.). אז אני עושה איך שהוא מבקש..." </w:t>
      </w:r>
      <w:r>
        <w:rPr>
          <w:rFonts w:cs="David" w:hint="cs"/>
          <w:sz w:val="22"/>
          <w:szCs w:val="22"/>
          <w:rtl/>
        </w:rPr>
        <w:t>(עמ' 7 ש' 18).</w:t>
      </w:r>
    </w:p>
    <w:p w14:paraId="5D694310" w14:textId="77777777" w:rsidR="00FC1723" w:rsidRDefault="00FC1723">
      <w:pPr>
        <w:pStyle w:val="a4"/>
        <w:spacing w:line="360" w:lineRule="auto"/>
        <w:ind w:left="1484" w:right="1080" w:hanging="1440"/>
        <w:rPr>
          <w:rFonts w:cs="David" w:hint="cs"/>
          <w:sz w:val="22"/>
          <w:szCs w:val="22"/>
          <w:rtl/>
        </w:rPr>
      </w:pPr>
      <w:r>
        <w:rPr>
          <w:rFonts w:cs="David" w:hint="cs"/>
          <w:sz w:val="26"/>
          <w:szCs w:val="26"/>
          <w:rtl/>
        </w:rPr>
        <w:t>וכך בחקירתו הנגדית:</w:t>
      </w:r>
    </w:p>
    <w:p w14:paraId="2A3EA796" w14:textId="77777777" w:rsidR="00FC1723" w:rsidRDefault="00FC1723">
      <w:pPr>
        <w:pStyle w:val="a4"/>
        <w:spacing w:line="360" w:lineRule="auto"/>
        <w:ind w:left="1844" w:right="1077" w:hanging="721"/>
        <w:rPr>
          <w:rFonts w:cs="David" w:hint="cs"/>
          <w:b/>
          <w:bCs/>
          <w:sz w:val="26"/>
          <w:szCs w:val="26"/>
          <w:rtl/>
        </w:rPr>
      </w:pPr>
      <w:r>
        <w:rPr>
          <w:rFonts w:hint="cs"/>
          <w:b/>
          <w:bCs/>
          <w:sz w:val="26"/>
          <w:rtl/>
        </w:rPr>
        <w:t xml:space="preserve">     </w:t>
      </w:r>
      <w:r>
        <w:rPr>
          <w:rFonts w:cs="David" w:hint="cs"/>
          <w:sz w:val="26"/>
          <w:rtl/>
        </w:rPr>
        <w:t>"</w:t>
      </w:r>
      <w:r>
        <w:rPr>
          <w:rFonts w:cs="David" w:hint="cs"/>
          <w:b/>
          <w:bCs/>
          <w:sz w:val="26"/>
          <w:szCs w:val="26"/>
          <w:rtl/>
        </w:rPr>
        <w:t>ש. אני אומר שהיתה לך כוונה מינית עם הגברת ולכן נתת לה כרטיס?</w:t>
      </w:r>
    </w:p>
    <w:p w14:paraId="40AFF91D" w14:textId="77777777" w:rsidR="00FC1723" w:rsidRDefault="00FC1723">
      <w:pPr>
        <w:pStyle w:val="a4"/>
        <w:spacing w:line="360" w:lineRule="auto"/>
        <w:ind w:left="1123" w:right="1077" w:firstLine="0"/>
        <w:rPr>
          <w:rFonts w:hint="cs"/>
          <w:b/>
          <w:bCs/>
          <w:sz w:val="26"/>
          <w:rtl/>
        </w:rPr>
      </w:pPr>
      <w:r>
        <w:rPr>
          <w:rFonts w:cs="David" w:hint="cs"/>
          <w:b/>
          <w:bCs/>
          <w:sz w:val="26"/>
          <w:szCs w:val="26"/>
          <w:rtl/>
        </w:rPr>
        <w:tab/>
        <w:t xml:space="preserve"> ת.  לא. זה ביזנס".  </w:t>
      </w:r>
      <w:r>
        <w:rPr>
          <w:rFonts w:cs="David" w:hint="cs"/>
          <w:sz w:val="22"/>
          <w:szCs w:val="22"/>
          <w:rtl/>
        </w:rPr>
        <w:t>(עמ' 31 ש' 19-20).</w:t>
      </w:r>
      <w:r>
        <w:rPr>
          <w:rFonts w:hint="cs"/>
          <w:b/>
          <w:bCs/>
          <w:sz w:val="26"/>
          <w:rtl/>
        </w:rPr>
        <w:t xml:space="preserve"> </w:t>
      </w:r>
    </w:p>
    <w:p w14:paraId="39F49C49" w14:textId="77777777" w:rsidR="00FC1723" w:rsidRDefault="00FC1723">
      <w:pPr>
        <w:pStyle w:val="a4"/>
        <w:spacing w:line="360" w:lineRule="auto"/>
        <w:ind w:right="1077" w:firstLine="0"/>
        <w:rPr>
          <w:rFonts w:hint="cs"/>
          <w:sz w:val="26"/>
          <w:rtl/>
        </w:rPr>
      </w:pPr>
      <w:r>
        <w:rPr>
          <w:rFonts w:cs="David" w:hint="cs"/>
          <w:sz w:val="26"/>
          <w:szCs w:val="26"/>
          <w:rtl/>
        </w:rPr>
        <w:t>ובהמשך:</w:t>
      </w:r>
    </w:p>
    <w:p w14:paraId="781C72AF" w14:textId="77777777" w:rsidR="00FC1723" w:rsidRDefault="00FC1723">
      <w:pPr>
        <w:pStyle w:val="a4"/>
        <w:spacing w:line="360" w:lineRule="auto"/>
        <w:ind w:left="1484" w:right="1080" w:hanging="44"/>
        <w:rPr>
          <w:rFonts w:hint="cs"/>
          <w:sz w:val="26"/>
          <w:rtl/>
        </w:rPr>
      </w:pPr>
      <w:r>
        <w:rPr>
          <w:rFonts w:cs="David" w:hint="cs"/>
          <w:b/>
          <w:bCs/>
          <w:sz w:val="26"/>
          <w:szCs w:val="26"/>
          <w:rtl/>
        </w:rPr>
        <w:t>"... עובדים שם כדי לגייס את קהל הלקוחות ולבנות אותו כדי שבן אדם יהיה שבע רצון ויתן טיפ ואז אתה בעצם נותן את הכל משקיע ועושה כמיטב, ואני גם מדגיש כי העבודה הזו היתה כה חשובה עבורי, כי נורא קשה למצוא מקום עבודה שאתה לא דובר את השפה ולכן לא הופיע לי אף לא במחשבותי לחולל משהו רע, כי זה עלול לגרום לאבדן העבודה...לכן אני לא הבנתי מה הבעיה ומה התרחש</w:t>
      </w:r>
      <w:r>
        <w:rPr>
          <w:rFonts w:hint="cs"/>
          <w:b/>
          <w:bCs/>
          <w:sz w:val="26"/>
          <w:rtl/>
        </w:rPr>
        <w:t xml:space="preserve"> </w:t>
      </w:r>
      <w:r>
        <w:rPr>
          <w:rFonts w:cs="David" w:hint="cs"/>
          <w:sz w:val="22"/>
          <w:szCs w:val="22"/>
          <w:rtl/>
        </w:rPr>
        <w:t>(עמ' 34 ש' 13-18)</w:t>
      </w:r>
      <w:r>
        <w:rPr>
          <w:rFonts w:hint="cs"/>
          <w:sz w:val="26"/>
          <w:rtl/>
        </w:rPr>
        <w:t xml:space="preserve">. </w:t>
      </w:r>
    </w:p>
    <w:p w14:paraId="76689F6D" w14:textId="77777777" w:rsidR="00FC1723" w:rsidRDefault="00FC1723">
      <w:pPr>
        <w:pStyle w:val="a4"/>
        <w:spacing w:line="360" w:lineRule="auto"/>
        <w:ind w:firstLine="0"/>
        <w:rPr>
          <w:rStyle w:val="default"/>
          <w:rFonts w:cs="David" w:hint="cs"/>
          <w:sz w:val="26"/>
          <w:rtl/>
        </w:rPr>
      </w:pPr>
      <w:r>
        <w:rPr>
          <w:rFonts w:cs="David" w:hint="cs"/>
          <w:sz w:val="26"/>
          <w:szCs w:val="26"/>
          <w:rtl/>
        </w:rPr>
        <w:t>בנסיבות אלה נראה לי,  שמעשיו של הנאשם בגופה של המתלוננת לא נועדו לסיפוק יצר מין, ומבחינתו לא כוונו להשגת אחת התכליות של גירוי, סיפוק או ביזוי מיניים. עניינם היה ביצוע עבודתו לצורך קבלת שכרו ושביעות רצונה היא. יתרה מכך, העובדה כי מצא לנכון בסיום הטיפול למסור בידי המתלוננת את כרטיס הביקור שלו, יש בה כדי ללמד גם כן על תום ליבו ועל מחשבתו להתבסס בעבודתו. לו לא היה תם לב בעניין, ודאי לא היה נותן בידי המתלוננת את מלוא פרטיו.  בנסיבות אלה ברור איפוא, כי לא ניתן לקבוע חד משמעית שנתקיים היסוד הנפשי, שכן שלא הוכחה מטרה מצד הנאשם להשיג את אחת התכליות הנקובות בהגדרת העבירה.</w:t>
      </w:r>
    </w:p>
    <w:p w14:paraId="26B9228B" w14:textId="77777777" w:rsidR="00FC1723" w:rsidRDefault="00FC1723">
      <w:pPr>
        <w:pStyle w:val="a4"/>
        <w:spacing w:line="360" w:lineRule="auto"/>
        <w:ind w:firstLine="0"/>
        <w:rPr>
          <w:rStyle w:val="default"/>
          <w:rFonts w:cs="David" w:hint="cs"/>
          <w:sz w:val="26"/>
          <w:rtl/>
        </w:rPr>
      </w:pPr>
      <w:r>
        <w:rPr>
          <w:rStyle w:val="default"/>
          <w:rFonts w:cs="David" w:hint="cs"/>
          <w:sz w:val="26"/>
          <w:rtl/>
        </w:rPr>
        <w:t xml:space="preserve">אמנם, </w:t>
      </w:r>
      <w:r>
        <w:rPr>
          <w:rFonts w:cs="David" w:hint="cs"/>
          <w:sz w:val="26"/>
          <w:szCs w:val="26"/>
          <w:rtl/>
        </w:rPr>
        <w:t xml:space="preserve">לצורך גיבוש היסוד הנפשי הנדרש בעבירה, די להוכיח כי הייתה לנאשם מודעות בדרגת הסתברות הקרובה לוודאי, כי מעשיו יסבו למתלוננת ביזוי מיני, או שתתלווה לכך כוונה מינית, גם אם לא חפץ בכך כמטרה העומדת לעצמה. האם ניתן לקבוע, בנסיבות שתוארו לעיל, כי לפחות מודעות כזו נתקיימה בו? מדובר מבחינתו בעבודתו, בסוג עיסוי שאין מחלוקת כי מבוצע בעירום מלא, כשהמטופלת הזמינה אותו מראש, היתה אמורה לקבל הסברים לו בקבלה,  הסירה את בגד הים שלה על שני חלקיו מרצונה, ולא מעירה ולו פעם אחת במהלך כל הטיפול קרוב ל – 50 דקות, על חוסר נוחותה ממנו, על אי שביעות רצון או על בקשה להפסיקו. נסיבות אלה מלמדות כי לא ניתן לקבוע בהכרח את המסקנה הבלעדית, לפיה גם אם נגע הנאשם באבריה האינטימיים, באופן כזה או אחר, לווה הדבר בכוונה מינית מצידו. תיאור המעשים, הן מצידה של המתלוננת והן מצידו של הנאשם, יכול להתיישב בפירוש גם עם עיסוי מקצועי שאינו מיני, למרות טענתה של המתלוננת, המוצדקת כמובן מבחינת נקודת מבטה. בנסיבות אלה, אינני יכול לקבוע כי נתגבש לגבי הנאשם היסוד הנפשי הנדרש. </w:t>
      </w:r>
    </w:p>
    <w:p w14:paraId="276EF169" w14:textId="77777777" w:rsidR="00FC1723" w:rsidRDefault="00FC1723">
      <w:pPr>
        <w:pStyle w:val="P00"/>
        <w:spacing w:before="72" w:line="360" w:lineRule="auto"/>
        <w:ind w:left="0"/>
        <w:rPr>
          <w:rStyle w:val="default"/>
          <w:rFonts w:cs="David" w:hint="cs"/>
          <w:rtl/>
        </w:rPr>
      </w:pPr>
      <w:r>
        <w:rPr>
          <w:rStyle w:val="default"/>
          <w:rFonts w:cs="David" w:hint="cs"/>
          <w:rtl/>
        </w:rPr>
        <w:t xml:space="preserve">קודם סיום ועל רקע שאלות הסניגור בדבר אי הפסקתה את הטיפול מיד בתחילתו, ראיתי לנכון להביא מדברי בית המשפט העליון </w:t>
      </w:r>
      <w:r>
        <w:rPr>
          <w:rFonts w:cs="David" w:hint="cs"/>
          <w:sz w:val="26"/>
          <w:rtl/>
        </w:rPr>
        <w:t>ב</w:t>
      </w:r>
      <w:hyperlink r:id="rId26" w:history="1">
        <w:r w:rsidR="00134D76" w:rsidRPr="00134D76">
          <w:rPr>
            <w:rStyle w:val="Hyperlink"/>
            <w:rFonts w:cs="David" w:hint="eastAsia"/>
            <w:sz w:val="26"/>
            <w:rtl/>
          </w:rPr>
          <w:t>ע</w:t>
        </w:r>
        <w:r w:rsidR="00134D76" w:rsidRPr="00134D76">
          <w:rPr>
            <w:rStyle w:val="Hyperlink"/>
            <w:rFonts w:cs="David"/>
            <w:sz w:val="26"/>
            <w:rtl/>
          </w:rPr>
          <w:t>"פ 599/02</w:t>
        </w:r>
      </w:hyperlink>
      <w:r>
        <w:rPr>
          <w:rFonts w:cs="David" w:hint="cs"/>
          <w:sz w:val="26"/>
          <w:rtl/>
        </w:rPr>
        <w:t xml:space="preserve"> </w:t>
      </w:r>
      <w:r>
        <w:rPr>
          <w:rFonts w:cs="David" w:hint="cs"/>
          <w:b/>
          <w:bCs/>
          <w:sz w:val="26"/>
          <w:rtl/>
        </w:rPr>
        <w:t>פרי נ' מדינת ישראל</w:t>
      </w:r>
      <w:r>
        <w:rPr>
          <w:rFonts w:cs="David" w:hint="cs"/>
          <w:sz w:val="26"/>
          <w:rtl/>
        </w:rPr>
        <w:t xml:space="preserve"> (לא פורסם), (ואוזכרו ב</w:t>
      </w:r>
      <w:hyperlink r:id="rId27" w:history="1">
        <w:r w:rsidR="00134D76" w:rsidRPr="00134D76">
          <w:rPr>
            <w:rStyle w:val="Hyperlink"/>
            <w:rFonts w:cs="David" w:hint="eastAsia"/>
            <w:sz w:val="26"/>
            <w:rtl/>
          </w:rPr>
          <w:t>ע</w:t>
        </w:r>
        <w:r w:rsidR="00134D76" w:rsidRPr="00134D76">
          <w:rPr>
            <w:rStyle w:val="Hyperlink"/>
            <w:rFonts w:cs="David"/>
            <w:sz w:val="26"/>
            <w:rtl/>
          </w:rPr>
          <w:t>"פ 7461/05</w:t>
        </w:r>
      </w:hyperlink>
      <w:r>
        <w:rPr>
          <w:rFonts w:cs="David" w:hint="cs"/>
          <w:sz w:val="26"/>
          <w:rtl/>
        </w:rPr>
        <w:t xml:space="preserve"> </w:t>
      </w:r>
      <w:r>
        <w:rPr>
          <w:rFonts w:cs="David" w:hint="cs"/>
          <w:b/>
          <w:bCs/>
          <w:sz w:val="26"/>
          <w:rtl/>
        </w:rPr>
        <w:t>ניסים דדוש נ' מדינת ישראל</w:t>
      </w:r>
      <w:r>
        <w:rPr>
          <w:rFonts w:cs="David" w:hint="cs"/>
          <w:sz w:val="26"/>
          <w:rtl/>
        </w:rPr>
        <w:t xml:space="preserve"> (מיום 3.4.06 – טרם פורסם)</w:t>
      </w:r>
      <w:r>
        <w:rPr>
          <w:rFonts w:hint="cs"/>
          <w:sz w:val="28"/>
          <w:szCs w:val="28"/>
          <w:rtl/>
        </w:rPr>
        <w:t xml:space="preserve">  </w:t>
      </w:r>
      <w:r>
        <w:rPr>
          <w:rFonts w:cs="David" w:hint="cs"/>
          <w:sz w:val="26"/>
          <w:rtl/>
        </w:rPr>
        <w:t xml:space="preserve">וזאת על מנת להדגיש את ההבנה והאמפטיה שחש אני לתחושותיה של המתלוננת ולתיאורה, </w:t>
      </w:r>
      <w:r>
        <w:rPr>
          <w:rStyle w:val="default"/>
          <w:rFonts w:cs="David" w:hint="cs"/>
          <w:rtl/>
        </w:rPr>
        <w:t>בדבר הקפאון שאחז בה ושיתוקה למעשה, בסיטואציה בה היתה מצויה:</w:t>
      </w:r>
    </w:p>
    <w:p w14:paraId="6630047C" w14:textId="77777777" w:rsidR="00FC1723" w:rsidRDefault="00134D76">
      <w:pPr>
        <w:pStyle w:val="ruller4"/>
        <w:rPr>
          <w:rFonts w:hint="cs"/>
          <w:rtl/>
        </w:rPr>
      </w:pPr>
      <w:r>
        <w:rPr>
          <w:rFonts w:cs="FrankRuehl" w:hint="cs"/>
          <w:sz w:val="28"/>
          <w:szCs w:val="28"/>
          <w:rtl/>
        </w:rPr>
        <w:t xml:space="preserve"> </w:t>
      </w:r>
    </w:p>
    <w:p w14:paraId="5B2903DA" w14:textId="77777777" w:rsidR="00FC1723" w:rsidRDefault="00FC1723">
      <w:pPr>
        <w:pStyle w:val="ruller5"/>
        <w:spacing w:line="360" w:lineRule="auto"/>
        <w:rPr>
          <w:rFonts w:cs="David" w:hint="cs"/>
          <w:b/>
          <w:bCs/>
          <w:sz w:val="26"/>
          <w:szCs w:val="26"/>
          <w:rtl/>
        </w:rPr>
      </w:pPr>
      <w:r>
        <w:rPr>
          <w:rFonts w:cs="David" w:hint="cs"/>
          <w:b/>
          <w:bCs/>
          <w:sz w:val="26"/>
          <w:szCs w:val="26"/>
          <w:rtl/>
        </w:rPr>
        <w:t>"אכן, יכול שהתנהגותה של מתלוננת בעבירת מין (ואולי גם התנהגותו של מתלונן אחר הנתון במצוקה) תיראה למשקיפים עליה ממרחק של זמן וממרומי יישוב הדעת ושיקול הדעת של המשקיפים, מוזרה, בלתי הגיונית, בלתי נבונה ואולי אף מטופשת. יכול שאנו, היום, כאן, היינו נוהגים אחרת. אולם, אין לשכוח שאדם – אפילו הוא נבון ומיושב מטבעו – עלול להידחף על ידי תחושה של לחץ ומצוקה להתנהגות שאינה מתיישבת, לכאורה, עם תבנית אישיותו. עוד אין לשכוח, כי בבואנו להסיק מסקנות מן ההתנהגות, אין אנו עושים זאת בגדר 'ביקורת התבונה' שבה, אלא בגדר ניסיון לקבוע אם נעברה עבירה. לעניין זה יש לבחון את מכלול הפרטים של ההתנהגות על רקע נסיבות הפרשה כולן, כדי לאתר ולזהות את ההסבר הנכון והאמיתי להתנהגות".</w:t>
      </w:r>
    </w:p>
    <w:p w14:paraId="4F85B73C" w14:textId="77777777" w:rsidR="00FC1723" w:rsidRDefault="00134D76">
      <w:pPr>
        <w:pStyle w:val="ruller4"/>
        <w:rPr>
          <w:rFonts w:cs="FrankRuehl" w:hint="cs"/>
          <w:sz w:val="28"/>
          <w:szCs w:val="28"/>
          <w:rtl/>
        </w:rPr>
      </w:pPr>
      <w:r>
        <w:rPr>
          <w:rFonts w:cs="FrankRuehl" w:hint="cs"/>
          <w:sz w:val="28"/>
          <w:szCs w:val="28"/>
          <w:rtl/>
        </w:rPr>
        <w:t xml:space="preserve"> </w:t>
      </w:r>
    </w:p>
    <w:p w14:paraId="57D347FF" w14:textId="77777777" w:rsidR="00FC1723" w:rsidRDefault="00FC1723">
      <w:pPr>
        <w:rPr>
          <w:rFonts w:hint="cs"/>
          <w:szCs w:val="26"/>
          <w:rtl/>
        </w:rPr>
      </w:pPr>
      <w:r>
        <w:rPr>
          <w:rFonts w:hint="cs"/>
          <w:sz w:val="26"/>
          <w:szCs w:val="26"/>
          <w:rtl/>
        </w:rPr>
        <w:t>בנסיבות אלה אין בהתנהגותה של המתלוננת דבר בעיני, כדי לשלול את התחושות שביטאה ואין לי צל של ספק, כי נפגעה וכי אכן ההרגשה שתיארה משקפת את המציאות. עם זאת, הואיל ועוסק אני בקביעת אחריותו או אי אחריותו הפלילית של הנאשם, הרי שמחוייב אני לפעול בהתאם לכללים אלו, ובבחינתם ובבחינת הראיות שהוצגו בפני, קם בעיני ספק</w:t>
      </w:r>
      <w:r>
        <w:rPr>
          <w:rFonts w:hint="cs"/>
          <w:szCs w:val="26"/>
          <w:rtl/>
        </w:rPr>
        <w:t xml:space="preserve"> בקיום יסודות העבירה ביחוד במישור היסוד הנפשי</w:t>
      </w:r>
      <w:r>
        <w:rPr>
          <w:rFonts w:hint="cs"/>
          <w:sz w:val="26"/>
          <w:szCs w:val="26"/>
          <w:rtl/>
        </w:rPr>
        <w:t xml:space="preserve">, היינו האם היתה לנאשם הכוונה הפלילית הנדרשת לגירוי, סיפוק או ביזוי מיני.  ספק זה, על פי כללים אלה, </w:t>
      </w:r>
      <w:r>
        <w:rPr>
          <w:rFonts w:hint="cs"/>
          <w:szCs w:val="26"/>
          <w:rtl/>
        </w:rPr>
        <w:t>פועל כך למותר לציין, לזכות הנאשם.</w:t>
      </w:r>
    </w:p>
    <w:p w14:paraId="5F7DDB40" w14:textId="77777777" w:rsidR="00FC1723" w:rsidRDefault="00FC1723">
      <w:pPr>
        <w:ind w:left="404" w:hanging="404"/>
        <w:rPr>
          <w:rFonts w:hint="cs"/>
          <w:color w:val="FFFFFF"/>
          <w:sz w:val="2"/>
          <w:szCs w:val="2"/>
          <w:rtl/>
        </w:rPr>
      </w:pPr>
    </w:p>
    <w:p w14:paraId="7A510960" w14:textId="77777777" w:rsidR="00FC1723" w:rsidRDefault="00FC1723">
      <w:pPr>
        <w:ind w:left="404" w:hanging="404"/>
        <w:rPr>
          <w:color w:val="FFFFFF"/>
          <w:sz w:val="2"/>
          <w:szCs w:val="2"/>
          <w:rtl/>
        </w:rPr>
      </w:pPr>
      <w:r>
        <w:rPr>
          <w:color w:val="FFFFFF"/>
          <w:sz w:val="2"/>
          <w:szCs w:val="2"/>
          <w:rtl/>
        </w:rPr>
        <w:t>5129371</w:t>
      </w:r>
    </w:p>
    <w:p w14:paraId="11E1B3FE" w14:textId="77777777" w:rsidR="00FC1723" w:rsidRDefault="00FC1723">
      <w:pPr>
        <w:ind w:left="404" w:hanging="404"/>
        <w:rPr>
          <w:rFonts w:hint="cs"/>
          <w:szCs w:val="26"/>
          <w:rtl/>
        </w:rPr>
      </w:pPr>
      <w:r>
        <w:rPr>
          <w:color w:val="FFFFFF"/>
          <w:sz w:val="2"/>
          <w:szCs w:val="2"/>
          <w:rtl/>
        </w:rPr>
        <w:t>54678313</w:t>
      </w:r>
    </w:p>
    <w:p w14:paraId="1AC2E487" w14:textId="77777777" w:rsidR="00FC1723" w:rsidRDefault="00FC1723">
      <w:pPr>
        <w:ind w:left="44" w:hanging="44"/>
        <w:rPr>
          <w:rFonts w:hint="cs"/>
          <w:szCs w:val="26"/>
          <w:rtl/>
        </w:rPr>
      </w:pPr>
      <w:r>
        <w:rPr>
          <w:rFonts w:hint="cs"/>
          <w:szCs w:val="26"/>
          <w:rtl/>
        </w:rPr>
        <w:t>אשר על כן, החלטתי כאמור ברישא הכרעת דיני.</w:t>
      </w:r>
    </w:p>
    <w:p w14:paraId="41C5CCEF" w14:textId="77777777" w:rsidR="00FC1723" w:rsidRDefault="00FC1723">
      <w:pPr>
        <w:ind w:left="404" w:hanging="404"/>
        <w:rPr>
          <w:rFonts w:hint="cs"/>
          <w:szCs w:val="26"/>
          <w:rtl/>
        </w:rPr>
      </w:pPr>
    </w:p>
    <w:p w14:paraId="5C53C803" w14:textId="77777777" w:rsidR="00FC1723" w:rsidRDefault="00FC1723">
      <w:pPr>
        <w:ind w:left="404" w:hanging="404"/>
        <w:rPr>
          <w:rFonts w:hint="cs"/>
          <w:b/>
          <w:bCs/>
          <w:color w:val="FFFFFF"/>
          <w:sz w:val="2"/>
          <w:szCs w:val="2"/>
          <w:rtl/>
        </w:rPr>
      </w:pPr>
    </w:p>
    <w:p w14:paraId="152CF71B" w14:textId="77777777" w:rsidR="00FC1723" w:rsidRDefault="00FC1723">
      <w:pPr>
        <w:ind w:left="404" w:hanging="404"/>
        <w:rPr>
          <w:b/>
          <w:bCs/>
          <w:color w:val="FFFFFF"/>
          <w:sz w:val="2"/>
          <w:szCs w:val="2"/>
          <w:rtl/>
        </w:rPr>
      </w:pPr>
      <w:r>
        <w:rPr>
          <w:b/>
          <w:bCs/>
          <w:color w:val="FFFFFF"/>
          <w:sz w:val="2"/>
          <w:szCs w:val="2"/>
          <w:rtl/>
        </w:rPr>
        <w:t>5129371</w:t>
      </w:r>
    </w:p>
    <w:p w14:paraId="79107C61" w14:textId="77777777" w:rsidR="00FC1723" w:rsidRDefault="00FC1723">
      <w:pPr>
        <w:ind w:left="404" w:hanging="404"/>
        <w:rPr>
          <w:rFonts w:hint="cs"/>
          <w:b/>
          <w:bCs/>
          <w:szCs w:val="26"/>
          <w:rtl/>
        </w:rPr>
      </w:pPr>
      <w:r>
        <w:rPr>
          <w:b/>
          <w:bCs/>
          <w:color w:val="FFFFFF"/>
          <w:sz w:val="2"/>
          <w:szCs w:val="2"/>
          <w:rtl/>
        </w:rPr>
        <w:t>54678313</w:t>
      </w:r>
      <w:r>
        <w:rPr>
          <w:rFonts w:hint="cs"/>
          <w:b/>
          <w:bCs/>
          <w:szCs w:val="26"/>
          <w:rtl/>
        </w:rPr>
        <w:t>זכות ערעור לבית המשפט המחוזי בתוך 45 יום מהיום.</w:t>
      </w:r>
      <w:bookmarkEnd w:id="9"/>
    </w:p>
    <w:p w14:paraId="08809093" w14:textId="77777777" w:rsidR="00FC1723" w:rsidRDefault="00FC1723">
      <w:pPr>
        <w:suppressLineNumbers/>
        <w:rPr>
          <w:rFonts w:hint="cs"/>
          <w:rtl/>
        </w:rPr>
      </w:pPr>
      <w:bookmarkStart w:id="13" w:name="Decision1"/>
      <w:r>
        <w:rPr>
          <w:rFonts w:hint="cs"/>
          <w:b/>
          <w:bCs/>
          <w:rtl/>
        </w:rPr>
        <w:t>ניתנה היום כ"ו בניסן, תשס"ו (24 באפריל 2006) במעמד הצדדים.</w:t>
      </w:r>
    </w:p>
    <w:p w14:paraId="47370A47" w14:textId="77777777" w:rsidR="00FC1723" w:rsidRDefault="00FC1723">
      <w:pPr>
        <w:keepNext/>
        <w:jc w:val="left"/>
        <w:rPr>
          <w:rFonts w:hAnsi="David" w:hint="cs"/>
          <w:color w:val="000000"/>
          <w:sz w:val="22"/>
          <w:szCs w:val="22"/>
          <w:rtl/>
        </w:rPr>
      </w:pPr>
    </w:p>
    <w:p w14:paraId="25922C72" w14:textId="77777777" w:rsidR="00FC1723" w:rsidRDefault="00FC1723">
      <w:pPr>
        <w:keepNext/>
        <w:jc w:val="left"/>
        <w:rPr>
          <w:rFonts w:hAnsi="David" w:hint="cs"/>
          <w:color w:val="000000"/>
          <w:sz w:val="22"/>
          <w:szCs w:val="22"/>
          <w:rtl/>
        </w:rPr>
      </w:pPr>
    </w:p>
    <w:p w14:paraId="73BFE568" w14:textId="77777777" w:rsidR="00FC1723" w:rsidRDefault="00FC1723">
      <w:pPr>
        <w:keepNext/>
        <w:jc w:val="left"/>
        <w:rPr>
          <w:rFonts w:hAnsi="David"/>
          <w:color w:val="000000"/>
          <w:sz w:val="22"/>
          <w:szCs w:val="22"/>
          <w:rtl/>
        </w:rPr>
      </w:pPr>
      <w:r>
        <w:rPr>
          <w:rFonts w:hAnsi="David"/>
          <w:color w:val="000000"/>
          <w:sz w:val="22"/>
          <w:szCs w:val="22"/>
          <w:rtl/>
        </w:rPr>
        <w:t>יעקב שפסר 54678313-5113/03</w:t>
      </w:r>
    </w:p>
    <w:p w14:paraId="23D0B860" w14:textId="77777777" w:rsidR="00FC1723" w:rsidRDefault="00FC1723">
      <w:pPr>
        <w:suppressLineNumbers/>
        <w:rPr>
          <w:rFonts w:hint="cs"/>
          <w:rtl/>
        </w:rPr>
      </w:pPr>
      <w:r>
        <w:rPr>
          <w:rFonts w:hint="cs"/>
          <w:rtl/>
        </w:rPr>
        <w:t xml:space="preserve">                                                                               </w:t>
      </w:r>
    </w:p>
    <w:tbl>
      <w:tblPr>
        <w:tblW w:w="0" w:type="auto"/>
        <w:tblInd w:w="5869" w:type="dxa"/>
        <w:tblBorders>
          <w:top w:val="single" w:sz="4" w:space="0" w:color="auto"/>
        </w:tblBorders>
        <w:tblLook w:val="0000" w:firstRow="0" w:lastRow="0" w:firstColumn="0" w:lastColumn="0" w:noHBand="0" w:noVBand="0"/>
      </w:tblPr>
      <w:tblGrid>
        <w:gridCol w:w="2653"/>
      </w:tblGrid>
      <w:tr w:rsidR="00FC1723" w14:paraId="7A0A2C0D" w14:textId="77777777">
        <w:tc>
          <w:tcPr>
            <w:tcW w:w="2660" w:type="dxa"/>
            <w:tcBorders>
              <w:top w:val="single" w:sz="4" w:space="0" w:color="auto"/>
              <w:left w:val="nil"/>
              <w:bottom w:val="nil"/>
              <w:right w:val="nil"/>
            </w:tcBorders>
          </w:tcPr>
          <w:p w14:paraId="193DFC71" w14:textId="77777777" w:rsidR="00FC1723" w:rsidRDefault="00FC1723">
            <w:pPr>
              <w:jc w:val="center"/>
              <w:rPr>
                <w:b/>
                <w:bCs/>
                <w:sz w:val="24"/>
                <w:szCs w:val="26"/>
              </w:rPr>
            </w:pPr>
            <w:r>
              <w:rPr>
                <w:rFonts w:hint="cs"/>
                <w:b/>
                <w:bCs/>
                <w:sz w:val="24"/>
                <w:szCs w:val="26"/>
                <w:rtl/>
              </w:rPr>
              <w:t>יעקב שפסר, שופט</w:t>
            </w:r>
          </w:p>
        </w:tc>
      </w:tr>
    </w:tbl>
    <w:bookmarkEnd w:id="13"/>
    <w:p w14:paraId="7348E6FB" w14:textId="77777777" w:rsidR="00FC1723" w:rsidRDefault="00FC1723">
      <w:pPr>
        <w:jc w:val="left"/>
        <w:rPr>
          <w:rFonts w:hint="cs"/>
          <w:rtl/>
        </w:rPr>
      </w:pPr>
      <w:r>
        <w:rPr>
          <w:color w:val="000000"/>
          <w:rtl/>
        </w:rPr>
        <w:t>נוסח מסמך זה כפוף לשינויי ניסוח ועריכה</w:t>
      </w:r>
    </w:p>
    <w:sectPr w:rsidR="00FC1723">
      <w:headerReference w:type="even" r:id="rId28"/>
      <w:headerReference w:type="default" r:id="rId29"/>
      <w:footerReference w:type="even" r:id="rId30"/>
      <w:footerReference w:type="default" r:id="rId31"/>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2A5E7" w14:textId="77777777" w:rsidR="0081492B" w:rsidRDefault="0081492B">
      <w:r>
        <w:separator/>
      </w:r>
    </w:p>
  </w:endnote>
  <w:endnote w:type="continuationSeparator" w:id="0">
    <w:p w14:paraId="6B24530F" w14:textId="77777777" w:rsidR="0081492B" w:rsidRDefault="00814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Franklin Gothic Medium">
    <w:panose1 w:val="020B0603020102020204"/>
    <w:charset w:val="00"/>
    <w:family w:val="swiss"/>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D5FA" w14:textId="77777777" w:rsidR="00233B08" w:rsidRDefault="00233B08">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0912957D" w14:textId="77777777" w:rsidR="00233B08" w:rsidRDefault="00233B08">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8FDA2B2" w14:textId="77777777" w:rsidR="00233B08" w:rsidRDefault="00233B08">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34D76">
      <w:rPr>
        <w:rFonts w:cs="TopType Jerushalmi"/>
        <w:noProof/>
        <w:color w:val="000000"/>
        <w:sz w:val="14"/>
        <w:szCs w:val="14"/>
      </w:rPr>
      <w:t>Z:\000000000000000000000000000000=2015--------------------\HAKIKA-KIDUD\2006\shalom\word\outdoc-nohyper\OutDoc-Makor\s03005113-276.doc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BEFAA" w14:textId="77777777" w:rsidR="00233B08" w:rsidRDefault="00233B08">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1B1E40">
      <w:rPr>
        <w:rFonts w:hAnsi="FrankRuehl" w:cs="FrankRuehl"/>
        <w:noProof/>
        <w:sz w:val="24"/>
        <w:rtl/>
      </w:rPr>
      <w:t>1</w:t>
    </w:r>
    <w:r>
      <w:rPr>
        <w:rFonts w:hAnsi="FrankRuehl" w:cs="FrankRuehl"/>
        <w:sz w:val="24"/>
        <w:rtl/>
      </w:rPr>
      <w:fldChar w:fldCharType="end"/>
    </w:r>
  </w:p>
  <w:p w14:paraId="337605EE" w14:textId="77777777" w:rsidR="00233B08" w:rsidRDefault="00233B08">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1CE45A4" w14:textId="77777777" w:rsidR="00233B08" w:rsidRDefault="00233B08">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34D76">
      <w:rPr>
        <w:rFonts w:cs="TopType Jerushalmi"/>
        <w:noProof/>
        <w:color w:val="000000"/>
        <w:sz w:val="14"/>
        <w:szCs w:val="14"/>
      </w:rPr>
      <w:t>Z:\000000000000000000000000000000=2015--------------------\HAKIKA-KIDUD\2006\shalom\word\outdoc-nohyper\OutDoc-Makor\s03005113-276.doc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2198D" w14:textId="77777777" w:rsidR="0081492B" w:rsidRDefault="0081492B">
      <w:r>
        <w:separator/>
      </w:r>
    </w:p>
  </w:footnote>
  <w:footnote w:type="continuationSeparator" w:id="0">
    <w:p w14:paraId="2B4A2280" w14:textId="77777777" w:rsidR="0081492B" w:rsidRDefault="00814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09ECE" w14:textId="77777777" w:rsidR="00233B08" w:rsidRDefault="00233B08">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5113/03</w:t>
    </w:r>
    <w:r>
      <w:rPr>
        <w:rFonts w:hAnsi="David"/>
        <w:color w:val="000000"/>
        <w:sz w:val="22"/>
        <w:szCs w:val="22"/>
        <w:rtl/>
      </w:rPr>
      <w:tab/>
      <w:t xml:space="preserve"> מדינת ישראל נ' אוליאננקו איגור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66637" w14:textId="77777777" w:rsidR="00233B08" w:rsidRDefault="00233B08">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5113/03</w:t>
    </w:r>
    <w:r>
      <w:rPr>
        <w:rFonts w:hAnsi="David"/>
        <w:color w:val="000000"/>
        <w:sz w:val="22"/>
        <w:szCs w:val="22"/>
        <w:rtl/>
      </w:rPr>
      <w:tab/>
      <w:t xml:space="preserve"> מדינת ישראל נ' אוליאננקו איגור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0411"/>
    <w:multiLevelType w:val="hybridMultilevel"/>
    <w:tmpl w:val="C00635A4"/>
    <w:lvl w:ilvl="0" w:tplc="89282654">
      <w:start w:val="2"/>
      <w:numFmt w:val="hebrew1"/>
      <w:lvlText w:val="%1."/>
      <w:lvlJc w:val="left"/>
      <w:pPr>
        <w:tabs>
          <w:tab w:val="num" w:pos="945"/>
        </w:tabs>
        <w:ind w:left="945" w:right="945" w:hanging="585"/>
      </w:pPr>
      <w:rPr>
        <w:strike w:val="0"/>
        <w:dstrike w:val="0"/>
        <w:u w:val="none"/>
        <w:effect w:val="none"/>
      </w:rPr>
    </w:lvl>
    <w:lvl w:ilvl="1" w:tplc="259ACA36">
      <w:start w:val="1"/>
      <w:numFmt w:val="decimal"/>
      <w:lvlText w:val="%2."/>
      <w:lvlJc w:val="left"/>
      <w:pPr>
        <w:tabs>
          <w:tab w:val="num" w:pos="1560"/>
        </w:tabs>
        <w:ind w:left="1560" w:right="1560" w:hanging="480"/>
      </w:pPr>
    </w:lvl>
    <w:lvl w:ilvl="2" w:tplc="0409001B">
      <w:start w:val="1"/>
      <w:numFmt w:val="decimal"/>
      <w:lvlText w:val="%3."/>
      <w:lvlJc w:val="left"/>
      <w:pPr>
        <w:tabs>
          <w:tab w:val="num" w:pos="2160"/>
        </w:tabs>
        <w:ind w:left="2160" w:right="2160" w:hanging="360"/>
      </w:pPr>
    </w:lvl>
    <w:lvl w:ilvl="3" w:tplc="0409000F">
      <w:start w:val="1"/>
      <w:numFmt w:val="decimal"/>
      <w:lvlText w:val="%4."/>
      <w:lvlJc w:val="left"/>
      <w:pPr>
        <w:tabs>
          <w:tab w:val="num" w:pos="2880"/>
        </w:tabs>
        <w:ind w:left="2880" w:right="2880" w:hanging="360"/>
      </w:pPr>
    </w:lvl>
    <w:lvl w:ilvl="4" w:tplc="04090019">
      <w:start w:val="1"/>
      <w:numFmt w:val="decimal"/>
      <w:lvlText w:val="%5."/>
      <w:lvlJc w:val="left"/>
      <w:pPr>
        <w:tabs>
          <w:tab w:val="num" w:pos="3600"/>
        </w:tabs>
        <w:ind w:left="3600" w:right="3600" w:hanging="360"/>
      </w:pPr>
    </w:lvl>
    <w:lvl w:ilvl="5" w:tplc="0409001B">
      <w:start w:val="1"/>
      <w:numFmt w:val="decimal"/>
      <w:lvlText w:val="%6."/>
      <w:lvlJc w:val="left"/>
      <w:pPr>
        <w:tabs>
          <w:tab w:val="num" w:pos="4320"/>
        </w:tabs>
        <w:ind w:left="4320" w:right="4320" w:hanging="360"/>
      </w:pPr>
    </w:lvl>
    <w:lvl w:ilvl="6" w:tplc="0409000F">
      <w:start w:val="1"/>
      <w:numFmt w:val="decimal"/>
      <w:lvlText w:val="%7."/>
      <w:lvlJc w:val="left"/>
      <w:pPr>
        <w:tabs>
          <w:tab w:val="num" w:pos="5040"/>
        </w:tabs>
        <w:ind w:left="5040" w:right="5040" w:hanging="360"/>
      </w:pPr>
    </w:lvl>
    <w:lvl w:ilvl="7" w:tplc="04090019">
      <w:start w:val="1"/>
      <w:numFmt w:val="decimal"/>
      <w:lvlText w:val="%8."/>
      <w:lvlJc w:val="left"/>
      <w:pPr>
        <w:tabs>
          <w:tab w:val="num" w:pos="5760"/>
        </w:tabs>
        <w:ind w:left="5760" w:right="5760" w:hanging="360"/>
      </w:pPr>
    </w:lvl>
    <w:lvl w:ilvl="8" w:tplc="0409001B">
      <w:start w:val="1"/>
      <w:numFmt w:val="decimal"/>
      <w:lvlText w:val="%9."/>
      <w:lvlJc w:val="left"/>
      <w:pPr>
        <w:tabs>
          <w:tab w:val="num" w:pos="6480"/>
        </w:tabs>
        <w:ind w:left="6480" w:right="6480" w:hanging="360"/>
      </w:pPr>
    </w:lvl>
  </w:abstractNum>
  <w:abstractNum w:abstractNumId="1" w15:restartNumberingAfterBreak="0">
    <w:nsid w:val="0D65079D"/>
    <w:multiLevelType w:val="hybridMultilevel"/>
    <w:tmpl w:val="DE1C757A"/>
    <w:lvl w:ilvl="0" w:tplc="B6CE835E">
      <w:start w:val="1"/>
      <w:numFmt w:val="decimal"/>
      <w:lvlText w:val="%1."/>
      <w:lvlJc w:val="left"/>
      <w:pPr>
        <w:tabs>
          <w:tab w:val="num" w:pos="765"/>
        </w:tabs>
        <w:ind w:left="765" w:right="765" w:hanging="360"/>
      </w:pPr>
    </w:lvl>
    <w:lvl w:ilvl="1" w:tplc="2A94F220">
      <w:start w:val="1"/>
      <w:numFmt w:val="hebrew1"/>
      <w:lvlText w:val="%2."/>
      <w:lvlJc w:val="left"/>
      <w:pPr>
        <w:tabs>
          <w:tab w:val="num" w:pos="1485"/>
        </w:tabs>
        <w:ind w:left="1485" w:right="1485"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2" w15:restartNumberingAfterBreak="0">
    <w:nsid w:val="11371D13"/>
    <w:multiLevelType w:val="hybridMultilevel"/>
    <w:tmpl w:val="3BA0C05C"/>
    <w:lvl w:ilvl="0" w:tplc="0038DC46">
      <w:start w:val="2"/>
      <w:numFmt w:val="decimal"/>
      <w:lvlText w:val="%1."/>
      <w:lvlJc w:val="left"/>
      <w:pPr>
        <w:tabs>
          <w:tab w:val="num" w:pos="764"/>
        </w:tabs>
        <w:ind w:left="764" w:right="764" w:hanging="360"/>
      </w:pPr>
    </w:lvl>
    <w:lvl w:ilvl="1" w:tplc="1CC05D20">
      <w:start w:val="1"/>
      <w:numFmt w:val="decimal"/>
      <w:lvlText w:val="(%2)"/>
      <w:lvlJc w:val="left"/>
      <w:pPr>
        <w:tabs>
          <w:tab w:val="num" w:pos="1484"/>
        </w:tabs>
        <w:ind w:left="1484" w:right="1484" w:hanging="360"/>
      </w:pPr>
      <w:rPr>
        <w:b w:val="0"/>
        <w:strike w:val="0"/>
        <w:dstrike w:val="0"/>
        <w:u w:val="none"/>
        <w:effect w:val="none"/>
      </w:rPr>
    </w:lvl>
    <w:lvl w:ilvl="2" w:tplc="0409001B">
      <w:start w:val="1"/>
      <w:numFmt w:val="decimal"/>
      <w:lvlText w:val="%3."/>
      <w:lvlJc w:val="left"/>
      <w:pPr>
        <w:tabs>
          <w:tab w:val="num" w:pos="2160"/>
        </w:tabs>
        <w:ind w:left="2160" w:right="2160" w:hanging="360"/>
      </w:pPr>
    </w:lvl>
    <w:lvl w:ilvl="3" w:tplc="0409000F">
      <w:start w:val="1"/>
      <w:numFmt w:val="decimal"/>
      <w:lvlText w:val="%4."/>
      <w:lvlJc w:val="left"/>
      <w:pPr>
        <w:tabs>
          <w:tab w:val="num" w:pos="2880"/>
        </w:tabs>
        <w:ind w:left="2880" w:right="2880" w:hanging="360"/>
      </w:pPr>
    </w:lvl>
    <w:lvl w:ilvl="4" w:tplc="04090019">
      <w:start w:val="1"/>
      <w:numFmt w:val="decimal"/>
      <w:lvlText w:val="%5."/>
      <w:lvlJc w:val="left"/>
      <w:pPr>
        <w:tabs>
          <w:tab w:val="num" w:pos="3600"/>
        </w:tabs>
        <w:ind w:left="3600" w:right="3600" w:hanging="360"/>
      </w:pPr>
    </w:lvl>
    <w:lvl w:ilvl="5" w:tplc="0409001B">
      <w:start w:val="1"/>
      <w:numFmt w:val="decimal"/>
      <w:lvlText w:val="%6."/>
      <w:lvlJc w:val="left"/>
      <w:pPr>
        <w:tabs>
          <w:tab w:val="num" w:pos="4320"/>
        </w:tabs>
        <w:ind w:left="4320" w:right="4320" w:hanging="360"/>
      </w:pPr>
    </w:lvl>
    <w:lvl w:ilvl="6" w:tplc="0409000F">
      <w:start w:val="1"/>
      <w:numFmt w:val="decimal"/>
      <w:lvlText w:val="%7."/>
      <w:lvlJc w:val="left"/>
      <w:pPr>
        <w:tabs>
          <w:tab w:val="num" w:pos="5040"/>
        </w:tabs>
        <w:ind w:left="5040" w:right="5040" w:hanging="360"/>
      </w:pPr>
    </w:lvl>
    <w:lvl w:ilvl="7" w:tplc="04090019">
      <w:start w:val="1"/>
      <w:numFmt w:val="decimal"/>
      <w:lvlText w:val="%8."/>
      <w:lvlJc w:val="left"/>
      <w:pPr>
        <w:tabs>
          <w:tab w:val="num" w:pos="5760"/>
        </w:tabs>
        <w:ind w:left="5760" w:right="5760" w:hanging="360"/>
      </w:pPr>
    </w:lvl>
    <w:lvl w:ilvl="8" w:tplc="0409001B">
      <w:start w:val="1"/>
      <w:numFmt w:val="decimal"/>
      <w:lvlText w:val="%9."/>
      <w:lvlJc w:val="left"/>
      <w:pPr>
        <w:tabs>
          <w:tab w:val="num" w:pos="6480"/>
        </w:tabs>
        <w:ind w:left="6480" w:right="6480" w:hanging="360"/>
      </w:pPr>
    </w:lvl>
  </w:abstractNum>
  <w:abstractNum w:abstractNumId="3" w15:restartNumberingAfterBreak="0">
    <w:nsid w:val="20CD122A"/>
    <w:multiLevelType w:val="hybridMultilevel"/>
    <w:tmpl w:val="229AB0E0"/>
    <w:lvl w:ilvl="0" w:tplc="96BC1CA4">
      <w:start w:val="2"/>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4" w15:restartNumberingAfterBreak="0">
    <w:nsid w:val="2E54099B"/>
    <w:multiLevelType w:val="hybridMultilevel"/>
    <w:tmpl w:val="3DEC197A"/>
    <w:lvl w:ilvl="0" w:tplc="9ECED566">
      <w:start w:val="1"/>
      <w:numFmt w:val="bullet"/>
      <w:pStyle w:val="BodyTextIndent3"/>
      <w:lvlText w:val="ת"/>
      <w:lvlJc w:val="left"/>
      <w:pPr>
        <w:tabs>
          <w:tab w:val="num" w:pos="360"/>
        </w:tabs>
        <w:ind w:left="0" w:firstLine="0"/>
      </w:pPr>
      <w:rPr>
        <w:rFonts w:ascii="Symbol" w:hAnsi="Symbol" w:hint="default"/>
      </w:rPr>
    </w:lvl>
    <w:lvl w:ilvl="1" w:tplc="040D0003">
      <w:start w:val="1"/>
      <w:numFmt w:val="decimal"/>
      <w:lvlText w:val="%2."/>
      <w:lvlJc w:val="left"/>
      <w:pPr>
        <w:tabs>
          <w:tab w:val="num" w:pos="1440"/>
        </w:tabs>
        <w:ind w:left="1440" w:right="1440" w:hanging="360"/>
      </w:pPr>
    </w:lvl>
    <w:lvl w:ilvl="2" w:tplc="040D0005">
      <w:start w:val="1"/>
      <w:numFmt w:val="decimal"/>
      <w:lvlText w:val="%3."/>
      <w:lvlJc w:val="left"/>
      <w:pPr>
        <w:tabs>
          <w:tab w:val="num" w:pos="2160"/>
        </w:tabs>
        <w:ind w:left="2160" w:right="2160" w:hanging="360"/>
      </w:pPr>
    </w:lvl>
    <w:lvl w:ilvl="3" w:tplc="040D0001">
      <w:start w:val="1"/>
      <w:numFmt w:val="decimal"/>
      <w:lvlText w:val="%4."/>
      <w:lvlJc w:val="left"/>
      <w:pPr>
        <w:tabs>
          <w:tab w:val="num" w:pos="2880"/>
        </w:tabs>
        <w:ind w:left="2880" w:right="2880" w:hanging="360"/>
      </w:pPr>
    </w:lvl>
    <w:lvl w:ilvl="4" w:tplc="040D0003">
      <w:start w:val="1"/>
      <w:numFmt w:val="decimal"/>
      <w:lvlText w:val="%5."/>
      <w:lvlJc w:val="left"/>
      <w:pPr>
        <w:tabs>
          <w:tab w:val="num" w:pos="3600"/>
        </w:tabs>
        <w:ind w:left="3600" w:right="3600" w:hanging="360"/>
      </w:pPr>
    </w:lvl>
    <w:lvl w:ilvl="5" w:tplc="040D0005">
      <w:start w:val="1"/>
      <w:numFmt w:val="decimal"/>
      <w:lvlText w:val="%6."/>
      <w:lvlJc w:val="left"/>
      <w:pPr>
        <w:tabs>
          <w:tab w:val="num" w:pos="4320"/>
        </w:tabs>
        <w:ind w:left="4320" w:right="4320" w:hanging="360"/>
      </w:pPr>
    </w:lvl>
    <w:lvl w:ilvl="6" w:tplc="040D0001">
      <w:start w:val="1"/>
      <w:numFmt w:val="decimal"/>
      <w:lvlText w:val="%7."/>
      <w:lvlJc w:val="left"/>
      <w:pPr>
        <w:tabs>
          <w:tab w:val="num" w:pos="5040"/>
        </w:tabs>
        <w:ind w:left="5040" w:right="5040" w:hanging="360"/>
      </w:pPr>
    </w:lvl>
    <w:lvl w:ilvl="7" w:tplc="040D0003">
      <w:start w:val="1"/>
      <w:numFmt w:val="decimal"/>
      <w:lvlText w:val="%8."/>
      <w:lvlJc w:val="left"/>
      <w:pPr>
        <w:tabs>
          <w:tab w:val="num" w:pos="5760"/>
        </w:tabs>
        <w:ind w:left="5760" w:right="5760" w:hanging="360"/>
      </w:pPr>
    </w:lvl>
    <w:lvl w:ilvl="8" w:tplc="040D0005">
      <w:start w:val="1"/>
      <w:numFmt w:val="decimal"/>
      <w:lvlText w:val="%9."/>
      <w:lvlJc w:val="left"/>
      <w:pPr>
        <w:tabs>
          <w:tab w:val="num" w:pos="6480"/>
        </w:tabs>
        <w:ind w:left="6480" w:right="6480" w:hanging="360"/>
      </w:pPr>
    </w:lvl>
  </w:abstractNum>
  <w:abstractNum w:abstractNumId="5" w15:restartNumberingAfterBreak="0">
    <w:nsid w:val="3D7330DB"/>
    <w:multiLevelType w:val="hybridMultilevel"/>
    <w:tmpl w:val="333CE6FE"/>
    <w:lvl w:ilvl="0" w:tplc="12BAC30A">
      <w:start w:val="6"/>
      <w:numFmt w:val="decimal"/>
      <w:lvlText w:val="%1."/>
      <w:lvlJc w:val="left"/>
      <w:pPr>
        <w:tabs>
          <w:tab w:val="num" w:pos="584"/>
        </w:tabs>
        <w:ind w:left="584" w:right="584" w:hanging="360"/>
      </w:pPr>
    </w:lvl>
    <w:lvl w:ilvl="1" w:tplc="1FAC8E52">
      <w:start w:val="1"/>
      <w:numFmt w:val="decimal"/>
      <w:lvlText w:val="(%2)"/>
      <w:lvlJc w:val="left"/>
      <w:pPr>
        <w:tabs>
          <w:tab w:val="num" w:pos="1394"/>
        </w:tabs>
        <w:ind w:left="1394" w:right="1394" w:hanging="45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6" w15:restartNumberingAfterBreak="0">
    <w:nsid w:val="481A3F3E"/>
    <w:multiLevelType w:val="hybridMultilevel"/>
    <w:tmpl w:val="CAACA93C"/>
    <w:lvl w:ilvl="0" w:tplc="FE3E59D4">
      <w:start w:val="1"/>
      <w:numFmt w:val="bullet"/>
      <w:pStyle w:val="a"/>
      <w:lvlText w:val="ש"/>
      <w:lvlJc w:val="left"/>
      <w:pPr>
        <w:tabs>
          <w:tab w:val="num" w:pos="360"/>
        </w:tabs>
        <w:ind w:left="0" w:firstLine="0"/>
      </w:pPr>
      <w:rPr>
        <w:rFonts w:ascii="Symbol" w:hAnsi="Symbol" w:hint="default"/>
      </w:rPr>
    </w:lvl>
    <w:lvl w:ilvl="1" w:tplc="040D0003">
      <w:start w:val="1"/>
      <w:numFmt w:val="decimal"/>
      <w:lvlText w:val="%2."/>
      <w:lvlJc w:val="left"/>
      <w:pPr>
        <w:tabs>
          <w:tab w:val="num" w:pos="1440"/>
        </w:tabs>
        <w:ind w:left="1440" w:right="1440" w:hanging="360"/>
      </w:pPr>
    </w:lvl>
    <w:lvl w:ilvl="2" w:tplc="040D0005">
      <w:start w:val="1"/>
      <w:numFmt w:val="decimal"/>
      <w:lvlText w:val="%3."/>
      <w:lvlJc w:val="left"/>
      <w:pPr>
        <w:tabs>
          <w:tab w:val="num" w:pos="2160"/>
        </w:tabs>
        <w:ind w:left="2160" w:right="2160" w:hanging="360"/>
      </w:pPr>
    </w:lvl>
    <w:lvl w:ilvl="3" w:tplc="040D0001">
      <w:start w:val="1"/>
      <w:numFmt w:val="decimal"/>
      <w:lvlText w:val="%4."/>
      <w:lvlJc w:val="left"/>
      <w:pPr>
        <w:tabs>
          <w:tab w:val="num" w:pos="2880"/>
        </w:tabs>
        <w:ind w:left="2880" w:right="2880" w:hanging="360"/>
      </w:pPr>
    </w:lvl>
    <w:lvl w:ilvl="4" w:tplc="040D0003">
      <w:start w:val="1"/>
      <w:numFmt w:val="decimal"/>
      <w:lvlText w:val="%5."/>
      <w:lvlJc w:val="left"/>
      <w:pPr>
        <w:tabs>
          <w:tab w:val="num" w:pos="3600"/>
        </w:tabs>
        <w:ind w:left="3600" w:right="3600" w:hanging="360"/>
      </w:pPr>
    </w:lvl>
    <w:lvl w:ilvl="5" w:tplc="040D0005">
      <w:start w:val="1"/>
      <w:numFmt w:val="decimal"/>
      <w:lvlText w:val="%6."/>
      <w:lvlJc w:val="left"/>
      <w:pPr>
        <w:tabs>
          <w:tab w:val="num" w:pos="4320"/>
        </w:tabs>
        <w:ind w:left="4320" w:right="4320" w:hanging="360"/>
      </w:pPr>
    </w:lvl>
    <w:lvl w:ilvl="6" w:tplc="040D0001">
      <w:start w:val="1"/>
      <w:numFmt w:val="decimal"/>
      <w:lvlText w:val="%7."/>
      <w:lvlJc w:val="left"/>
      <w:pPr>
        <w:tabs>
          <w:tab w:val="num" w:pos="5040"/>
        </w:tabs>
        <w:ind w:left="5040" w:right="5040" w:hanging="360"/>
      </w:pPr>
    </w:lvl>
    <w:lvl w:ilvl="7" w:tplc="040D0003">
      <w:start w:val="1"/>
      <w:numFmt w:val="decimal"/>
      <w:lvlText w:val="%8."/>
      <w:lvlJc w:val="left"/>
      <w:pPr>
        <w:tabs>
          <w:tab w:val="num" w:pos="5760"/>
        </w:tabs>
        <w:ind w:left="5760" w:right="5760" w:hanging="360"/>
      </w:pPr>
    </w:lvl>
    <w:lvl w:ilvl="8" w:tplc="040D0005">
      <w:start w:val="1"/>
      <w:numFmt w:val="decimal"/>
      <w:lvlText w:val="%9."/>
      <w:lvlJc w:val="left"/>
      <w:pPr>
        <w:tabs>
          <w:tab w:val="num" w:pos="6480"/>
        </w:tabs>
        <w:ind w:left="6480" w:right="6480" w:hanging="360"/>
      </w:pPr>
    </w:lvl>
  </w:abstractNum>
  <w:num w:numId="1" w16cid:durableId="464859452">
    <w:abstractNumId w:val="6"/>
  </w:num>
  <w:num w:numId="2" w16cid:durableId="22186503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19661117">
    <w:abstractNumId w:val="4"/>
  </w:num>
  <w:num w:numId="4" w16cid:durableId="60407391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6895999">
    <w:abstractNumId w:val="3"/>
  </w:num>
  <w:num w:numId="6" w16cid:durableId="211743376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75175203">
    <w:abstractNumId w:val="0"/>
  </w:num>
  <w:num w:numId="8" w16cid:durableId="53349443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3598875">
    <w:abstractNumId w:val="5"/>
  </w:num>
  <w:num w:numId="10" w16cid:durableId="293603465">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08339331">
    <w:abstractNumId w:val="2"/>
  </w:num>
  <w:num w:numId="12" w16cid:durableId="206794472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03633621">
    <w:abstractNumId w:val="1"/>
  </w:num>
  <w:num w:numId="14" w16cid:durableId="11149812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FC1723"/>
    <w:rsid w:val="00134D76"/>
    <w:rsid w:val="001B1E40"/>
    <w:rsid w:val="00233B08"/>
    <w:rsid w:val="003A7A8C"/>
    <w:rsid w:val="0081492B"/>
    <w:rsid w:val="00AA3938"/>
    <w:rsid w:val="00C9033A"/>
    <w:rsid w:val="00FC17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CEA1972"/>
  <w15:chartTrackingRefBased/>
  <w15:docId w15:val="{7DC61A93-9132-4A67-81EB-B3802795C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ind w:left="375" w:right="765"/>
      <w:outlineLvl w:val="3"/>
    </w:pPr>
    <w:rPr>
      <w:sz w:val="22"/>
      <w:szCs w:val="26"/>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
    <w:name w:val="Body Text"/>
    <w:basedOn w:val="Normal"/>
    <w:pPr>
      <w:spacing w:line="240" w:lineRule="auto"/>
      <w:jc w:val="left"/>
    </w:pPr>
  </w:style>
  <w:style w:type="paragraph" w:styleId="BodyTextIndent3">
    <w:name w:val="Body Text Indent 3"/>
    <w:basedOn w:val="Normal"/>
    <w:pPr>
      <w:ind w:left="584" w:hanging="584"/>
    </w:pPr>
    <w:rPr>
      <w:sz w:val="22"/>
      <w:szCs w:val="26"/>
    </w:rPr>
  </w:style>
  <w:style w:type="paragraph" w:customStyle="1" w:styleId="1">
    <w:name w:val="רגיל1"/>
    <w:pPr>
      <w:bidi/>
      <w:snapToGrid w:val="0"/>
    </w:pPr>
    <w:rPr>
      <w:rFonts w:cs="David"/>
      <w:szCs w:val="24"/>
      <w:lang w:eastAsia="he-IL"/>
    </w:rPr>
  </w:style>
  <w:style w:type="paragraph" w:customStyle="1" w:styleId="a0">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1">
    <w:name w:val="החלטה"/>
    <w:basedOn w:val="1"/>
    <w:pPr>
      <w:suppressLineNumbers/>
    </w:pPr>
    <w:rPr>
      <w:bCs/>
    </w:rPr>
  </w:style>
  <w:style w:type="paragraph" w:customStyle="1" w:styleId="a2">
    <w:name w:val="חקירה"/>
    <w:basedOn w:val="1"/>
    <w:pPr>
      <w:suppressLineNumbers/>
    </w:pPr>
  </w:style>
  <w:style w:type="paragraph" w:customStyle="1" w:styleId="a">
    <w:name w:val="תשובה"/>
    <w:basedOn w:val="Normal"/>
    <w:next w:val="a3"/>
    <w:pPr>
      <w:numPr>
        <w:numId w:val="4"/>
      </w:numPr>
      <w:ind w:left="737" w:hanging="737"/>
    </w:pPr>
  </w:style>
  <w:style w:type="paragraph" w:customStyle="1" w:styleId="a3">
    <w:name w:val="שאלה"/>
    <w:basedOn w:val="Normal"/>
    <w:next w:val="a"/>
    <w:pPr>
      <w:numPr>
        <w:numId w:val="2"/>
      </w:numPr>
      <w:ind w:left="737" w:hanging="737"/>
    </w:pPr>
    <w:rPr>
      <w:bCs/>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szCs w:val="26"/>
      <w:lang w:eastAsia="he-IL"/>
    </w:rPr>
  </w:style>
  <w:style w:type="paragraph" w:customStyle="1" w:styleId="P22">
    <w:name w:val="P22"/>
    <w:basedOn w:val="P00"/>
    <w:pPr>
      <w:tabs>
        <w:tab w:val="clear" w:pos="624"/>
        <w:tab w:val="clear" w:pos="1021"/>
      </w:tabs>
      <w:ind w:right="1021"/>
    </w:pPr>
    <w:rPr>
      <w:rFonts w:cs="Times New Roman"/>
    </w:rPr>
  </w:style>
  <w:style w:type="paragraph" w:customStyle="1" w:styleId="a4">
    <w:name w:val="כללי"/>
    <w:basedOn w:val="Normal"/>
    <w:pPr>
      <w:overflowPunct w:val="0"/>
      <w:autoSpaceDE w:val="0"/>
      <w:autoSpaceDN w:val="0"/>
      <w:adjustRightInd w:val="0"/>
      <w:spacing w:after="240" w:line="276" w:lineRule="atLeast"/>
      <w:ind w:firstLine="284"/>
    </w:pPr>
    <w:rPr>
      <w:rFonts w:cs="FrankRuehl"/>
    </w:rPr>
  </w:style>
  <w:style w:type="paragraph" w:customStyle="1" w:styleId="ruller4">
    <w:name w:val="ruller4"/>
    <w:basedOn w:val="Normal"/>
    <w:pPr>
      <w:overflowPunct w:val="0"/>
      <w:autoSpaceDE w:val="0"/>
      <w:autoSpaceDN w:val="0"/>
    </w:pPr>
    <w:rPr>
      <w:rFonts w:ascii="Arial TUR" w:hAnsi="Arial TUR" w:cs="Times New Roman"/>
      <w:spacing w:val="10"/>
      <w:sz w:val="22"/>
      <w:szCs w:val="22"/>
    </w:rPr>
  </w:style>
  <w:style w:type="paragraph" w:customStyle="1" w:styleId="ruller5">
    <w:name w:val="ruller5"/>
    <w:basedOn w:val="Normal"/>
    <w:pPr>
      <w:overflowPunct w:val="0"/>
      <w:autoSpaceDE w:val="0"/>
      <w:autoSpaceDN w:val="0"/>
      <w:spacing w:line="240" w:lineRule="auto"/>
      <w:ind w:left="1642" w:right="1282"/>
    </w:pPr>
    <w:rPr>
      <w:rFonts w:ascii="Arial TUR" w:hAnsi="Arial TUR" w:cs="Times New Roman"/>
      <w:spacing w:val="10"/>
      <w:sz w:val="22"/>
      <w:szCs w:val="22"/>
    </w:rPr>
  </w:style>
  <w:style w:type="character" w:styleId="PageNumber">
    <w:name w:val="page number"/>
    <w:rPr>
      <w:rFonts w:cs="David"/>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32"/>
      <w:szCs w:val="32"/>
    </w:rPr>
  </w:style>
  <w:style w:type="character" w:styleId="Hyperlink">
    <w:name w:val="Hyperlink"/>
    <w:rsid w:val="00134D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a" TargetMode="External"/><Relationship Id="rId18" Type="http://schemas.openxmlformats.org/officeDocument/2006/relationships/hyperlink" Target="http://www.nevo.co.il/law/70301/348.a" TargetMode="External"/><Relationship Id="rId26" Type="http://schemas.openxmlformats.org/officeDocument/2006/relationships/hyperlink" Target="http://www.nevo.co.il/case/5712359"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12" Type="http://schemas.openxmlformats.org/officeDocument/2006/relationships/hyperlink" Target="http://www.nevo.co.il/law/98569/54a.b" TargetMode="External"/><Relationship Id="rId17" Type="http://schemas.openxmlformats.org/officeDocument/2006/relationships/hyperlink" Target="http://www.nevo.co.il/law/98569" TargetMode="External"/><Relationship Id="rId25" Type="http://schemas.openxmlformats.org/officeDocument/2006/relationships/hyperlink" Target="http://www.nevo.co.il/case/6232497"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98569/54a.b" TargetMode="External"/><Relationship Id="rId20" Type="http://schemas.openxmlformats.org/officeDocument/2006/relationships/hyperlink" Target="http://www.nevo.co.il/law/70301/345.a.2"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98569" TargetMode="External"/><Relationship Id="rId24" Type="http://schemas.openxmlformats.org/officeDocument/2006/relationships/hyperlink" Target="http://www.nevo.co.il/case/6232497"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eader" Target="header1.xml"/><Relationship Id="rId10" Type="http://schemas.openxmlformats.org/officeDocument/2006/relationships/hyperlink" Target="http://www.nevo.co.il/law/70301/348.f" TargetMode="External"/><Relationship Id="rId19" Type="http://schemas.openxmlformats.org/officeDocument/2006/relationships/hyperlink" Target="http://www.nevo.co.il/law/70301/348.f"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48.a" TargetMode="External"/><Relationship Id="rId14" Type="http://schemas.openxmlformats.org/officeDocument/2006/relationships/hyperlink" Target="http://www.nevo.co.il/law/70301/345.a.2" TargetMode="External"/><Relationship Id="rId22" Type="http://schemas.openxmlformats.org/officeDocument/2006/relationships/hyperlink" Target="http://www.nevo.co.il/case/17941097" TargetMode="External"/><Relationship Id="rId27" Type="http://schemas.openxmlformats.org/officeDocument/2006/relationships/hyperlink" Target="http://www.nevo.co.il/case/6104378" TargetMode="External"/><Relationship Id="rId30" Type="http://schemas.openxmlformats.org/officeDocument/2006/relationships/footer" Target="footer1.xml"/><Relationship Id="rId8" Type="http://schemas.openxmlformats.org/officeDocument/2006/relationships/hyperlink" Target="http://www.nevo.co.il/law/70301/345.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3228</Words>
  <Characters>18406</Characters>
  <Application>Microsoft Office Word</Application>
  <DocSecurity>0</DocSecurity>
  <Lines>153</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21591</CharactersWithSpaces>
  <SharedDoc>false</SharedDoc>
  <HLinks>
    <vt:vector size="126" baseType="variant">
      <vt:variant>
        <vt:i4>3997814</vt:i4>
      </vt:variant>
      <vt:variant>
        <vt:i4>60</vt:i4>
      </vt:variant>
      <vt:variant>
        <vt:i4>0</vt:i4>
      </vt:variant>
      <vt:variant>
        <vt:i4>5</vt:i4>
      </vt:variant>
      <vt:variant>
        <vt:lpwstr>http://www.nevo.co.il/case/6104378</vt:lpwstr>
      </vt:variant>
      <vt:variant>
        <vt:lpwstr/>
      </vt:variant>
      <vt:variant>
        <vt:i4>4063348</vt:i4>
      </vt:variant>
      <vt:variant>
        <vt:i4>57</vt:i4>
      </vt:variant>
      <vt:variant>
        <vt:i4>0</vt:i4>
      </vt:variant>
      <vt:variant>
        <vt:i4>5</vt:i4>
      </vt:variant>
      <vt:variant>
        <vt:lpwstr>http://www.nevo.co.il/case/5712359</vt:lpwstr>
      </vt:variant>
      <vt:variant>
        <vt:lpwstr/>
      </vt:variant>
      <vt:variant>
        <vt:i4>3539069</vt:i4>
      </vt:variant>
      <vt:variant>
        <vt:i4>54</vt:i4>
      </vt:variant>
      <vt:variant>
        <vt:i4>0</vt:i4>
      </vt:variant>
      <vt:variant>
        <vt:i4>5</vt:i4>
      </vt:variant>
      <vt:variant>
        <vt:lpwstr>http://www.nevo.co.il/case/6232497</vt:lpwstr>
      </vt:variant>
      <vt:variant>
        <vt:lpwstr/>
      </vt:variant>
      <vt:variant>
        <vt:i4>3539069</vt:i4>
      </vt:variant>
      <vt:variant>
        <vt:i4>51</vt:i4>
      </vt:variant>
      <vt:variant>
        <vt:i4>0</vt:i4>
      </vt:variant>
      <vt:variant>
        <vt:i4>5</vt:i4>
      </vt:variant>
      <vt:variant>
        <vt:lpwstr>http://www.nevo.co.il/case/6232497</vt:lpwstr>
      </vt:variant>
      <vt:variant>
        <vt:lpwstr/>
      </vt:variant>
      <vt:variant>
        <vt:i4>7995492</vt:i4>
      </vt:variant>
      <vt:variant>
        <vt:i4>48</vt:i4>
      </vt:variant>
      <vt:variant>
        <vt:i4>0</vt:i4>
      </vt:variant>
      <vt:variant>
        <vt:i4>5</vt:i4>
      </vt:variant>
      <vt:variant>
        <vt:lpwstr>http://www.nevo.co.il/law/70301</vt:lpwstr>
      </vt:variant>
      <vt:variant>
        <vt:lpwstr/>
      </vt:variant>
      <vt:variant>
        <vt:i4>3145847</vt:i4>
      </vt:variant>
      <vt:variant>
        <vt:i4>45</vt:i4>
      </vt:variant>
      <vt:variant>
        <vt:i4>0</vt:i4>
      </vt:variant>
      <vt:variant>
        <vt:i4>5</vt:i4>
      </vt:variant>
      <vt:variant>
        <vt:lpwstr>http://www.nevo.co.il/case/17941097</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6357042</vt:i4>
      </vt:variant>
      <vt:variant>
        <vt:i4>39</vt:i4>
      </vt:variant>
      <vt:variant>
        <vt:i4>0</vt:i4>
      </vt:variant>
      <vt:variant>
        <vt:i4>5</vt:i4>
      </vt:variant>
      <vt:variant>
        <vt:lpwstr>http://www.nevo.co.il/law/70301/345.a.2</vt:lpwstr>
      </vt:variant>
      <vt:variant>
        <vt:lpwstr/>
      </vt:variant>
      <vt:variant>
        <vt:i4>5177438</vt:i4>
      </vt:variant>
      <vt:variant>
        <vt:i4>36</vt:i4>
      </vt:variant>
      <vt:variant>
        <vt:i4>0</vt:i4>
      </vt:variant>
      <vt:variant>
        <vt:i4>5</vt:i4>
      </vt:variant>
      <vt:variant>
        <vt:lpwstr>http://www.nevo.co.il/law/70301/348.f</vt:lpwstr>
      </vt:variant>
      <vt:variant>
        <vt:lpwstr/>
      </vt:variant>
      <vt:variant>
        <vt:i4>5177438</vt:i4>
      </vt:variant>
      <vt:variant>
        <vt:i4>33</vt:i4>
      </vt:variant>
      <vt:variant>
        <vt:i4>0</vt:i4>
      </vt:variant>
      <vt:variant>
        <vt:i4>5</vt:i4>
      </vt:variant>
      <vt:variant>
        <vt:lpwstr>http://www.nevo.co.il/law/70301/348.a</vt:lpwstr>
      </vt:variant>
      <vt:variant>
        <vt:lpwstr/>
      </vt:variant>
      <vt:variant>
        <vt:i4>7602284</vt:i4>
      </vt:variant>
      <vt:variant>
        <vt:i4>30</vt:i4>
      </vt:variant>
      <vt:variant>
        <vt:i4>0</vt:i4>
      </vt:variant>
      <vt:variant>
        <vt:i4>5</vt:i4>
      </vt:variant>
      <vt:variant>
        <vt:lpwstr>http://www.nevo.co.il/law/98569</vt:lpwstr>
      </vt:variant>
      <vt:variant>
        <vt:lpwstr/>
      </vt:variant>
      <vt:variant>
        <vt:i4>4259841</vt:i4>
      </vt:variant>
      <vt:variant>
        <vt:i4>27</vt:i4>
      </vt:variant>
      <vt:variant>
        <vt:i4>0</vt:i4>
      </vt:variant>
      <vt:variant>
        <vt:i4>5</vt:i4>
      </vt:variant>
      <vt:variant>
        <vt:lpwstr>http://www.nevo.co.il/law/98569/54a.b</vt:lpwstr>
      </vt:variant>
      <vt:variant>
        <vt:lpwstr/>
      </vt:variant>
      <vt:variant>
        <vt:i4>7995492</vt:i4>
      </vt:variant>
      <vt:variant>
        <vt:i4>24</vt:i4>
      </vt:variant>
      <vt:variant>
        <vt:i4>0</vt:i4>
      </vt:variant>
      <vt:variant>
        <vt:i4>5</vt:i4>
      </vt:variant>
      <vt:variant>
        <vt:lpwstr>http://www.nevo.co.il/law/70301</vt:lpwstr>
      </vt:variant>
      <vt:variant>
        <vt:lpwstr/>
      </vt:variant>
      <vt:variant>
        <vt:i4>6357042</vt:i4>
      </vt:variant>
      <vt:variant>
        <vt:i4>21</vt:i4>
      </vt:variant>
      <vt:variant>
        <vt:i4>0</vt:i4>
      </vt:variant>
      <vt:variant>
        <vt:i4>5</vt:i4>
      </vt:variant>
      <vt:variant>
        <vt:lpwstr>http://www.nevo.co.il/law/70301/345.a.2</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4259841</vt:i4>
      </vt:variant>
      <vt:variant>
        <vt:i4>15</vt:i4>
      </vt:variant>
      <vt:variant>
        <vt:i4>0</vt:i4>
      </vt:variant>
      <vt:variant>
        <vt:i4>5</vt:i4>
      </vt:variant>
      <vt:variant>
        <vt:lpwstr>http://www.nevo.co.il/law/98569/54a.b</vt:lpwstr>
      </vt:variant>
      <vt:variant>
        <vt:lpwstr/>
      </vt:variant>
      <vt:variant>
        <vt:i4>7602284</vt:i4>
      </vt:variant>
      <vt:variant>
        <vt:i4>12</vt:i4>
      </vt:variant>
      <vt:variant>
        <vt:i4>0</vt:i4>
      </vt:variant>
      <vt:variant>
        <vt:i4>5</vt:i4>
      </vt:variant>
      <vt:variant>
        <vt:lpwstr>http://www.nevo.co.il/law/98569</vt:lpwstr>
      </vt:variant>
      <vt:variant>
        <vt:lpwstr/>
      </vt:variant>
      <vt:variant>
        <vt:i4>5177438</vt:i4>
      </vt:variant>
      <vt:variant>
        <vt:i4>9</vt:i4>
      </vt:variant>
      <vt:variant>
        <vt:i4>0</vt:i4>
      </vt:variant>
      <vt:variant>
        <vt:i4>5</vt:i4>
      </vt:variant>
      <vt:variant>
        <vt:lpwstr>http://www.nevo.co.il/law/70301/348.f</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2006-04-24T11:11:00Z</cp:lastPrinted>
  <dcterms:created xsi:type="dcterms:W3CDTF">2022-05-24T10:19:00Z</dcterms:created>
  <dcterms:modified xsi:type="dcterms:W3CDTF">2022-05-24T10:19:00Z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5113</vt:lpwstr>
  </property>
  <property fmtid="{D5CDD505-2E9C-101B-9397-08002B2CF9AE}" pid="6" name="PROCYEAR">
    <vt:lpwstr>03</vt:lpwstr>
  </property>
  <property fmtid="{D5CDD505-2E9C-101B-9397-08002B2CF9AE}" pid="7" name="APPELLANT">
    <vt:lpwstr>מדינת ישראל;לשכת תביעות מרחב נגב באר שבע</vt:lpwstr>
  </property>
  <property fmtid="{D5CDD505-2E9C-101B-9397-08002B2CF9AE}" pid="8" name="APPELLEE">
    <vt:lpwstr>אוליאננקו איגור</vt:lpwstr>
  </property>
  <property fmtid="{D5CDD505-2E9C-101B-9397-08002B2CF9AE}" pid="9" name="LAWYER">
    <vt:lpwstr>ניסים כחלון;איילת גיל;יעקב גסר</vt:lpwstr>
  </property>
  <property fmtid="{D5CDD505-2E9C-101B-9397-08002B2CF9AE}" pid="10" name="JUDGE">
    <vt:lpwstr>יעקב שפסר</vt:lpwstr>
  </property>
  <property fmtid="{D5CDD505-2E9C-101B-9397-08002B2CF9AE}" pid="11" name="CITY">
    <vt:lpwstr>ב"ש</vt:lpwstr>
  </property>
  <property fmtid="{D5CDD505-2E9C-101B-9397-08002B2CF9AE}" pid="12" name="DATE">
    <vt:lpwstr>20060424</vt:lpwstr>
  </property>
  <property fmtid="{D5CDD505-2E9C-101B-9397-08002B2CF9AE}" pid="13" name="WORDNUMPAGES">
    <vt:lpwstr>13</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YES</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NOSE11">
    <vt:lpwstr>עונשין</vt:lpwstr>
  </property>
  <property fmtid="{D5CDD505-2E9C-101B-9397-08002B2CF9AE}" pid="32" name="NOSE21">
    <vt:lpwstr>עבירות</vt:lpwstr>
  </property>
  <property fmtid="{D5CDD505-2E9C-101B-9397-08002B2CF9AE}" pid="33" name="NOSE31">
    <vt:lpwstr>מעשה מגונה</vt:lpwstr>
  </property>
  <property fmtid="{D5CDD505-2E9C-101B-9397-08002B2CF9AE}" pid="34" name="NOSE12">
    <vt:lpwstr/>
  </property>
  <property fmtid="{D5CDD505-2E9C-101B-9397-08002B2CF9AE}" pid="35" name="NOSE22">
    <vt:lpwstr/>
  </property>
  <property fmtid="{D5CDD505-2E9C-101B-9397-08002B2CF9AE}" pid="36" name="NOSE32">
    <vt:lpwstr/>
  </property>
  <property fmtid="{D5CDD505-2E9C-101B-9397-08002B2CF9AE}" pid="37" name="NOSE13">
    <vt:lpwstr/>
  </property>
  <property fmtid="{D5CDD505-2E9C-101B-9397-08002B2CF9AE}" pid="38" name="NOSE23">
    <vt:lpwstr/>
  </property>
  <property fmtid="{D5CDD505-2E9C-101B-9397-08002B2CF9AE}" pid="39" name="NOSE33">
    <vt:lpwstr/>
  </property>
  <property fmtid="{D5CDD505-2E9C-101B-9397-08002B2CF9AE}" pid="40" name="NOSE14">
    <vt:lpwstr/>
  </property>
  <property fmtid="{D5CDD505-2E9C-101B-9397-08002B2CF9AE}" pid="41" name="NOSE24">
    <vt:lpwstr/>
  </property>
  <property fmtid="{D5CDD505-2E9C-101B-9397-08002B2CF9AE}" pid="42" name="NOSE34">
    <vt:lpwstr/>
  </property>
  <property fmtid="{D5CDD505-2E9C-101B-9397-08002B2CF9AE}" pid="43" name="NOSE15">
    <vt:lpwstr/>
  </property>
  <property fmtid="{D5CDD505-2E9C-101B-9397-08002B2CF9AE}" pid="44" name="NOSE25">
    <vt:lpwstr/>
  </property>
  <property fmtid="{D5CDD505-2E9C-101B-9397-08002B2CF9AE}" pid="45" name="NOSE3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CASESLISTTMP1">
    <vt:lpwstr>17941097;6232497:2;5712359;6104378</vt:lpwstr>
  </property>
  <property fmtid="{D5CDD505-2E9C-101B-9397-08002B2CF9AE}" pid="62" name="CASENOTES1">
    <vt:lpwstr>ProcID=133;209&amp;PartA=6299&amp;PartC=99</vt:lpwstr>
  </property>
  <property fmtid="{D5CDD505-2E9C-101B-9397-08002B2CF9AE}" pid="63" name="LAWLISTTMP1">
    <vt:lpwstr>70301/348.a:2;345.a.2:2;348.f</vt:lpwstr>
  </property>
  <property fmtid="{D5CDD505-2E9C-101B-9397-08002B2CF9AE}" pid="64" name="LAWLISTTMP2">
    <vt:lpwstr>98569/054a.b</vt:lpwstr>
  </property>
</Properties>
</file>