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103D" w14:textId="77777777" w:rsidR="000B1667" w:rsidRDefault="000B1667">
      <w:pPr>
        <w:jc w:val="center"/>
        <w:rPr>
          <w:rFonts w:ascii="Arial" w:hAnsi="Arial"/>
          <w:b/>
          <w:bCs/>
          <w:sz w:val="26"/>
          <w:rtl/>
        </w:rPr>
      </w:pPr>
      <w:bookmarkStart w:id="0" w:name="LastJudge"/>
    </w:p>
    <w:p w14:paraId="6282C4EE" w14:textId="77777777" w:rsidR="000B1667" w:rsidRDefault="000B1667">
      <w:pPr>
        <w:jc w:val="center"/>
        <w:rPr>
          <w:rFonts w:ascii="Arial" w:hAnsi="Arial"/>
          <w:b/>
          <w:bCs/>
          <w:sz w:val="26"/>
          <w:rtl/>
        </w:rPr>
      </w:pPr>
      <w:r>
        <w:rPr>
          <w:rFonts w:ascii="Arial" w:hAnsi="Arial"/>
          <w:b/>
          <w:bCs/>
          <w:sz w:val="26"/>
        </w:rPr>
        <w:t xml:space="preserve">    </w:t>
      </w:r>
    </w:p>
    <w:p w14:paraId="4DC9D752" w14:textId="77777777" w:rsidR="000B1667" w:rsidRDefault="000B1667">
      <w:pPr>
        <w:jc w:val="center"/>
        <w:rPr>
          <w:rFonts w:ascii="Arial" w:hAnsi="Arial"/>
          <w:b/>
          <w:bCs/>
          <w:sz w:val="26"/>
          <w:rtl/>
        </w:rPr>
      </w:pPr>
      <w:r>
        <w:rPr>
          <w:rFonts w:ascii="Arial" w:hAnsi="Arial"/>
          <w:b/>
          <w:bCs/>
          <w:sz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50"/>
        <w:gridCol w:w="4558"/>
        <w:gridCol w:w="964"/>
        <w:gridCol w:w="1950"/>
      </w:tblGrid>
      <w:tr w:rsidR="008A3982" w14:paraId="4BFAB10D"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3563E1A" w14:textId="77777777" w:rsidR="008A3982" w:rsidRDefault="008A3982">
            <w:pPr>
              <w:rPr>
                <w:rFonts w:ascii="Arial" w:hAnsi="Arial"/>
                <w:b/>
                <w:bCs/>
                <w:sz w:val="26"/>
              </w:rPr>
            </w:pPr>
            <w:r>
              <w:rPr>
                <w:rFonts w:ascii="Arial" w:hAnsi="Arial"/>
                <w:b/>
                <w:bCs/>
                <w:sz w:val="26"/>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2E995911" w14:textId="77777777" w:rsidR="008A3982" w:rsidRDefault="008A3982">
            <w:pPr>
              <w:rPr>
                <w:rFonts w:ascii="Arial" w:hAnsi="Arial"/>
                <w:b/>
                <w:bCs/>
                <w:sz w:val="26"/>
              </w:rPr>
            </w:pPr>
            <w:r>
              <w:rPr>
                <w:rFonts w:ascii="Arial" w:hAnsi="Arial"/>
                <w:b/>
                <w:bCs/>
                <w:sz w:val="26"/>
                <w:rtl/>
              </w:rPr>
              <w:t>פ  009649/03</w:t>
            </w:r>
          </w:p>
        </w:tc>
      </w:tr>
      <w:tr w:rsidR="008A3982" w14:paraId="51D457B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B670B53" w14:textId="77777777" w:rsidR="008A3982" w:rsidRDefault="008A3982">
            <w:pPr>
              <w:bidi w:val="0"/>
              <w:jc w:val="left"/>
              <w:rPr>
                <w:rFonts w:ascii="Arial" w:hAnsi="Arial"/>
                <w:b/>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6B2A538E" w14:textId="77777777" w:rsidR="008A3982" w:rsidRDefault="008A3982">
            <w:pPr>
              <w:rPr>
                <w:rFonts w:ascii="Arial" w:hAnsi="Arial"/>
                <w:b/>
                <w:bCs/>
                <w:sz w:val="26"/>
              </w:rPr>
            </w:pPr>
          </w:p>
        </w:tc>
      </w:tr>
      <w:tr w:rsidR="008A3982" w14:paraId="23473633" w14:textId="77777777">
        <w:trPr>
          <w:trHeight w:val="286"/>
        </w:trPr>
        <w:tc>
          <w:tcPr>
            <w:tcW w:w="1050" w:type="dxa"/>
            <w:tcBorders>
              <w:top w:val="single" w:sz="4" w:space="0" w:color="auto"/>
              <w:left w:val="single" w:sz="4" w:space="0" w:color="auto"/>
              <w:bottom w:val="single" w:sz="4" w:space="0" w:color="auto"/>
              <w:right w:val="single" w:sz="4" w:space="0" w:color="auto"/>
            </w:tcBorders>
          </w:tcPr>
          <w:p w14:paraId="5A35B4F6" w14:textId="77777777" w:rsidR="008A3982" w:rsidRDefault="008A3982">
            <w:pPr>
              <w:rPr>
                <w:rFonts w:ascii="Arial" w:hAnsi="Arial"/>
                <w:b/>
                <w:bCs/>
                <w:sz w:val="26"/>
              </w:rPr>
            </w:pPr>
            <w:r>
              <w:rPr>
                <w:rFonts w:ascii="Arial" w:hAnsi="Arial"/>
                <w:b/>
                <w:bCs/>
                <w:sz w:val="26"/>
                <w:rtl/>
              </w:rPr>
              <w:t>בפני:</w:t>
            </w:r>
          </w:p>
        </w:tc>
        <w:tc>
          <w:tcPr>
            <w:tcW w:w="4564" w:type="dxa"/>
            <w:tcBorders>
              <w:top w:val="single" w:sz="4" w:space="0" w:color="auto"/>
              <w:left w:val="single" w:sz="4" w:space="0" w:color="auto"/>
              <w:bottom w:val="single" w:sz="4" w:space="0" w:color="auto"/>
              <w:right w:val="single" w:sz="4" w:space="0" w:color="auto"/>
            </w:tcBorders>
          </w:tcPr>
          <w:p w14:paraId="596C2505" w14:textId="77777777" w:rsidR="008A3982" w:rsidRDefault="008A3982">
            <w:pPr>
              <w:rPr>
                <w:rFonts w:ascii="Arial" w:hAnsi="Arial"/>
                <w:b/>
                <w:bCs/>
                <w:sz w:val="26"/>
              </w:rPr>
            </w:pPr>
            <w:r>
              <w:rPr>
                <w:rFonts w:ascii="Arial" w:hAnsi="Arial"/>
                <w:b/>
                <w:bCs/>
                <w:sz w:val="26"/>
                <w:rtl/>
              </w:rPr>
              <w:t>כב' השופטת שריזלי דניאלה</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4D520FC" w14:textId="77777777" w:rsidR="008A3982" w:rsidRDefault="008A3982">
            <w:pPr>
              <w:rPr>
                <w:rFonts w:ascii="Arial" w:hAnsi="Arial"/>
                <w:b/>
                <w:bCs/>
                <w:sz w:val="26"/>
              </w:rPr>
            </w:pPr>
            <w:r>
              <w:rPr>
                <w:rFonts w:ascii="Arial" w:hAnsi="Arial"/>
                <w:b/>
                <w:bCs/>
                <w:sz w:val="26"/>
                <w:rtl/>
              </w:rPr>
              <w:t>תאריך:</w:t>
            </w:r>
          </w:p>
        </w:tc>
        <w:tc>
          <w:tcPr>
            <w:tcW w:w="1951" w:type="dxa"/>
            <w:tcBorders>
              <w:top w:val="single" w:sz="4" w:space="0" w:color="auto"/>
              <w:left w:val="single" w:sz="4" w:space="0" w:color="auto"/>
              <w:bottom w:val="single" w:sz="4" w:space="0" w:color="auto"/>
              <w:right w:val="single" w:sz="4" w:space="0" w:color="auto"/>
            </w:tcBorders>
          </w:tcPr>
          <w:p w14:paraId="1F5F3A2B" w14:textId="77777777" w:rsidR="008A3982" w:rsidRDefault="008A3982">
            <w:pPr>
              <w:rPr>
                <w:rFonts w:ascii="Arial" w:hAnsi="Arial"/>
                <w:b/>
                <w:bCs/>
                <w:sz w:val="26"/>
              </w:rPr>
            </w:pPr>
            <w:r>
              <w:rPr>
                <w:rFonts w:ascii="Arial" w:hAnsi="Arial"/>
                <w:b/>
                <w:bCs/>
                <w:sz w:val="26"/>
                <w:rtl/>
              </w:rPr>
              <w:t>07/04/2005</w:t>
            </w:r>
          </w:p>
        </w:tc>
      </w:tr>
    </w:tbl>
    <w:p w14:paraId="7DF70D4D" w14:textId="77777777" w:rsidR="000B1667" w:rsidRDefault="000B1667">
      <w:pPr>
        <w:rPr>
          <w:rFonts w:ascii="Arial" w:hAnsi="Arial"/>
          <w:b/>
          <w:bCs/>
          <w:sz w:val="26"/>
          <w:rtl/>
        </w:rPr>
      </w:pPr>
    </w:p>
    <w:p w14:paraId="09C64DD2" w14:textId="77777777" w:rsidR="000B1667" w:rsidRDefault="000B1667">
      <w:pPr>
        <w:pStyle w:val="Header"/>
        <w:jc w:val="left"/>
        <w:rPr>
          <w:rFonts w:ascii="Arial" w:hAnsi="Arial" w:cs="Arial"/>
          <w:b/>
          <w:bCs/>
          <w:sz w:val="26"/>
          <w:szCs w:val="26"/>
          <w:rtl/>
        </w:rPr>
      </w:pPr>
    </w:p>
    <w:p w14:paraId="17A414BC" w14:textId="77777777" w:rsidR="000B1667" w:rsidRDefault="000B1667">
      <w:pPr>
        <w:rPr>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A3982" w14:paraId="482D25C0" w14:textId="77777777">
        <w:tc>
          <w:tcPr>
            <w:tcW w:w="1362" w:type="dxa"/>
          </w:tcPr>
          <w:p w14:paraId="0CBC208E" w14:textId="77777777" w:rsidR="008A3982" w:rsidRDefault="008A3982">
            <w:pPr>
              <w:rPr>
                <w:b/>
                <w:bCs/>
              </w:rPr>
            </w:pPr>
            <w:bookmarkStart w:id="1" w:name="FirstAppellant"/>
            <w:r>
              <w:rPr>
                <w:b/>
                <w:bCs/>
                <w:rtl/>
              </w:rPr>
              <w:t>בעניין:</w:t>
            </w:r>
          </w:p>
        </w:tc>
        <w:tc>
          <w:tcPr>
            <w:tcW w:w="4820" w:type="dxa"/>
            <w:gridSpan w:val="2"/>
          </w:tcPr>
          <w:p w14:paraId="28399A2A" w14:textId="77777777" w:rsidR="008A3982" w:rsidRDefault="008A3982">
            <w:pPr>
              <w:rPr>
                <w:b/>
                <w:bCs/>
              </w:rPr>
            </w:pPr>
            <w:r>
              <w:rPr>
                <w:b/>
                <w:bCs/>
                <w:rtl/>
              </w:rPr>
              <w:t>מדינת ישראל</w:t>
            </w:r>
          </w:p>
        </w:tc>
        <w:tc>
          <w:tcPr>
            <w:tcW w:w="2409" w:type="dxa"/>
          </w:tcPr>
          <w:p w14:paraId="44DC0809" w14:textId="77777777" w:rsidR="008A3982" w:rsidRDefault="008A3982">
            <w:pPr>
              <w:rPr>
                <w:b/>
                <w:bCs/>
              </w:rPr>
            </w:pPr>
          </w:p>
        </w:tc>
      </w:tr>
      <w:bookmarkEnd w:id="1"/>
      <w:tr w:rsidR="008A3982" w14:paraId="00C7BAB8" w14:textId="77777777">
        <w:tc>
          <w:tcPr>
            <w:tcW w:w="1362" w:type="dxa"/>
          </w:tcPr>
          <w:p w14:paraId="070E007C" w14:textId="77777777" w:rsidR="008A3982" w:rsidRDefault="008A3982">
            <w:pPr>
              <w:rPr>
                <w:b/>
                <w:bCs/>
              </w:rPr>
            </w:pPr>
          </w:p>
        </w:tc>
        <w:tc>
          <w:tcPr>
            <w:tcW w:w="1757" w:type="dxa"/>
          </w:tcPr>
          <w:p w14:paraId="3F353E55" w14:textId="77777777" w:rsidR="008A3982" w:rsidRDefault="008A3982">
            <w:pPr>
              <w:rPr>
                <w:b/>
                <w:bCs/>
              </w:rPr>
            </w:pPr>
          </w:p>
        </w:tc>
        <w:tc>
          <w:tcPr>
            <w:tcW w:w="3063" w:type="dxa"/>
          </w:tcPr>
          <w:p w14:paraId="78A51FF0" w14:textId="77777777" w:rsidR="008A3982" w:rsidRDefault="008A3982">
            <w:pPr>
              <w:rPr>
                <w:b/>
                <w:bCs/>
              </w:rPr>
            </w:pPr>
          </w:p>
        </w:tc>
        <w:tc>
          <w:tcPr>
            <w:tcW w:w="2409" w:type="dxa"/>
          </w:tcPr>
          <w:p w14:paraId="71C72AF4" w14:textId="77777777" w:rsidR="008A3982" w:rsidRDefault="008A3982">
            <w:pPr>
              <w:rPr>
                <w:b/>
                <w:bCs/>
              </w:rPr>
            </w:pPr>
            <w:r>
              <w:rPr>
                <w:b/>
                <w:bCs/>
                <w:rtl/>
              </w:rPr>
              <w:t>המאשימה</w:t>
            </w:r>
          </w:p>
        </w:tc>
      </w:tr>
      <w:tr w:rsidR="008A3982" w14:paraId="5F03009D" w14:textId="77777777">
        <w:tc>
          <w:tcPr>
            <w:tcW w:w="1362" w:type="dxa"/>
          </w:tcPr>
          <w:p w14:paraId="0952E3DD" w14:textId="77777777" w:rsidR="008A3982" w:rsidRDefault="008A3982">
            <w:pPr>
              <w:rPr>
                <w:b/>
                <w:bCs/>
              </w:rPr>
            </w:pPr>
          </w:p>
        </w:tc>
        <w:tc>
          <w:tcPr>
            <w:tcW w:w="4820" w:type="dxa"/>
            <w:gridSpan w:val="2"/>
          </w:tcPr>
          <w:p w14:paraId="4BFC3F8C" w14:textId="77777777" w:rsidR="008A3982" w:rsidRDefault="008A3982">
            <w:pPr>
              <w:jc w:val="center"/>
              <w:rPr>
                <w:b/>
                <w:bCs/>
              </w:rPr>
            </w:pPr>
            <w:r>
              <w:rPr>
                <w:b/>
                <w:bCs/>
                <w:rtl/>
              </w:rPr>
              <w:t>נ  ג  ד</w:t>
            </w:r>
          </w:p>
        </w:tc>
        <w:tc>
          <w:tcPr>
            <w:tcW w:w="2409" w:type="dxa"/>
          </w:tcPr>
          <w:p w14:paraId="271EADEC" w14:textId="77777777" w:rsidR="008A3982" w:rsidRDefault="008A3982">
            <w:pPr>
              <w:rPr>
                <w:b/>
                <w:bCs/>
              </w:rPr>
            </w:pPr>
          </w:p>
        </w:tc>
      </w:tr>
      <w:tr w:rsidR="008A3982" w14:paraId="0D8CCA1E" w14:textId="77777777">
        <w:tc>
          <w:tcPr>
            <w:tcW w:w="1362" w:type="dxa"/>
          </w:tcPr>
          <w:p w14:paraId="113B64A0" w14:textId="77777777" w:rsidR="008A3982" w:rsidRDefault="008A3982">
            <w:pPr>
              <w:rPr>
                <w:b/>
                <w:bCs/>
              </w:rPr>
            </w:pPr>
            <w:bookmarkStart w:id="2" w:name="שם_ב" w:colFirst="1" w:colLast="1"/>
          </w:p>
        </w:tc>
        <w:tc>
          <w:tcPr>
            <w:tcW w:w="4820" w:type="dxa"/>
            <w:gridSpan w:val="2"/>
          </w:tcPr>
          <w:p w14:paraId="2E8FFC95" w14:textId="77777777" w:rsidR="008A3982" w:rsidRDefault="008A3982">
            <w:pPr>
              <w:rPr>
                <w:b/>
                <w:bCs/>
              </w:rPr>
            </w:pPr>
            <w:r>
              <w:rPr>
                <w:b/>
                <w:bCs/>
                <w:rtl/>
              </w:rPr>
              <w:t>אשכנזי יצחק יהושע</w:t>
            </w:r>
          </w:p>
        </w:tc>
        <w:tc>
          <w:tcPr>
            <w:tcW w:w="2409" w:type="dxa"/>
          </w:tcPr>
          <w:p w14:paraId="64D9AB48" w14:textId="77777777" w:rsidR="008A3982" w:rsidRDefault="008A3982">
            <w:pPr>
              <w:rPr>
                <w:b/>
                <w:bCs/>
              </w:rPr>
            </w:pPr>
          </w:p>
        </w:tc>
      </w:tr>
      <w:bookmarkEnd w:id="2"/>
      <w:tr w:rsidR="008A3982" w14:paraId="6E249357" w14:textId="77777777">
        <w:tc>
          <w:tcPr>
            <w:tcW w:w="1362" w:type="dxa"/>
          </w:tcPr>
          <w:p w14:paraId="6D329605" w14:textId="77777777" w:rsidR="008A3982" w:rsidRDefault="008A3982">
            <w:pPr>
              <w:rPr>
                <w:b/>
                <w:bCs/>
              </w:rPr>
            </w:pPr>
          </w:p>
        </w:tc>
        <w:tc>
          <w:tcPr>
            <w:tcW w:w="1757" w:type="dxa"/>
          </w:tcPr>
          <w:p w14:paraId="48B235B4" w14:textId="77777777" w:rsidR="008A3982" w:rsidRDefault="008A3982">
            <w:pPr>
              <w:rPr>
                <w:b/>
                <w:bCs/>
              </w:rPr>
            </w:pPr>
          </w:p>
        </w:tc>
        <w:tc>
          <w:tcPr>
            <w:tcW w:w="3063" w:type="dxa"/>
          </w:tcPr>
          <w:p w14:paraId="77C305D7" w14:textId="77777777" w:rsidR="008A3982" w:rsidRDefault="008A3982">
            <w:pPr>
              <w:rPr>
                <w:b/>
                <w:bCs/>
              </w:rPr>
            </w:pPr>
          </w:p>
        </w:tc>
        <w:tc>
          <w:tcPr>
            <w:tcW w:w="2409" w:type="dxa"/>
          </w:tcPr>
          <w:p w14:paraId="0FC405F0" w14:textId="77777777" w:rsidR="008A3982" w:rsidRDefault="008A3982">
            <w:pPr>
              <w:rPr>
                <w:b/>
                <w:bCs/>
              </w:rPr>
            </w:pPr>
            <w:r>
              <w:rPr>
                <w:b/>
                <w:bCs/>
                <w:rtl/>
              </w:rPr>
              <w:t>הנאשם</w:t>
            </w:r>
          </w:p>
        </w:tc>
      </w:tr>
    </w:tbl>
    <w:p w14:paraId="0C355191" w14:textId="77777777" w:rsidR="000B1667" w:rsidRDefault="000B1667">
      <w:pPr>
        <w:rPr>
          <w:b/>
          <w:bCs/>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8A3982" w14:paraId="209DCF1F" w14:textId="77777777">
        <w:tc>
          <w:tcPr>
            <w:tcW w:w="1332" w:type="dxa"/>
          </w:tcPr>
          <w:p w14:paraId="7486DCF2" w14:textId="77777777" w:rsidR="008A3982" w:rsidRDefault="008A3982">
            <w:pPr>
              <w:rPr>
                <w:rFonts w:cs="David"/>
                <w:b/>
                <w:bCs/>
              </w:rPr>
            </w:pPr>
            <w:bookmarkStart w:id="3" w:name="FirstLawyer"/>
            <w:r>
              <w:rPr>
                <w:rFonts w:cs="David" w:hint="cs"/>
                <w:b/>
                <w:bCs/>
                <w:rtl/>
              </w:rPr>
              <w:t>נוכחים:</w:t>
            </w:r>
          </w:p>
        </w:tc>
        <w:tc>
          <w:tcPr>
            <w:tcW w:w="7230" w:type="dxa"/>
          </w:tcPr>
          <w:p w14:paraId="74D735BC" w14:textId="77777777" w:rsidR="008A3982" w:rsidRDefault="008A3982">
            <w:pPr>
              <w:rPr>
                <w:rFonts w:cs="David"/>
                <w:b/>
                <w:bCs/>
              </w:rPr>
            </w:pPr>
            <w:r>
              <w:rPr>
                <w:rFonts w:cs="David" w:hint="cs"/>
                <w:b/>
                <w:bCs/>
                <w:rtl/>
              </w:rPr>
              <w:t xml:space="preserve">ב"כ המאשימה עו"ד </w:t>
            </w:r>
            <w:bookmarkStart w:id="4" w:name="בא_כוח_א"/>
            <w:bookmarkEnd w:id="4"/>
            <w:r>
              <w:rPr>
                <w:rFonts w:cs="David" w:hint="cs"/>
                <w:b/>
                <w:bCs/>
                <w:rtl/>
              </w:rPr>
              <w:t>נועה פלד</w:t>
            </w:r>
          </w:p>
          <w:p w14:paraId="7F355704" w14:textId="77777777" w:rsidR="008A3982" w:rsidRDefault="008A3982">
            <w:pPr>
              <w:rPr>
                <w:rFonts w:cs="David" w:hint="cs"/>
                <w:b/>
                <w:bCs/>
                <w:rtl/>
              </w:rPr>
            </w:pPr>
            <w:r>
              <w:rPr>
                <w:rFonts w:cs="David" w:hint="cs"/>
                <w:b/>
                <w:bCs/>
                <w:rtl/>
              </w:rPr>
              <w:t>הנאשם בעצמו</w:t>
            </w:r>
          </w:p>
          <w:p w14:paraId="3C58400C" w14:textId="77777777" w:rsidR="008A3982" w:rsidRDefault="008A3982">
            <w:pPr>
              <w:rPr>
                <w:rFonts w:cs="David"/>
                <w:b/>
                <w:bCs/>
              </w:rPr>
            </w:pPr>
            <w:r>
              <w:rPr>
                <w:rFonts w:cs="David" w:hint="cs"/>
                <w:b/>
                <w:bCs/>
                <w:rtl/>
              </w:rPr>
              <w:t xml:space="preserve">ב"כ הנאשם עו"ד שירן ברגמן </w:t>
            </w:r>
          </w:p>
        </w:tc>
      </w:tr>
    </w:tbl>
    <w:p w14:paraId="611FAC08" w14:textId="77777777" w:rsidR="00F77080" w:rsidRDefault="00F77080">
      <w:pPr>
        <w:spacing w:line="360" w:lineRule="auto"/>
        <w:rPr>
          <w:rtl/>
        </w:rPr>
      </w:pPr>
      <w:bookmarkStart w:id="5" w:name="LawTable"/>
      <w:bookmarkEnd w:id="3"/>
      <w:bookmarkEnd w:id="5"/>
    </w:p>
    <w:p w14:paraId="17178B98" w14:textId="77777777" w:rsidR="00F77080" w:rsidRPr="00F77080" w:rsidRDefault="00F77080" w:rsidP="00F77080">
      <w:pPr>
        <w:spacing w:after="120" w:line="240" w:lineRule="exact"/>
        <w:ind w:left="283" w:hanging="283"/>
        <w:rPr>
          <w:rFonts w:ascii="FrankRuehl" w:hAnsi="FrankRuehl" w:cs="FrankRuehl"/>
          <w:sz w:val="24"/>
          <w:szCs w:val="24"/>
          <w:rtl/>
        </w:rPr>
      </w:pPr>
    </w:p>
    <w:p w14:paraId="7D531424" w14:textId="77777777" w:rsidR="00F77080" w:rsidRPr="00F77080" w:rsidRDefault="00F77080" w:rsidP="00F77080">
      <w:pPr>
        <w:spacing w:after="120" w:line="240" w:lineRule="exact"/>
        <w:ind w:left="283" w:hanging="283"/>
        <w:rPr>
          <w:rFonts w:ascii="FrankRuehl" w:hAnsi="FrankRuehl" w:cs="FrankRuehl"/>
          <w:sz w:val="24"/>
          <w:szCs w:val="24"/>
          <w:rtl/>
        </w:rPr>
      </w:pPr>
      <w:r w:rsidRPr="00F77080">
        <w:rPr>
          <w:rFonts w:ascii="FrankRuehl" w:hAnsi="FrankRuehl" w:cs="FrankRuehl"/>
          <w:sz w:val="24"/>
          <w:szCs w:val="24"/>
          <w:rtl/>
        </w:rPr>
        <w:t xml:space="preserve">חקיקה שאוזכרה: </w:t>
      </w:r>
    </w:p>
    <w:p w14:paraId="7738A5AE" w14:textId="77777777" w:rsidR="00F77080" w:rsidRPr="00F77080" w:rsidRDefault="00F77080" w:rsidP="00F77080">
      <w:pPr>
        <w:spacing w:after="120" w:line="240" w:lineRule="exact"/>
        <w:ind w:left="283" w:hanging="283"/>
        <w:rPr>
          <w:rFonts w:ascii="FrankRuehl" w:hAnsi="FrankRuehl" w:cs="FrankRuehl"/>
          <w:sz w:val="24"/>
          <w:szCs w:val="24"/>
          <w:rtl/>
        </w:rPr>
      </w:pPr>
      <w:hyperlink r:id="rId6" w:history="1">
        <w:r w:rsidRPr="00F77080">
          <w:rPr>
            <w:rFonts w:ascii="FrankRuehl" w:hAnsi="FrankRuehl" w:cs="FrankRuehl"/>
            <w:color w:val="0000FF"/>
            <w:sz w:val="24"/>
            <w:szCs w:val="24"/>
            <w:u w:val="single"/>
            <w:rtl/>
          </w:rPr>
          <w:t>חוק העונשין, תשל"ז-1977</w:t>
        </w:r>
      </w:hyperlink>
      <w:r w:rsidRPr="00F77080">
        <w:rPr>
          <w:rFonts w:ascii="FrankRuehl" w:hAnsi="FrankRuehl" w:cs="FrankRuehl"/>
          <w:sz w:val="24"/>
          <w:szCs w:val="24"/>
          <w:rtl/>
        </w:rPr>
        <w:t xml:space="preserve">: סע'  </w:t>
      </w:r>
      <w:hyperlink r:id="rId7" w:history="1">
        <w:r w:rsidRPr="00F77080">
          <w:rPr>
            <w:rFonts w:ascii="FrankRuehl" w:hAnsi="FrankRuehl" w:cs="FrankRuehl"/>
            <w:color w:val="0000FF"/>
            <w:sz w:val="24"/>
            <w:szCs w:val="24"/>
            <w:u w:val="single"/>
            <w:rtl/>
          </w:rPr>
          <w:t>348(ו)</w:t>
        </w:r>
      </w:hyperlink>
      <w:r w:rsidRPr="00F77080">
        <w:rPr>
          <w:rFonts w:ascii="FrankRuehl" w:hAnsi="FrankRuehl" w:cs="FrankRuehl"/>
          <w:sz w:val="24"/>
          <w:szCs w:val="24"/>
          <w:rtl/>
        </w:rPr>
        <w:t xml:space="preserve">, </w:t>
      </w:r>
      <w:hyperlink r:id="rId8" w:history="1">
        <w:r w:rsidRPr="00F77080">
          <w:rPr>
            <w:rFonts w:ascii="FrankRuehl" w:hAnsi="FrankRuehl" w:cs="FrankRuehl"/>
            <w:color w:val="0000FF"/>
            <w:sz w:val="24"/>
            <w:szCs w:val="24"/>
            <w:u w:val="single"/>
            <w:rtl/>
          </w:rPr>
          <w:t>349</w:t>
        </w:r>
      </w:hyperlink>
      <w:r w:rsidRPr="00F77080">
        <w:rPr>
          <w:rFonts w:ascii="FrankRuehl" w:hAnsi="FrankRuehl" w:cs="FrankRuehl"/>
          <w:sz w:val="24"/>
          <w:szCs w:val="24"/>
          <w:rtl/>
        </w:rPr>
        <w:t xml:space="preserve">, </w:t>
      </w:r>
      <w:hyperlink r:id="rId9" w:history="1">
        <w:r w:rsidRPr="00F77080">
          <w:rPr>
            <w:rFonts w:ascii="FrankRuehl" w:hAnsi="FrankRuehl" w:cs="FrankRuehl"/>
            <w:color w:val="0000FF"/>
            <w:sz w:val="24"/>
            <w:szCs w:val="24"/>
            <w:u w:val="single"/>
            <w:rtl/>
          </w:rPr>
          <w:t>349(א)</w:t>
        </w:r>
      </w:hyperlink>
      <w:r w:rsidRPr="00F77080">
        <w:rPr>
          <w:rFonts w:ascii="FrankRuehl" w:hAnsi="FrankRuehl" w:cs="FrankRuehl"/>
          <w:sz w:val="24"/>
          <w:szCs w:val="24"/>
          <w:rtl/>
        </w:rPr>
        <w:t xml:space="preserve">, </w:t>
      </w:r>
      <w:hyperlink r:id="rId10" w:history="1">
        <w:r w:rsidRPr="00F77080">
          <w:rPr>
            <w:rFonts w:ascii="FrankRuehl" w:hAnsi="FrankRuehl" w:cs="FrankRuehl"/>
            <w:color w:val="0000FF"/>
            <w:sz w:val="24"/>
            <w:szCs w:val="24"/>
            <w:u w:val="single"/>
            <w:rtl/>
          </w:rPr>
          <w:t>34כד</w:t>
        </w:r>
      </w:hyperlink>
    </w:p>
    <w:p w14:paraId="5339071C" w14:textId="77777777" w:rsidR="00F77080" w:rsidRPr="00F77080" w:rsidRDefault="00F77080" w:rsidP="00F77080">
      <w:pPr>
        <w:spacing w:after="120" w:line="240" w:lineRule="exact"/>
        <w:ind w:left="283" w:hanging="283"/>
        <w:rPr>
          <w:rFonts w:ascii="FrankRuehl" w:hAnsi="FrankRuehl" w:cs="FrankRuehl"/>
          <w:sz w:val="24"/>
          <w:szCs w:val="24"/>
          <w:rtl/>
        </w:rPr>
      </w:pPr>
    </w:p>
    <w:p w14:paraId="4DD2A399" w14:textId="77777777" w:rsidR="00F77080" w:rsidRPr="00F77080" w:rsidRDefault="00F77080">
      <w:pPr>
        <w:spacing w:line="360" w:lineRule="auto"/>
        <w:rPr>
          <w:rtl/>
        </w:rPr>
      </w:pPr>
      <w:bookmarkStart w:id="6" w:name="LawTable_End"/>
      <w:bookmarkEnd w:id="6"/>
    </w:p>
    <w:p w14:paraId="24DB0A09" w14:textId="77777777" w:rsidR="00F77080" w:rsidRPr="00F77080" w:rsidRDefault="00F77080">
      <w:pPr>
        <w:spacing w:line="360" w:lineRule="auto"/>
        <w:rPr>
          <w:rtl/>
        </w:rPr>
      </w:pPr>
    </w:p>
    <w:p w14:paraId="021CD2DD" w14:textId="77777777" w:rsidR="00F77080" w:rsidRPr="00F77080" w:rsidRDefault="00F77080">
      <w:pPr>
        <w:spacing w:line="360" w:lineRule="auto"/>
        <w:rPr>
          <w:rtl/>
        </w:rPr>
      </w:pPr>
    </w:p>
    <w:p w14:paraId="26D228BA" w14:textId="77777777" w:rsidR="000B1667" w:rsidRPr="00F77080" w:rsidRDefault="000B1667">
      <w:pPr>
        <w:spacing w:line="360" w:lineRule="auto"/>
        <w:rPr>
          <w:rtl/>
        </w:rPr>
      </w:pPr>
    </w:p>
    <w:p w14:paraId="67712323" w14:textId="77777777" w:rsidR="00787924" w:rsidRPr="00787924" w:rsidRDefault="00787924">
      <w:pPr>
        <w:spacing w:line="360" w:lineRule="auto"/>
        <w:jc w:val="center"/>
        <w:rPr>
          <w:rFonts w:cs="David"/>
          <w:spacing w:val="140"/>
          <w:sz w:val="32"/>
          <w:szCs w:val="32"/>
          <w:rtl/>
        </w:rPr>
      </w:pPr>
      <w:bookmarkStart w:id="7" w:name="סוג_מסמך"/>
      <w:bookmarkEnd w:id="7"/>
    </w:p>
    <w:p w14:paraId="7A5DF610" w14:textId="77777777" w:rsidR="00787924" w:rsidRPr="00787924" w:rsidRDefault="00787924">
      <w:pPr>
        <w:spacing w:line="360" w:lineRule="auto"/>
        <w:jc w:val="center"/>
        <w:rPr>
          <w:rFonts w:cs="David"/>
          <w:b/>
          <w:bCs/>
          <w:spacing w:val="140"/>
          <w:sz w:val="32"/>
          <w:szCs w:val="32"/>
          <w:rtl/>
        </w:rPr>
      </w:pPr>
    </w:p>
    <w:p w14:paraId="01B5C9CA" w14:textId="77777777" w:rsidR="000B1667" w:rsidRPr="00787924" w:rsidRDefault="000B1667">
      <w:pPr>
        <w:spacing w:line="360" w:lineRule="auto"/>
        <w:jc w:val="center"/>
        <w:rPr>
          <w:rFonts w:cs="David"/>
          <w:b/>
          <w:bCs/>
          <w:spacing w:val="140"/>
          <w:sz w:val="32"/>
          <w:szCs w:val="32"/>
          <w:rtl/>
        </w:rPr>
      </w:pPr>
    </w:p>
    <w:p w14:paraId="360AF52B" w14:textId="77777777" w:rsidR="000B1667" w:rsidRDefault="000B1667">
      <w:pPr>
        <w:jc w:val="center"/>
        <w:rPr>
          <w:rFonts w:cs="David"/>
          <w:b/>
          <w:bCs/>
          <w:spacing w:val="140"/>
          <w:sz w:val="32"/>
          <w:szCs w:val="32"/>
          <w:u w:val="single"/>
          <w:rtl/>
        </w:rPr>
      </w:pPr>
      <w:bookmarkStart w:id="8" w:name="PsakDin"/>
      <w:bookmarkEnd w:id="0"/>
      <w:r>
        <w:rPr>
          <w:rFonts w:cs="David"/>
          <w:b/>
          <w:bCs/>
          <w:spacing w:val="140"/>
          <w:sz w:val="32"/>
          <w:szCs w:val="32"/>
          <w:u w:val="single"/>
          <w:rtl/>
        </w:rPr>
        <w:t>הכרעת דין</w:t>
      </w:r>
    </w:p>
    <w:bookmarkEnd w:id="8"/>
    <w:p w14:paraId="5D6C4199" w14:textId="77777777" w:rsidR="000B1667" w:rsidRDefault="000B1667">
      <w:pPr>
        <w:rPr>
          <w:rFonts w:hint="cs"/>
          <w:rtl/>
        </w:rPr>
      </w:pPr>
    </w:p>
    <w:p w14:paraId="1D1D664C" w14:textId="77777777" w:rsidR="000B1667" w:rsidRDefault="000B1667">
      <w:pPr>
        <w:spacing w:line="480" w:lineRule="auto"/>
        <w:ind w:left="568" w:hanging="568"/>
        <w:rPr>
          <w:rFonts w:cs="David"/>
          <w:szCs w:val="24"/>
          <w:rtl/>
        </w:rPr>
      </w:pPr>
      <w:r>
        <w:rPr>
          <w:rFonts w:cs="David" w:hint="cs"/>
          <w:szCs w:val="24"/>
          <w:rtl/>
        </w:rPr>
        <w:tab/>
      </w:r>
      <w:bookmarkStart w:id="9" w:name="ABSTRACT_START"/>
      <w:bookmarkEnd w:id="9"/>
      <w:r>
        <w:rPr>
          <w:rFonts w:cs="David" w:hint="cs"/>
          <w:szCs w:val="24"/>
          <w:rtl/>
        </w:rPr>
        <w:t>בכתב האישום שהוגש נגד הנאשם נאמר בפרק העובדות כי בתאריך 15.6.03 בשעת בוקר, ברחוב יונה הנביא בבני-ברק, חשף הנאשם את אבר מינו בפני יהודית קליין-רובינפלד (להלן: "המתלוננת") שהלכה ברחוב</w:t>
      </w:r>
      <w:bookmarkStart w:id="10" w:name="ABSTRACT_END"/>
      <w:bookmarkEnd w:id="10"/>
      <w:r>
        <w:rPr>
          <w:rFonts w:cs="David" w:hint="cs"/>
          <w:szCs w:val="24"/>
          <w:rtl/>
        </w:rPr>
        <w:t>.</w:t>
      </w:r>
    </w:p>
    <w:p w14:paraId="0BEA31AD" w14:textId="77777777" w:rsidR="000B1667" w:rsidRDefault="000B1667">
      <w:pPr>
        <w:spacing w:line="480" w:lineRule="auto"/>
        <w:rPr>
          <w:rFonts w:cs="David" w:hint="cs"/>
          <w:szCs w:val="24"/>
          <w:rtl/>
        </w:rPr>
      </w:pPr>
      <w:r>
        <w:rPr>
          <w:rFonts w:cs="David" w:hint="cs"/>
          <w:szCs w:val="24"/>
          <w:rtl/>
        </w:rPr>
        <w:t xml:space="preserve">התביעה מייחסת לנאשם עבירה של מעשה מגונה בפומבי, לפי </w:t>
      </w:r>
      <w:hyperlink r:id="rId11" w:history="1">
        <w:r w:rsidR="00F77080" w:rsidRPr="00F77080">
          <w:rPr>
            <w:rFonts w:cs="David"/>
            <w:color w:val="0000FF"/>
            <w:szCs w:val="24"/>
            <w:u w:val="single"/>
            <w:rtl/>
          </w:rPr>
          <w:t>סעיף 349(א)</w:t>
        </w:r>
      </w:hyperlink>
      <w:r>
        <w:rPr>
          <w:rFonts w:cs="David" w:hint="cs"/>
          <w:szCs w:val="24"/>
          <w:rtl/>
        </w:rPr>
        <w:t xml:space="preserve"> ל</w:t>
      </w:r>
      <w:hyperlink r:id="rId12" w:history="1">
        <w:r w:rsidR="00787924" w:rsidRPr="00787924">
          <w:rPr>
            <w:rStyle w:val="Hyperlink"/>
            <w:rFonts w:cs="David" w:hint="eastAsia"/>
            <w:szCs w:val="24"/>
            <w:rtl/>
          </w:rPr>
          <w:t>חוק</w:t>
        </w:r>
        <w:r w:rsidR="00787924" w:rsidRPr="00787924">
          <w:rPr>
            <w:rStyle w:val="Hyperlink"/>
            <w:rFonts w:cs="David"/>
            <w:szCs w:val="24"/>
            <w:rtl/>
          </w:rPr>
          <w:t xml:space="preserve"> העונשין</w:t>
        </w:r>
      </w:hyperlink>
      <w:r>
        <w:rPr>
          <w:rFonts w:cs="David" w:hint="cs"/>
          <w:szCs w:val="24"/>
          <w:rtl/>
        </w:rPr>
        <w:t>, תשל"ז-1977 (להלן: "חוק העונשין").</w:t>
      </w:r>
    </w:p>
    <w:p w14:paraId="328078F0" w14:textId="77777777" w:rsidR="000B1667" w:rsidRDefault="000B1667">
      <w:pPr>
        <w:spacing w:line="480" w:lineRule="auto"/>
        <w:rPr>
          <w:rFonts w:cs="David" w:hint="cs"/>
          <w:szCs w:val="24"/>
          <w:rtl/>
        </w:rPr>
      </w:pPr>
    </w:p>
    <w:p w14:paraId="05AC66C8" w14:textId="77777777" w:rsidR="008A3982" w:rsidRPr="008A3982" w:rsidRDefault="008A3982">
      <w:pPr>
        <w:spacing w:line="480" w:lineRule="auto"/>
        <w:rPr>
          <w:rFonts w:cs="David" w:hint="cs"/>
          <w:color w:val="FFFFFF"/>
          <w:sz w:val="4"/>
          <w:szCs w:val="4"/>
          <w:rtl/>
        </w:rPr>
      </w:pPr>
    </w:p>
    <w:p w14:paraId="41EFC718" w14:textId="77777777" w:rsidR="000B1667" w:rsidRDefault="008A3982">
      <w:pPr>
        <w:spacing w:line="480" w:lineRule="auto"/>
        <w:rPr>
          <w:rFonts w:cs="David" w:hint="cs"/>
          <w:color w:val="FFFFFF"/>
          <w:sz w:val="4"/>
          <w:szCs w:val="4"/>
          <w:rtl/>
        </w:rPr>
      </w:pPr>
      <w:r w:rsidRPr="008A3982">
        <w:rPr>
          <w:rFonts w:cs="David"/>
          <w:color w:val="FFFFFF"/>
          <w:sz w:val="4"/>
          <w:szCs w:val="4"/>
          <w:rtl/>
        </w:rPr>
        <w:t>5129371</w:t>
      </w:r>
    </w:p>
    <w:p w14:paraId="26B5C5A7" w14:textId="77777777" w:rsidR="000B1667" w:rsidRDefault="000B1667">
      <w:pPr>
        <w:spacing w:line="480" w:lineRule="auto"/>
        <w:rPr>
          <w:rFonts w:cs="David" w:hint="cs"/>
          <w:szCs w:val="24"/>
          <w:rtl/>
        </w:rPr>
      </w:pPr>
      <w:r>
        <w:rPr>
          <w:rFonts w:cs="David"/>
          <w:color w:val="FFFFFF"/>
          <w:sz w:val="4"/>
          <w:szCs w:val="4"/>
          <w:rtl/>
        </w:rPr>
        <w:t>5129371</w:t>
      </w:r>
      <w:r>
        <w:rPr>
          <w:rFonts w:cs="David" w:hint="cs"/>
          <w:szCs w:val="24"/>
          <w:rtl/>
        </w:rPr>
        <w:t>עיקר התשתית הראייתית שהניחה התביעה - עדותה של המתלוננת, תושבת בני-ברק, שהיתה כבת 19 שנה במועד האירוע.</w:t>
      </w:r>
      <w:r>
        <w:rPr>
          <w:rFonts w:cs="David"/>
          <w:color w:val="FFFFFF"/>
          <w:sz w:val="4"/>
          <w:szCs w:val="4"/>
          <w:rtl/>
        </w:rPr>
        <w:t>נ</w:t>
      </w:r>
    </w:p>
    <w:p w14:paraId="266C5AA8" w14:textId="77777777" w:rsidR="000B1667" w:rsidRDefault="000B1667">
      <w:pPr>
        <w:spacing w:line="480" w:lineRule="auto"/>
        <w:rPr>
          <w:rFonts w:cs="David" w:hint="cs"/>
          <w:szCs w:val="24"/>
          <w:rtl/>
        </w:rPr>
      </w:pPr>
      <w:r>
        <w:rPr>
          <w:rFonts w:cs="David" w:hint="cs"/>
          <w:szCs w:val="24"/>
          <w:rtl/>
        </w:rPr>
        <w:t xml:space="preserve">בעדותה סיפרה המתלוננת כי במועד האירוע צעד הנאשם בעקבותיה ברחוב יונה הנביא; תשומת ליבה הוסבה אליו עקב קולות שהשמיע מאחוריה, ומשהתבוננה לאחור - הוא נופף אליה לשלום. בהמשך, סיפרה, לאחר ששהתה זמן מה בחנות והמשיכה בדרכה, הוסבה תשומת ליבה שנית אל אותו אדם (הוא הנאשם); הפעם עמד בינות לעמודי בניין, במרחק קצר ממנה, מכנסיו מופשלות, והוא החזיק בידו את אבר מינו, שנראה לה "קשה", וקרץ אליה בעינו. </w:t>
      </w:r>
    </w:p>
    <w:p w14:paraId="25DEA158" w14:textId="77777777" w:rsidR="000B1667" w:rsidRDefault="000B1667">
      <w:pPr>
        <w:spacing w:line="480" w:lineRule="auto"/>
        <w:rPr>
          <w:rFonts w:cs="David" w:hint="cs"/>
          <w:szCs w:val="24"/>
          <w:rtl/>
        </w:rPr>
      </w:pPr>
      <w:r>
        <w:rPr>
          <w:rFonts w:cs="David" w:hint="cs"/>
          <w:szCs w:val="24"/>
          <w:rtl/>
        </w:rPr>
        <w:t xml:space="preserve">מראה זה, סיפרה המתלוננת, גרם לה להימלט בבהלה מהמקום, ומאוחר יותר דיווחה על שהתרחש לרב שלמה לוינשטיין, העומד בראש "משמרת הקודש והחינוך" הפועלת בבני-ברק, והוא זה שהפנה אותה למשטרה להגשת תלונה. לדבריה, על פי התיאור שמסרה לו, ידע הרב לוינשטיין לזהות את האדם נשוא תלונתה. </w:t>
      </w:r>
    </w:p>
    <w:p w14:paraId="68E07D4A" w14:textId="77777777" w:rsidR="000B1667" w:rsidRDefault="000B1667">
      <w:pPr>
        <w:spacing w:line="480" w:lineRule="auto"/>
        <w:rPr>
          <w:rFonts w:cs="David" w:hint="cs"/>
          <w:szCs w:val="24"/>
          <w:rtl/>
        </w:rPr>
      </w:pPr>
      <w:r>
        <w:rPr>
          <w:rFonts w:cs="David" w:hint="cs"/>
          <w:szCs w:val="24"/>
          <w:rtl/>
        </w:rPr>
        <w:t xml:space="preserve">ההגנה איננה חולקת על השתלשלות העובדות המתוארת לעיל, להוציא אותה "תמונה" אחרונה שתיארה המתלוננת, בגינה מיוחסת לנאשם העבירה של מעשה מגונה בפומבי, והפרשנות שייחסה המתלוננת לאותו מעשה. לטענת ההגנה, לא היתה לנאשם כוונה לבצע מעשה מגונה בפני המתלוננת וגם לא הוכחה כוונה כזו. </w:t>
      </w:r>
    </w:p>
    <w:p w14:paraId="0733754D" w14:textId="77777777" w:rsidR="000B1667" w:rsidRDefault="000B1667">
      <w:pPr>
        <w:spacing w:line="480" w:lineRule="auto"/>
        <w:rPr>
          <w:rFonts w:cs="David" w:hint="cs"/>
          <w:szCs w:val="24"/>
          <w:rtl/>
        </w:rPr>
      </w:pPr>
    </w:p>
    <w:p w14:paraId="5C27B049" w14:textId="77777777" w:rsidR="000B1667" w:rsidRDefault="000B1667">
      <w:pPr>
        <w:spacing w:line="480" w:lineRule="auto"/>
        <w:rPr>
          <w:rFonts w:cs="David" w:hint="cs"/>
          <w:szCs w:val="24"/>
          <w:rtl/>
        </w:rPr>
      </w:pPr>
      <w:r>
        <w:rPr>
          <w:rFonts w:cs="David" w:hint="cs"/>
          <w:szCs w:val="24"/>
          <w:rtl/>
        </w:rPr>
        <w:t xml:space="preserve">הנאשם העיד כי בעודו מהלך ברחוב יונה הנביא, נצרך לשירותים, ונכנס לחצרו של בניין סמוך, ואגב כך חלפה מעברו האחר של הכביש המתלוננת, שאותה כבר ראה קודם לכן בקצה השני של הרחוב. המתלוננת, אמר, ראתה אותו מטיל את מימיו, ותו לא: </w:t>
      </w:r>
      <w:r>
        <w:rPr>
          <w:rFonts w:cs="David" w:hint="cs"/>
          <w:b/>
          <w:bCs/>
          <w:szCs w:val="24"/>
          <w:rtl/>
        </w:rPr>
        <w:t>"תוך כדי שהייתי משתין היא כנראה שמעה אותי שוב שאני מדבר עם עצמי, עושה קולות כאלה, . . . ראתה אותי ותפסה ריצה וזהו"</w:t>
      </w:r>
      <w:r>
        <w:rPr>
          <w:rFonts w:cs="David" w:hint="cs"/>
          <w:szCs w:val="24"/>
          <w:rtl/>
        </w:rPr>
        <w:t xml:space="preserve"> (עמ' 12, ש' 17-19).</w:t>
      </w:r>
      <w:r>
        <w:rPr>
          <w:rFonts w:cs="David"/>
          <w:color w:val="FFFFFF"/>
          <w:sz w:val="4"/>
          <w:szCs w:val="4"/>
          <w:rtl/>
        </w:rPr>
        <w:t>ב</w:t>
      </w:r>
    </w:p>
    <w:p w14:paraId="79A2CBE3" w14:textId="77777777" w:rsidR="000B1667" w:rsidRDefault="000B1667">
      <w:pPr>
        <w:spacing w:line="480" w:lineRule="auto"/>
        <w:rPr>
          <w:rFonts w:cs="David" w:hint="cs"/>
          <w:szCs w:val="24"/>
          <w:rtl/>
        </w:rPr>
      </w:pPr>
    </w:p>
    <w:p w14:paraId="7574CED4" w14:textId="77777777" w:rsidR="000B1667" w:rsidRDefault="000B1667">
      <w:pPr>
        <w:spacing w:line="480" w:lineRule="auto"/>
        <w:rPr>
          <w:rFonts w:cs="David" w:hint="cs"/>
          <w:szCs w:val="24"/>
          <w:rtl/>
        </w:rPr>
      </w:pPr>
      <w:r>
        <w:rPr>
          <w:rFonts w:cs="David" w:hint="cs"/>
          <w:szCs w:val="24"/>
          <w:rtl/>
        </w:rPr>
        <w:t xml:space="preserve">ציר הדיון הוא </w:t>
      </w:r>
      <w:hyperlink r:id="rId13" w:history="1">
        <w:r w:rsidR="00F77080" w:rsidRPr="00F77080">
          <w:rPr>
            <w:rFonts w:cs="David"/>
            <w:color w:val="0000FF"/>
            <w:szCs w:val="24"/>
            <w:u w:val="single"/>
            <w:rtl/>
          </w:rPr>
          <w:t>סעיף 349(א)</w:t>
        </w:r>
      </w:hyperlink>
      <w:r>
        <w:rPr>
          <w:rFonts w:cs="David" w:hint="cs"/>
          <w:szCs w:val="24"/>
          <w:rtl/>
        </w:rPr>
        <w:t xml:space="preserve"> הקובע לאמור:</w:t>
      </w:r>
    </w:p>
    <w:p w14:paraId="1D2F9587" w14:textId="77777777" w:rsidR="000B1667" w:rsidRDefault="000B1667">
      <w:pPr>
        <w:spacing w:line="480" w:lineRule="auto"/>
        <w:rPr>
          <w:rFonts w:cs="David" w:hint="cs"/>
          <w:szCs w:val="24"/>
          <w:rtl/>
        </w:rPr>
      </w:pPr>
      <w:r>
        <w:rPr>
          <w:rFonts w:cs="David" w:hint="cs"/>
          <w:b/>
          <w:bCs/>
          <w:szCs w:val="24"/>
          <w:rtl/>
        </w:rPr>
        <w:t>העושה מעשה מגונה בפומבי בפני אדם אחר, ללא הסכמתו, או העושה מעשה כאמור . . . וכו', דינו - מאסר שנה.</w:t>
      </w:r>
      <w:r>
        <w:rPr>
          <w:rFonts w:cs="David"/>
          <w:b/>
          <w:bCs/>
          <w:color w:val="FFFFFF"/>
          <w:sz w:val="4"/>
          <w:szCs w:val="4"/>
          <w:rtl/>
        </w:rPr>
        <w:t>ו</w:t>
      </w:r>
    </w:p>
    <w:p w14:paraId="45880EEB" w14:textId="77777777" w:rsidR="000B1667" w:rsidRDefault="000B1667">
      <w:pPr>
        <w:pStyle w:val="BodyText2"/>
        <w:rPr>
          <w:rFonts w:hint="cs"/>
          <w:rtl/>
        </w:rPr>
      </w:pPr>
    </w:p>
    <w:p w14:paraId="0FB13407" w14:textId="77777777" w:rsidR="000B1667" w:rsidRDefault="000B1667">
      <w:pPr>
        <w:pStyle w:val="BodyText2"/>
        <w:rPr>
          <w:rFonts w:hint="cs"/>
          <w:rtl/>
        </w:rPr>
      </w:pPr>
      <w:r>
        <w:rPr>
          <w:rFonts w:hint="cs"/>
          <w:rtl/>
        </w:rPr>
        <w:lastRenderedPageBreak/>
        <w:t xml:space="preserve">עבירת המעשה המגונה, על פי ההגדרה </w:t>
      </w:r>
      <w:hyperlink r:id="rId14" w:history="1">
        <w:r w:rsidR="00F77080" w:rsidRPr="00F77080">
          <w:rPr>
            <w:color w:val="0000FF"/>
            <w:u w:val="single"/>
            <w:rtl/>
          </w:rPr>
          <w:t>שבסעיף 348(ו)</w:t>
        </w:r>
      </w:hyperlink>
      <w:r>
        <w:rPr>
          <w:rFonts w:hint="cs"/>
          <w:rtl/>
        </w:rPr>
        <w:t xml:space="preserve"> ל</w:t>
      </w:r>
      <w:hyperlink r:id="rId15" w:history="1">
        <w:r w:rsidR="00787924" w:rsidRPr="00787924">
          <w:rPr>
            <w:rStyle w:val="Hyperlink"/>
            <w:rFonts w:hint="eastAsia"/>
            <w:rtl/>
          </w:rPr>
          <w:t>חוק</w:t>
        </w:r>
        <w:r w:rsidR="00787924" w:rsidRPr="00787924">
          <w:rPr>
            <w:rStyle w:val="Hyperlink"/>
            <w:rtl/>
          </w:rPr>
          <w:t xml:space="preserve"> העונשין</w:t>
        </w:r>
      </w:hyperlink>
      <w:r>
        <w:rPr>
          <w:rFonts w:hint="cs"/>
          <w:rtl/>
        </w:rPr>
        <w:t xml:space="preserve">, היא עבירת התנהגות ששולב בה יסוד של מטרה מיוחדת - </w:t>
      </w:r>
      <w:r>
        <w:rPr>
          <w:rFonts w:hint="cs"/>
          <w:b/>
          <w:bCs/>
          <w:rtl/>
        </w:rPr>
        <w:t>לשם גירוי, סיפוק או ביזוי מיניים</w:t>
      </w:r>
      <w:r>
        <w:rPr>
          <w:rFonts w:hint="cs"/>
          <w:rtl/>
        </w:rPr>
        <w:t xml:space="preserve"> - אותה נועד המעשה להשיג.</w:t>
      </w:r>
      <w:r>
        <w:rPr>
          <w:color w:val="FFFFFF"/>
          <w:sz w:val="4"/>
          <w:szCs w:val="4"/>
          <w:rtl/>
        </w:rPr>
        <w:t>נ</w:t>
      </w:r>
    </w:p>
    <w:p w14:paraId="1C259E2D" w14:textId="77777777" w:rsidR="000B1667" w:rsidRDefault="000B1667">
      <w:pPr>
        <w:pStyle w:val="BodyText2"/>
        <w:rPr>
          <w:rFonts w:hint="cs"/>
          <w:rtl/>
        </w:rPr>
      </w:pPr>
    </w:p>
    <w:p w14:paraId="6A31EF93" w14:textId="77777777" w:rsidR="000B1667" w:rsidRDefault="000B1667">
      <w:pPr>
        <w:pStyle w:val="BodyText2"/>
        <w:rPr>
          <w:rFonts w:hint="cs"/>
          <w:rtl/>
        </w:rPr>
      </w:pPr>
      <w:r>
        <w:rPr>
          <w:rFonts w:hint="cs"/>
          <w:rtl/>
        </w:rPr>
        <w:t xml:space="preserve">כדי לעמוד בעול ההוכחה הנדרש, על התביעה להוכיח את אופיו המגונה של המעשה, וכן, את המטרה שבצדו - מטרה של גירוי, סיפוק יצר מיני או ביזוי מיני; על התביעה להוכיח, בנוסף, שהמעשה נעשה בפומבי (כהגדרת המונח </w:t>
      </w:r>
      <w:r>
        <w:rPr>
          <w:rFonts w:hint="cs"/>
          <w:b/>
          <w:bCs/>
          <w:rtl/>
        </w:rPr>
        <w:t xml:space="preserve">"פומבי" </w:t>
      </w:r>
      <w:hyperlink r:id="rId16" w:history="1">
        <w:r w:rsidR="00F77080" w:rsidRPr="00F77080">
          <w:rPr>
            <w:color w:val="0000FF"/>
            <w:u w:val="single"/>
            <w:rtl/>
          </w:rPr>
          <w:t>בסעיף 34כד</w:t>
        </w:r>
      </w:hyperlink>
      <w:r>
        <w:rPr>
          <w:rFonts w:hint="cs"/>
          <w:rtl/>
        </w:rPr>
        <w:t xml:space="preserve"> ל</w:t>
      </w:r>
      <w:hyperlink r:id="rId17" w:history="1">
        <w:r w:rsidR="00787924" w:rsidRPr="00787924">
          <w:rPr>
            <w:rStyle w:val="Hyperlink"/>
            <w:rFonts w:hint="eastAsia"/>
            <w:rtl/>
          </w:rPr>
          <w:t>חוק</w:t>
        </w:r>
        <w:r w:rsidR="00787924" w:rsidRPr="00787924">
          <w:rPr>
            <w:rStyle w:val="Hyperlink"/>
            <w:rtl/>
          </w:rPr>
          <w:t xml:space="preserve"> העונשין</w:t>
        </w:r>
      </w:hyperlink>
      <w:r>
        <w:rPr>
          <w:rFonts w:hint="cs"/>
          <w:rtl/>
        </w:rPr>
        <w:t>), בפניו של אדם אחר, וללא הסכמתו של האחרון.</w:t>
      </w:r>
      <w:r>
        <w:rPr>
          <w:color w:val="FFFFFF"/>
          <w:sz w:val="4"/>
          <w:szCs w:val="4"/>
          <w:rtl/>
        </w:rPr>
        <w:t>ב</w:t>
      </w:r>
    </w:p>
    <w:p w14:paraId="18C0C255" w14:textId="77777777" w:rsidR="000B1667" w:rsidRDefault="000B1667">
      <w:pPr>
        <w:pStyle w:val="BodyText2"/>
        <w:rPr>
          <w:rFonts w:hint="cs"/>
          <w:rtl/>
        </w:rPr>
      </w:pPr>
    </w:p>
    <w:p w14:paraId="35EBE7E2" w14:textId="77777777" w:rsidR="000B1667" w:rsidRDefault="000B1667">
      <w:pPr>
        <w:spacing w:line="480" w:lineRule="auto"/>
        <w:rPr>
          <w:rFonts w:cs="David" w:hint="cs"/>
          <w:szCs w:val="24"/>
          <w:rtl/>
        </w:rPr>
      </w:pPr>
      <w:r>
        <w:rPr>
          <w:rFonts w:cs="David" w:hint="cs"/>
          <w:szCs w:val="24"/>
          <w:rtl/>
        </w:rPr>
        <w:t>עדותה של המתלוננת, שהיתה מהימנה עלי ללא סייג, מבססת את העובדות הנטענות כנגד הנאשם.</w:t>
      </w:r>
      <w:r>
        <w:rPr>
          <w:rFonts w:cs="David"/>
          <w:color w:val="FFFFFF"/>
          <w:sz w:val="4"/>
          <w:szCs w:val="4"/>
          <w:rtl/>
        </w:rPr>
        <w:t>ו</w:t>
      </w:r>
    </w:p>
    <w:p w14:paraId="362B9B00" w14:textId="77777777" w:rsidR="000B1667" w:rsidRDefault="000B1667">
      <w:pPr>
        <w:spacing w:line="480" w:lineRule="auto"/>
        <w:rPr>
          <w:rFonts w:cs="David" w:hint="cs"/>
          <w:szCs w:val="24"/>
          <w:rtl/>
        </w:rPr>
      </w:pPr>
      <w:r>
        <w:rPr>
          <w:rFonts w:cs="David" w:hint="cs"/>
          <w:szCs w:val="24"/>
          <w:rtl/>
        </w:rPr>
        <w:t>אשה צעירה, תמימת סבר ומראה, שדבריה ברורים, מושכלים וענייניים, זה הרושם שהותירה בי המתלוננת; הבחנתי בה שלא ששה לעמוד על דוכן העדים, וכי בשל צנעת הליכותיה, כשומרת מצוות, לא בקלות מסרה את הפרטים הכרוכים במעשיו של הנאשם ובאבר מינו שנראה לעיניה. למרות זאת, היתה עדותה בוטחת ובהירה, הגיונית, מפורטת וחותכת, עד שלא נותר בי ספק בכנותה ובאמינותה.</w:t>
      </w:r>
      <w:r>
        <w:rPr>
          <w:rFonts w:cs="David"/>
          <w:color w:val="FFFFFF"/>
          <w:sz w:val="4"/>
          <w:szCs w:val="4"/>
          <w:rtl/>
        </w:rPr>
        <w:t>נ</w:t>
      </w:r>
    </w:p>
    <w:p w14:paraId="41E616EE" w14:textId="77777777" w:rsidR="000B1667" w:rsidRDefault="000B1667">
      <w:pPr>
        <w:spacing w:line="480" w:lineRule="auto"/>
        <w:rPr>
          <w:rFonts w:cs="David" w:hint="cs"/>
          <w:szCs w:val="24"/>
          <w:rtl/>
        </w:rPr>
      </w:pPr>
      <w:r>
        <w:rPr>
          <w:rFonts w:cs="David" w:hint="cs"/>
          <w:szCs w:val="24"/>
          <w:rtl/>
        </w:rPr>
        <w:t>לפיכך, מהימנים על דברי המתלוננת כי הבחינה בנאשם שהלך אחריה ברחוב, השמיע קולות "פספוסים" וכשהסתכלה לאחור - נופף לה בידו; מהימנים עלי גם דבריה לפיהם ראתה כעבור זמן לא רב את הנאשם בין עמודיו של בניין מגורים, כשמכנסיו מופשלים, אוחז את אבר מינו בידו, מופנה לעברה, וקורץ אליה בעינו (עמ' 9, ש' 12-15).</w:t>
      </w:r>
      <w:r>
        <w:rPr>
          <w:rFonts w:cs="David"/>
          <w:color w:val="FFFFFF"/>
          <w:sz w:val="4"/>
          <w:szCs w:val="4"/>
          <w:rtl/>
        </w:rPr>
        <w:t>ב</w:t>
      </w:r>
    </w:p>
    <w:p w14:paraId="330A90B0" w14:textId="77777777" w:rsidR="000B1667" w:rsidRDefault="000B1667">
      <w:pPr>
        <w:pStyle w:val="Header"/>
        <w:tabs>
          <w:tab w:val="left" w:pos="720"/>
        </w:tabs>
        <w:spacing w:line="480" w:lineRule="auto"/>
        <w:rPr>
          <w:rFonts w:hint="cs"/>
          <w:rtl/>
        </w:rPr>
      </w:pPr>
      <w:r>
        <w:rPr>
          <w:rFonts w:hint="cs"/>
          <w:rtl/>
        </w:rPr>
        <w:t xml:space="preserve">ניסיונו של הסנגור להצביע על סתירות בגרסת המתלוננת, או להסיטה מגרסתה - לא צלח. </w:t>
      </w:r>
    </w:p>
    <w:p w14:paraId="375D7CD1" w14:textId="77777777" w:rsidR="000B1667" w:rsidRDefault="000B1667">
      <w:pPr>
        <w:pStyle w:val="Header"/>
        <w:tabs>
          <w:tab w:val="left" w:pos="720"/>
        </w:tabs>
        <w:spacing w:line="480" w:lineRule="auto"/>
        <w:rPr>
          <w:rFonts w:hint="cs"/>
          <w:rtl/>
        </w:rPr>
      </w:pPr>
    </w:p>
    <w:p w14:paraId="188A1F57" w14:textId="77777777" w:rsidR="000B1667" w:rsidRDefault="000B1667">
      <w:pPr>
        <w:pStyle w:val="Header"/>
        <w:tabs>
          <w:tab w:val="left" w:pos="720"/>
        </w:tabs>
        <w:spacing w:line="480" w:lineRule="auto"/>
        <w:rPr>
          <w:rFonts w:hint="cs"/>
          <w:rtl/>
        </w:rPr>
      </w:pPr>
      <w:r>
        <w:rPr>
          <w:rFonts w:hint="cs"/>
          <w:rtl/>
        </w:rPr>
        <w:t>הגרסה שמסרה המתלוננת בהודעתה במשטרה תאמה בכל את הגרסה שמסרה בעדותה; בזו האחרונה, הכחישה המתלוננת באורח חד משמעי את טענת הסנגור כי כל שראתה הוא את הנאשם מטיל את מימיו מאחורי שיח, וכי הלכה במועד האירוע בצדו האחר של הרחוב. המתלוננת עמדה על גרסתה, הכחישה שהלכה במדרכה השניה, והכחישה שהיו עצים בחצר; ניכרה התרגשות בקולה בהשיבה בהתרסה לשאלת הסנגור (בעמ' 10, ש' 9-13; עמ' 11, ש' 11-22):</w:t>
      </w:r>
    </w:p>
    <w:p w14:paraId="05E1160A" w14:textId="77777777" w:rsidR="000B1667" w:rsidRDefault="000B1667">
      <w:pPr>
        <w:pStyle w:val="Header"/>
        <w:tabs>
          <w:tab w:val="left" w:pos="720"/>
        </w:tabs>
        <w:spacing w:line="480" w:lineRule="auto"/>
        <w:ind w:left="991" w:right="567" w:hanging="425"/>
        <w:rPr>
          <w:rFonts w:hint="cs"/>
          <w:b/>
          <w:bCs/>
          <w:rtl/>
        </w:rPr>
      </w:pPr>
      <w:r>
        <w:rPr>
          <w:rFonts w:hint="cs"/>
          <w:b/>
          <w:bCs/>
          <w:rtl/>
        </w:rPr>
        <w:t>ש.</w:t>
      </w:r>
      <w:r>
        <w:rPr>
          <w:rFonts w:hint="cs"/>
          <w:b/>
          <w:bCs/>
          <w:rtl/>
        </w:rPr>
        <w:tab/>
        <w:t>הנאשם טוען שהוא בסך הכל ירד לבניין כדי לעשות פיפי וזאת לא עבירה פלילית.</w:t>
      </w:r>
      <w:r>
        <w:rPr>
          <w:b/>
          <w:bCs/>
          <w:color w:val="FFFFFF"/>
          <w:sz w:val="4"/>
          <w:szCs w:val="4"/>
          <w:rtl/>
        </w:rPr>
        <w:t>ו</w:t>
      </w:r>
    </w:p>
    <w:p w14:paraId="27173169" w14:textId="77777777" w:rsidR="000B1667" w:rsidRDefault="000B1667">
      <w:pPr>
        <w:pStyle w:val="Header"/>
        <w:tabs>
          <w:tab w:val="left" w:pos="720"/>
        </w:tabs>
        <w:spacing w:line="480" w:lineRule="auto"/>
        <w:ind w:left="991" w:right="567" w:hanging="425"/>
        <w:rPr>
          <w:rFonts w:hint="cs"/>
          <w:b/>
          <w:bCs/>
          <w:rtl/>
        </w:rPr>
      </w:pPr>
      <w:r>
        <w:rPr>
          <w:rFonts w:hint="cs"/>
          <w:b/>
          <w:bCs/>
          <w:rtl/>
        </w:rPr>
        <w:lastRenderedPageBreak/>
        <w:t xml:space="preserve">ת. </w:t>
      </w:r>
      <w:r>
        <w:rPr>
          <w:rFonts w:hint="cs"/>
          <w:b/>
          <w:bCs/>
          <w:rtl/>
        </w:rPr>
        <w:tab/>
        <w:t>זה לא מה שהיה. קודם כל הוא היה עם הפנים אלי והאבר היה בצורה מכוונת אלי. והוא קרץ בעין אלי. אני עוברת, הוא מפספס, אני מסתכלת והוא עושה לי קריצה עם העין  כשהאבר בידו.</w:t>
      </w:r>
      <w:r>
        <w:rPr>
          <w:b/>
          <w:bCs/>
          <w:color w:val="FFFFFF"/>
          <w:sz w:val="4"/>
          <w:szCs w:val="4"/>
          <w:rtl/>
        </w:rPr>
        <w:t>נ</w:t>
      </w:r>
    </w:p>
    <w:p w14:paraId="3FCF5054" w14:textId="77777777" w:rsidR="000B1667" w:rsidRDefault="000B1667">
      <w:pPr>
        <w:pStyle w:val="Header"/>
        <w:tabs>
          <w:tab w:val="left" w:pos="720"/>
        </w:tabs>
        <w:spacing w:line="480" w:lineRule="auto"/>
        <w:rPr>
          <w:rFonts w:hint="cs"/>
          <w:rtl/>
        </w:rPr>
      </w:pPr>
      <w:r>
        <w:rPr>
          <w:rFonts w:hint="cs"/>
          <w:rtl/>
        </w:rPr>
        <w:t>דברים כדורבנות שלא הותירו בי ספק כי האירוע התרחש כפי שתיארה אותו המתלוננת.</w:t>
      </w:r>
      <w:r>
        <w:rPr>
          <w:color w:val="FFFFFF"/>
          <w:sz w:val="4"/>
          <w:szCs w:val="4"/>
          <w:rtl/>
        </w:rPr>
        <w:t>ב</w:t>
      </w:r>
    </w:p>
    <w:p w14:paraId="0F496F6D" w14:textId="77777777" w:rsidR="000B1667" w:rsidRDefault="000B1667">
      <w:pPr>
        <w:pStyle w:val="Header"/>
        <w:tabs>
          <w:tab w:val="left" w:pos="720"/>
        </w:tabs>
        <w:spacing w:line="480" w:lineRule="auto"/>
        <w:rPr>
          <w:rFonts w:hint="cs"/>
          <w:rtl/>
        </w:rPr>
      </w:pPr>
    </w:p>
    <w:p w14:paraId="0F4451F6" w14:textId="77777777" w:rsidR="000B1667" w:rsidRDefault="000B1667">
      <w:pPr>
        <w:pStyle w:val="Header"/>
        <w:tabs>
          <w:tab w:val="left" w:pos="720"/>
        </w:tabs>
        <w:spacing w:line="480" w:lineRule="auto"/>
        <w:rPr>
          <w:rFonts w:hint="cs"/>
          <w:rtl/>
        </w:rPr>
      </w:pPr>
      <w:r>
        <w:rPr>
          <w:rFonts w:hint="cs"/>
          <w:rtl/>
        </w:rPr>
        <w:t>חיוני לציין, מן ההיבט הראייתי, כי מירב העובדות שעליהן העידה המתלוננת לא היו שנויות במחלוקת:</w:t>
      </w:r>
    </w:p>
    <w:p w14:paraId="4B090808" w14:textId="77777777" w:rsidR="000B1667" w:rsidRDefault="000B1667">
      <w:pPr>
        <w:pStyle w:val="Header"/>
        <w:tabs>
          <w:tab w:val="left" w:pos="720"/>
        </w:tabs>
        <w:spacing w:line="480" w:lineRule="auto"/>
        <w:rPr>
          <w:rFonts w:hint="cs"/>
          <w:b/>
          <w:bCs/>
          <w:rtl/>
        </w:rPr>
      </w:pPr>
      <w:r>
        <w:rPr>
          <w:rFonts w:hint="cs"/>
          <w:rtl/>
        </w:rPr>
        <w:t>הנאשם הודה בעדותו כי ראה את המתלוננת, קודם האירוע, צועדת לפניו ברחוב; הוא אישר כי בלכתו ברחוב השמיע קולות דיבור (</w:t>
      </w:r>
      <w:r>
        <w:rPr>
          <w:rFonts w:hint="cs"/>
          <w:b/>
          <w:bCs/>
          <w:rtl/>
        </w:rPr>
        <w:t>"הייתי מדבר עם עצמי לפעמים. משנן"</w:t>
      </w:r>
      <w:r>
        <w:rPr>
          <w:rFonts w:hint="cs"/>
          <w:rtl/>
        </w:rPr>
        <w:t xml:space="preserve">), ואחר הודה גם כי בעת שהשתין מתחת לבנין שמעה אותו המתלוננת כשדיבר עם עצמו, </w:t>
      </w:r>
      <w:r>
        <w:rPr>
          <w:rFonts w:hint="cs"/>
          <w:b/>
          <w:bCs/>
          <w:rtl/>
        </w:rPr>
        <w:t>"עושה קולות כאלה".</w:t>
      </w:r>
      <w:r>
        <w:rPr>
          <w:b/>
          <w:bCs/>
          <w:color w:val="FFFFFF"/>
          <w:sz w:val="4"/>
          <w:szCs w:val="4"/>
          <w:rtl/>
        </w:rPr>
        <w:t>ו</w:t>
      </w:r>
    </w:p>
    <w:p w14:paraId="3486078E" w14:textId="77777777" w:rsidR="000B1667" w:rsidRDefault="000B1667">
      <w:pPr>
        <w:pStyle w:val="Header"/>
        <w:tabs>
          <w:tab w:val="left" w:pos="720"/>
        </w:tabs>
        <w:spacing w:line="480" w:lineRule="auto"/>
        <w:rPr>
          <w:rFonts w:hint="cs"/>
          <w:rtl/>
        </w:rPr>
      </w:pPr>
      <w:r>
        <w:rPr>
          <w:rFonts w:hint="cs"/>
          <w:rtl/>
        </w:rPr>
        <w:t>באלה מצאתי אישור וחיזוק ראייתי לגרסת המתלוננת.</w:t>
      </w:r>
      <w:r>
        <w:rPr>
          <w:color w:val="FFFFFF"/>
          <w:sz w:val="4"/>
          <w:szCs w:val="4"/>
          <w:rtl/>
        </w:rPr>
        <w:t>נ</w:t>
      </w:r>
    </w:p>
    <w:p w14:paraId="14DC949A" w14:textId="77777777" w:rsidR="000B1667" w:rsidRDefault="000B1667">
      <w:pPr>
        <w:pStyle w:val="Header"/>
        <w:tabs>
          <w:tab w:val="left" w:pos="720"/>
        </w:tabs>
        <w:spacing w:line="480" w:lineRule="auto"/>
        <w:rPr>
          <w:rFonts w:hint="cs"/>
          <w:rtl/>
        </w:rPr>
      </w:pPr>
      <w:r>
        <w:rPr>
          <w:rFonts w:hint="cs"/>
          <w:rtl/>
        </w:rPr>
        <w:t xml:space="preserve">לגישתי, תורמים פנייתה התכופה ודיווחה של המתלוננת לרב לוינשטיין, כמצֻווה בעירה ועל פי אמונתה, למסקנה שדבריה נכוחים ומהימנים, שאם לא כך ארע - לא היתה אותה מתלוננת מדווחת מה שדיווחה. בשל כל אלה – היתה עדות המתלוננת בעיני כנה ואמינה.  </w:t>
      </w:r>
    </w:p>
    <w:p w14:paraId="6D3D8C65" w14:textId="77777777" w:rsidR="000B1667" w:rsidRDefault="000B1667">
      <w:pPr>
        <w:pStyle w:val="Header"/>
        <w:tabs>
          <w:tab w:val="left" w:pos="720"/>
        </w:tabs>
        <w:spacing w:line="480" w:lineRule="auto"/>
        <w:rPr>
          <w:rFonts w:hint="cs"/>
          <w:rtl/>
        </w:rPr>
      </w:pPr>
    </w:p>
    <w:p w14:paraId="6D3FDE39" w14:textId="77777777" w:rsidR="000B1667" w:rsidRDefault="000B1667">
      <w:pPr>
        <w:pStyle w:val="Header"/>
        <w:tabs>
          <w:tab w:val="left" w:pos="720"/>
        </w:tabs>
        <w:spacing w:line="480" w:lineRule="auto"/>
        <w:rPr>
          <w:rFonts w:hint="cs"/>
          <w:rtl/>
        </w:rPr>
      </w:pPr>
      <w:r>
        <w:rPr>
          <w:rFonts w:hint="cs"/>
          <w:rtl/>
        </w:rPr>
        <w:t>לא כך, עדות הנאשם; ולמרות שעמד על דעתו, וחזר בעדותו על הגרסה שמסר במשטרה, לפיה, הטיל בתמימות את מימיו בין עמודיו של בנין מגורים, ללא כוונת גירוי, או סיפוק מיני - לא היתה גרסתו כנה בעיני, ומצאתי אותה בלתי סבירה בעליל. אסביר מדוע:</w:t>
      </w:r>
    </w:p>
    <w:p w14:paraId="463D2153" w14:textId="77777777" w:rsidR="000B1667" w:rsidRDefault="000B1667">
      <w:pPr>
        <w:pStyle w:val="Header"/>
        <w:tabs>
          <w:tab w:val="left" w:pos="720"/>
        </w:tabs>
        <w:spacing w:line="480" w:lineRule="auto"/>
        <w:rPr>
          <w:rFonts w:hint="cs"/>
          <w:rtl/>
        </w:rPr>
      </w:pPr>
      <w:r>
        <w:rPr>
          <w:rFonts w:hint="cs"/>
          <w:rtl/>
        </w:rPr>
        <w:t>בנסיבות המקום והזמן שהובהרו, אין זה סביר ולא מתקבל על הדעת שאדם שומר מצוות יטיל מימיו בפומבי, בכניסה לבנין מגורים, סמוך מאוד למדרכה בה מהלכים תושבי ותושבות האזור, בעוד גופו ופניו מופנים לכיוון המדרכה; הדעת נותנת כי אדם הנזקק לשירותים ישים פעמיו לביתו (והרי אושר כי הנאשם מתגורר בסמוך מאוד לשם), או, למצער, ייכנס לעומק חצרו של בנין, מוסתר מעין כל.</w:t>
      </w:r>
      <w:r>
        <w:rPr>
          <w:color w:val="FFFFFF"/>
          <w:sz w:val="4"/>
          <w:szCs w:val="4"/>
          <w:rtl/>
        </w:rPr>
        <w:t>ב</w:t>
      </w:r>
    </w:p>
    <w:p w14:paraId="3234474B" w14:textId="77777777" w:rsidR="000B1667" w:rsidRDefault="000B1667">
      <w:pPr>
        <w:pStyle w:val="Header"/>
        <w:tabs>
          <w:tab w:val="left" w:pos="720"/>
        </w:tabs>
        <w:spacing w:line="480" w:lineRule="auto"/>
        <w:rPr>
          <w:rFonts w:hint="cs"/>
          <w:rtl/>
        </w:rPr>
      </w:pPr>
      <w:r>
        <w:rPr>
          <w:rFonts w:hint="cs"/>
          <w:rtl/>
        </w:rPr>
        <w:t>חשיבות לא מעט ייחסתי לעובדה שהנאשם הפגין בעת שנחקר במשטרה, ב-8.7.03, זכירה מעולה לגבי השתלשלותו של האירוע שהתרחש שלושה שבועות קודם לכן, ב-15.6.03; עיון בהודעת הנאשם מעלה כי זכר את מראה האשה שהלכה לפניו ברחוב יונה הנביא; הוא זכר את נתיב הליכתה ומעשיה; זכר שחבשה פאה, וזכר שראה שקית בידה לאחר שהתעכבה. הנאשם זכר כי שעה שהוציא את איבר מינו והטיל את מימיו אותה אשה הביטה לעברו, קלטה מה שקלטה, כדבריו, ו</w:t>
      </w:r>
      <w:r>
        <w:rPr>
          <w:rFonts w:hint="cs"/>
          <w:b/>
          <w:bCs/>
          <w:rtl/>
        </w:rPr>
        <w:t>"תפסה ריצה"</w:t>
      </w:r>
      <w:r>
        <w:rPr>
          <w:rFonts w:hint="cs"/>
          <w:rtl/>
        </w:rPr>
        <w:t xml:space="preserve"> (ת/1, ש' 9).</w:t>
      </w:r>
      <w:r>
        <w:rPr>
          <w:color w:val="FFFFFF"/>
          <w:sz w:val="4"/>
          <w:szCs w:val="4"/>
          <w:rtl/>
        </w:rPr>
        <w:t>ו</w:t>
      </w:r>
    </w:p>
    <w:p w14:paraId="1A9FCF6E" w14:textId="77777777" w:rsidR="000B1667" w:rsidRDefault="000B1667">
      <w:pPr>
        <w:pStyle w:val="Header"/>
        <w:tabs>
          <w:tab w:val="left" w:pos="720"/>
        </w:tabs>
        <w:spacing w:line="480" w:lineRule="auto"/>
        <w:rPr>
          <w:rFonts w:hint="cs"/>
          <w:rtl/>
        </w:rPr>
      </w:pPr>
      <w:r>
        <w:rPr>
          <w:rFonts w:hint="cs"/>
          <w:rtl/>
        </w:rPr>
        <w:t>אין זאת אלא שהאירוע שחווה הנאשם היה חריג ויוצא דופן, והותיר בו את רישומו, שאם לא כן, אילו מדובר היה בזוטות ובמעשה "השתנה" נטול כל חשיבות, אין לי ספק שפרטיו לא היו נחרטים בזיכרונו של הנאשם לזמן ממושך.</w:t>
      </w:r>
      <w:r>
        <w:rPr>
          <w:color w:val="FFFFFF"/>
          <w:sz w:val="4"/>
          <w:szCs w:val="4"/>
          <w:rtl/>
        </w:rPr>
        <w:t>נ</w:t>
      </w:r>
    </w:p>
    <w:p w14:paraId="7FE577DD" w14:textId="77777777" w:rsidR="000B1667" w:rsidRDefault="000B1667">
      <w:pPr>
        <w:pStyle w:val="Header"/>
        <w:tabs>
          <w:tab w:val="left" w:pos="720"/>
        </w:tabs>
        <w:spacing w:line="480" w:lineRule="auto"/>
        <w:rPr>
          <w:rFonts w:hint="cs"/>
          <w:rtl/>
        </w:rPr>
      </w:pPr>
      <w:r>
        <w:rPr>
          <w:rFonts w:hint="cs"/>
          <w:rtl/>
        </w:rPr>
        <w:t>לפיכך, סברתי, שהגרסה שמסר הנאשם היא גרסה אותה בדה מתוך מגמה להרחיק ממנו את האשמה.</w:t>
      </w:r>
      <w:r>
        <w:rPr>
          <w:color w:val="FFFFFF"/>
          <w:sz w:val="4"/>
          <w:szCs w:val="4"/>
          <w:rtl/>
        </w:rPr>
        <w:t>ב</w:t>
      </w:r>
    </w:p>
    <w:p w14:paraId="21344F60" w14:textId="77777777" w:rsidR="000B1667" w:rsidRDefault="000B1667">
      <w:pPr>
        <w:pStyle w:val="Header"/>
        <w:tabs>
          <w:tab w:val="left" w:pos="720"/>
        </w:tabs>
        <w:spacing w:line="480" w:lineRule="auto"/>
        <w:rPr>
          <w:rFonts w:hint="cs"/>
          <w:rtl/>
        </w:rPr>
      </w:pPr>
    </w:p>
    <w:p w14:paraId="6ED5D38A" w14:textId="77777777" w:rsidR="000B1667" w:rsidRDefault="000B1667">
      <w:pPr>
        <w:spacing w:line="480" w:lineRule="auto"/>
        <w:rPr>
          <w:rFonts w:cs="David" w:hint="cs"/>
          <w:szCs w:val="24"/>
          <w:rtl/>
        </w:rPr>
      </w:pPr>
      <w:r>
        <w:rPr>
          <w:rFonts w:cs="David" w:hint="cs"/>
          <w:szCs w:val="24"/>
          <w:rtl/>
        </w:rPr>
        <w:t xml:space="preserve">נוכח האמון שנתתי בגרסת המתלוננת, אני קובעת כממצא כי בתאריך 15.6.03, בשעת בוקר, חשף הנאשם ברחובה של עיר את אבר מינו בפני המתלוננת, עוברת אורח שחלפה ברחוב, ללא הסכמתה. </w:t>
      </w:r>
    </w:p>
    <w:p w14:paraId="1C2141C8" w14:textId="77777777" w:rsidR="000B1667" w:rsidRDefault="000B1667">
      <w:pPr>
        <w:spacing w:line="480" w:lineRule="auto"/>
        <w:rPr>
          <w:rFonts w:cs="David" w:hint="cs"/>
          <w:szCs w:val="24"/>
          <w:rtl/>
        </w:rPr>
      </w:pPr>
      <w:r>
        <w:rPr>
          <w:rFonts w:cs="David" w:hint="cs"/>
          <w:szCs w:val="24"/>
          <w:rtl/>
        </w:rPr>
        <w:t>נותרו לדיון שאלת אופיו המגונה של מעשה הנאשם וכוונתו בעת עשייתו.</w:t>
      </w:r>
      <w:r>
        <w:rPr>
          <w:rFonts w:cs="David"/>
          <w:color w:val="FFFFFF"/>
          <w:sz w:val="4"/>
          <w:szCs w:val="4"/>
          <w:rtl/>
        </w:rPr>
        <w:t>ו</w:t>
      </w:r>
    </w:p>
    <w:p w14:paraId="42E557D1" w14:textId="77777777" w:rsidR="000B1667" w:rsidRDefault="000B1667">
      <w:pPr>
        <w:spacing w:line="480" w:lineRule="auto"/>
        <w:rPr>
          <w:rFonts w:cs="David" w:hint="cs"/>
          <w:szCs w:val="24"/>
          <w:rtl/>
        </w:rPr>
      </w:pPr>
    </w:p>
    <w:p w14:paraId="7366D5AC" w14:textId="77777777" w:rsidR="000B1667" w:rsidRDefault="000B1667">
      <w:pPr>
        <w:spacing w:line="480" w:lineRule="auto"/>
        <w:rPr>
          <w:rFonts w:cs="David" w:hint="cs"/>
          <w:szCs w:val="24"/>
          <w:rtl/>
        </w:rPr>
      </w:pPr>
      <w:r>
        <w:rPr>
          <w:rFonts w:cs="David" w:hint="cs"/>
          <w:szCs w:val="24"/>
          <w:rtl/>
        </w:rPr>
        <w:t>על המונח 'מעשה מגונה' נאמר זה מכבר כי איננו ניתן להגדרה ממצה ומדויקת:</w:t>
      </w:r>
    </w:p>
    <w:p w14:paraId="4B202524" w14:textId="77777777" w:rsidR="000B1667" w:rsidRDefault="000B1667">
      <w:pPr>
        <w:spacing w:line="480" w:lineRule="auto"/>
        <w:ind w:left="566" w:right="567"/>
        <w:rPr>
          <w:rFonts w:cs="David" w:hint="cs"/>
          <w:szCs w:val="24"/>
          <w:rtl/>
        </w:rPr>
      </w:pPr>
      <w:r>
        <w:rPr>
          <w:rFonts w:cs="David" w:hint="cs"/>
          <w:b/>
          <w:bCs/>
          <w:szCs w:val="24"/>
          <w:rtl/>
        </w:rPr>
        <w:t>"דבר זה אין לך בו אלא מקומו ושעתו והשקפת החברה. ברוב המכריע של המקרים . . . מצוי במעשה זה יסוד של יצרי מין ..."</w:t>
      </w:r>
      <w:r>
        <w:rPr>
          <w:rFonts w:cs="David" w:hint="cs"/>
          <w:szCs w:val="24"/>
          <w:rtl/>
        </w:rPr>
        <w:t xml:space="preserve"> [דברי כב' השופט זילברג ב</w:t>
      </w:r>
      <w:hyperlink r:id="rId18" w:history="1">
        <w:r w:rsidR="00787924" w:rsidRPr="00787924">
          <w:rPr>
            <w:rStyle w:val="Hyperlink"/>
            <w:rFonts w:cs="David" w:hint="eastAsia"/>
            <w:szCs w:val="24"/>
            <w:rtl/>
          </w:rPr>
          <w:t>ע</w:t>
        </w:r>
        <w:r w:rsidR="00787924" w:rsidRPr="00787924">
          <w:rPr>
            <w:rStyle w:val="Hyperlink"/>
            <w:rFonts w:cs="David"/>
            <w:szCs w:val="24"/>
            <w:rtl/>
          </w:rPr>
          <w:t>"פ 315/58 ג'בארה נ' מדינת ישראל, פ"ד יג</w:t>
        </w:r>
      </w:hyperlink>
      <w:r>
        <w:rPr>
          <w:rFonts w:cs="David" w:hint="cs"/>
          <w:szCs w:val="24"/>
          <w:rtl/>
        </w:rPr>
        <w:t xml:space="preserve">, 566]. </w:t>
      </w:r>
    </w:p>
    <w:p w14:paraId="2B3DA115" w14:textId="77777777" w:rsidR="000B1667" w:rsidRDefault="000B1667">
      <w:pPr>
        <w:spacing w:line="480" w:lineRule="auto"/>
        <w:rPr>
          <w:rFonts w:cs="David" w:hint="cs"/>
          <w:szCs w:val="24"/>
          <w:rtl/>
        </w:rPr>
      </w:pPr>
    </w:p>
    <w:p w14:paraId="765975A5" w14:textId="77777777" w:rsidR="000B1667" w:rsidRDefault="000B1667">
      <w:pPr>
        <w:spacing w:line="480" w:lineRule="auto"/>
        <w:rPr>
          <w:rFonts w:cs="David" w:hint="cs"/>
          <w:szCs w:val="24"/>
          <w:rtl/>
        </w:rPr>
      </w:pPr>
      <w:r>
        <w:rPr>
          <w:rFonts w:cs="David" w:hint="cs"/>
          <w:szCs w:val="24"/>
          <w:rtl/>
        </w:rPr>
        <w:t>אופיו המגונה של מעשה נעוץ אפוא בהשלכתו המינית; והמבחן, על פי ההערכה המקובלת, הוא המבחן סובייקטיבי של תכלית עשיית המעשה (אף שיש כאלה הסבורים שראוי לאמץ את המבחן האובייקטיבי, קרי: הערכת המעשה בעיני האדם הסביר</w:t>
      </w:r>
      <w:r>
        <w:rPr>
          <w:rFonts w:cs="David" w:hint="cs"/>
          <w:sz w:val="30"/>
          <w:rtl/>
        </w:rPr>
        <w:t xml:space="preserve"> </w:t>
      </w:r>
      <w:r>
        <w:rPr>
          <w:rStyle w:val="FootnoteReference"/>
          <w:sz w:val="30"/>
        </w:rPr>
        <w:footnoteReference w:id="1"/>
      </w:r>
      <w:r>
        <w:rPr>
          <w:rFonts w:cs="David" w:hint="cs"/>
          <w:szCs w:val="24"/>
          <w:rtl/>
        </w:rPr>
        <w:t>).</w:t>
      </w:r>
      <w:r>
        <w:rPr>
          <w:rFonts w:cs="David"/>
          <w:color w:val="FFFFFF"/>
          <w:sz w:val="4"/>
          <w:szCs w:val="4"/>
          <w:rtl/>
        </w:rPr>
        <w:t>נ</w:t>
      </w:r>
    </w:p>
    <w:p w14:paraId="61034508" w14:textId="77777777" w:rsidR="000B1667" w:rsidRDefault="000B1667">
      <w:pPr>
        <w:spacing w:line="480" w:lineRule="auto"/>
        <w:rPr>
          <w:rFonts w:cs="David" w:hint="cs"/>
          <w:szCs w:val="24"/>
          <w:rtl/>
        </w:rPr>
      </w:pPr>
      <w:r>
        <w:rPr>
          <w:rFonts w:cs="David" w:hint="cs"/>
          <w:szCs w:val="24"/>
          <w:rtl/>
        </w:rPr>
        <w:t xml:space="preserve">ראו: </w:t>
      </w:r>
      <w:r>
        <w:rPr>
          <w:rFonts w:cs="David" w:hint="cs"/>
          <w:b/>
          <w:bCs/>
          <w:szCs w:val="24"/>
          <w:rtl/>
        </w:rPr>
        <w:t>י' קדמי, על הדין בפלילים</w:t>
      </w:r>
      <w:r>
        <w:rPr>
          <w:rFonts w:cs="David" w:hint="cs"/>
          <w:szCs w:val="24"/>
          <w:rtl/>
        </w:rPr>
        <w:t xml:space="preserve"> (הדין בראי הפסיקה), מהדורה משולבת ומעודכנת, תשנ"ה-1995, הוצאת דיונון, אוניברסיטת תל-אביב, חלק שני, מעמ' 779 ואילך, ובעיקר בעמ' 787-790.</w:t>
      </w:r>
      <w:r>
        <w:rPr>
          <w:rFonts w:cs="David"/>
          <w:color w:val="FFFFFF"/>
          <w:sz w:val="4"/>
          <w:szCs w:val="4"/>
          <w:rtl/>
        </w:rPr>
        <w:t>ב</w:t>
      </w:r>
    </w:p>
    <w:p w14:paraId="557C3B1E" w14:textId="77777777" w:rsidR="000B1667" w:rsidRDefault="000B1667">
      <w:pPr>
        <w:spacing w:line="480" w:lineRule="auto"/>
        <w:rPr>
          <w:rFonts w:cs="David" w:hint="cs"/>
          <w:szCs w:val="24"/>
          <w:rtl/>
        </w:rPr>
      </w:pPr>
      <w:r>
        <w:rPr>
          <w:rFonts w:cs="David" w:hint="cs"/>
          <w:szCs w:val="24"/>
          <w:rtl/>
        </w:rPr>
        <w:t xml:space="preserve">ראו גם: </w:t>
      </w:r>
      <w:hyperlink r:id="rId19" w:history="1">
        <w:r w:rsidR="00787924" w:rsidRPr="00787924">
          <w:rPr>
            <w:rStyle w:val="Hyperlink"/>
            <w:rFonts w:cs="David" w:hint="eastAsia"/>
            <w:szCs w:val="24"/>
            <w:rtl/>
          </w:rPr>
          <w:t>ע</w:t>
        </w:r>
        <w:r w:rsidR="00787924" w:rsidRPr="00787924">
          <w:rPr>
            <w:rStyle w:val="Hyperlink"/>
            <w:rFonts w:cs="David"/>
            <w:szCs w:val="24"/>
            <w:rtl/>
          </w:rPr>
          <w:t>"פ 616/83 מדינת ישראל נ' פליישמן פ"ד לט</w:t>
        </w:r>
      </w:hyperlink>
      <w:r>
        <w:rPr>
          <w:rFonts w:cs="David" w:hint="cs"/>
          <w:szCs w:val="24"/>
          <w:rtl/>
        </w:rPr>
        <w:t xml:space="preserve"> (1), 449.</w:t>
      </w:r>
      <w:r>
        <w:rPr>
          <w:rFonts w:cs="David"/>
          <w:color w:val="FFFFFF"/>
          <w:sz w:val="4"/>
          <w:szCs w:val="4"/>
          <w:rtl/>
        </w:rPr>
        <w:t>ו</w:t>
      </w:r>
    </w:p>
    <w:p w14:paraId="19F4C75E" w14:textId="77777777" w:rsidR="000B1667" w:rsidRDefault="000B1667">
      <w:pPr>
        <w:pStyle w:val="Header"/>
        <w:tabs>
          <w:tab w:val="left" w:pos="720"/>
        </w:tabs>
        <w:spacing w:line="480" w:lineRule="auto"/>
        <w:rPr>
          <w:rFonts w:hint="cs"/>
          <w:rtl/>
        </w:rPr>
      </w:pPr>
      <w:r>
        <w:rPr>
          <w:rFonts w:hint="cs"/>
          <w:rtl/>
        </w:rPr>
        <w:t xml:space="preserve">בל יישכח הרציונל העומד בבסיסו של האיסור </w:t>
      </w:r>
      <w:hyperlink r:id="rId20" w:history="1">
        <w:r w:rsidR="00F77080" w:rsidRPr="00F77080">
          <w:rPr>
            <w:color w:val="0000FF"/>
            <w:u w:val="single"/>
            <w:rtl/>
          </w:rPr>
          <w:t>שבסעיף 349(א)</w:t>
        </w:r>
      </w:hyperlink>
      <w:r>
        <w:rPr>
          <w:rFonts w:hint="cs"/>
          <w:rtl/>
        </w:rPr>
        <w:t xml:space="preserve"> ל</w:t>
      </w:r>
      <w:hyperlink r:id="rId21" w:history="1">
        <w:r w:rsidR="00787924" w:rsidRPr="00787924">
          <w:rPr>
            <w:rStyle w:val="Hyperlink"/>
            <w:rFonts w:hint="eastAsia"/>
            <w:rtl/>
          </w:rPr>
          <w:t>חוק</w:t>
        </w:r>
        <w:r w:rsidR="00787924" w:rsidRPr="00787924">
          <w:rPr>
            <w:rStyle w:val="Hyperlink"/>
            <w:rtl/>
          </w:rPr>
          <w:t xml:space="preserve"> העונשין</w:t>
        </w:r>
      </w:hyperlink>
      <w:r>
        <w:rPr>
          <w:rFonts w:hint="cs"/>
          <w:rtl/>
        </w:rPr>
        <w:t>, ותכליתו, להגן על ערכים חברתיים חשובים - שלומו וביטחונו של כל פרט בציבור, לבל ייפגעו ערכיו ושלוות רוחו.</w:t>
      </w:r>
      <w:r w:rsidR="008A3982" w:rsidRPr="008A3982">
        <w:rPr>
          <w:color w:val="FFFFFF"/>
          <w:sz w:val="4"/>
          <w:szCs w:val="4"/>
          <w:rtl/>
        </w:rPr>
        <w:t>נ</w:t>
      </w:r>
    </w:p>
    <w:p w14:paraId="5E910FFA" w14:textId="77777777" w:rsidR="000B1667" w:rsidRDefault="000B1667">
      <w:pPr>
        <w:pStyle w:val="Header"/>
        <w:tabs>
          <w:tab w:val="left" w:pos="720"/>
        </w:tabs>
        <w:spacing w:line="480" w:lineRule="auto"/>
        <w:rPr>
          <w:rFonts w:hint="cs"/>
          <w:rtl/>
        </w:rPr>
      </w:pPr>
      <w:r>
        <w:rPr>
          <w:rFonts w:hint="cs"/>
          <w:rtl/>
        </w:rPr>
        <w:t xml:space="preserve">    </w:t>
      </w:r>
    </w:p>
    <w:p w14:paraId="7E1ED7D0" w14:textId="77777777" w:rsidR="000B1667" w:rsidRDefault="000B1667">
      <w:pPr>
        <w:spacing w:line="480" w:lineRule="auto"/>
        <w:rPr>
          <w:rFonts w:cs="David" w:hint="cs"/>
          <w:szCs w:val="24"/>
          <w:rtl/>
        </w:rPr>
      </w:pPr>
      <w:r>
        <w:rPr>
          <w:rFonts w:cs="David" w:hint="cs"/>
          <w:szCs w:val="24"/>
          <w:rtl/>
        </w:rPr>
        <w:t xml:space="preserve">על פי הנסיבות שתיארה המתלוננת בעדותה – היא הלכה ברחוב וראתה את הנאשם עומד במרחק קצר ממנה, בין עמודיו של בנין מגורים, מכנסיו מופשלות, מחזיק בידו את אבר מינו, שנראה לה "קשה", וקורץ אליה בעינו; נסיבות אלו הנעוצות בהשלכתו המינית של המעשה, ובהתאם למבחן שנוקטת בו הפסיקה, שוכנעתי כי היתה למעשהו של הנאשם תכלית ברורה של גירוי וסיפוק מיני. בכך, עמדה התביעה בעול הוכחת יסודות העבירה לפי </w:t>
      </w:r>
      <w:hyperlink r:id="rId22" w:history="1">
        <w:r w:rsidR="00F77080" w:rsidRPr="00F77080">
          <w:rPr>
            <w:rFonts w:cs="David"/>
            <w:color w:val="0000FF"/>
            <w:szCs w:val="24"/>
            <w:u w:val="single"/>
            <w:rtl/>
          </w:rPr>
          <w:t>סעיף 349(א)</w:t>
        </w:r>
      </w:hyperlink>
      <w:r>
        <w:rPr>
          <w:rFonts w:cs="David" w:hint="cs"/>
          <w:szCs w:val="24"/>
          <w:rtl/>
        </w:rPr>
        <w:t xml:space="preserve"> ל</w:t>
      </w:r>
      <w:hyperlink r:id="rId23" w:history="1">
        <w:r w:rsidR="00787924" w:rsidRPr="00787924">
          <w:rPr>
            <w:rStyle w:val="Hyperlink"/>
            <w:rFonts w:cs="David" w:hint="eastAsia"/>
            <w:szCs w:val="24"/>
            <w:rtl/>
          </w:rPr>
          <w:t>חוק</w:t>
        </w:r>
        <w:r w:rsidR="00787924" w:rsidRPr="00787924">
          <w:rPr>
            <w:rStyle w:val="Hyperlink"/>
            <w:rFonts w:cs="David"/>
            <w:szCs w:val="24"/>
            <w:rtl/>
          </w:rPr>
          <w:t xml:space="preserve"> העונשין</w:t>
        </w:r>
      </w:hyperlink>
      <w:r>
        <w:rPr>
          <w:rFonts w:cs="David" w:hint="cs"/>
          <w:szCs w:val="24"/>
          <w:rtl/>
        </w:rPr>
        <w:t>.</w:t>
      </w:r>
      <w:r w:rsidR="008A3982" w:rsidRPr="008A3982">
        <w:rPr>
          <w:rFonts w:cs="David"/>
          <w:color w:val="FFFFFF"/>
          <w:sz w:val="4"/>
          <w:szCs w:val="4"/>
          <w:rtl/>
        </w:rPr>
        <w:t>ב</w:t>
      </w:r>
    </w:p>
    <w:p w14:paraId="004A3948" w14:textId="77777777" w:rsidR="000B1667" w:rsidRDefault="000B1667">
      <w:pPr>
        <w:spacing w:line="480" w:lineRule="auto"/>
        <w:rPr>
          <w:rFonts w:cs="David" w:hint="cs"/>
          <w:szCs w:val="12"/>
          <w:rtl/>
        </w:rPr>
      </w:pPr>
    </w:p>
    <w:p w14:paraId="3A84363B" w14:textId="77777777" w:rsidR="000B1667" w:rsidRDefault="000B1667">
      <w:pPr>
        <w:spacing w:line="480" w:lineRule="auto"/>
        <w:rPr>
          <w:rFonts w:cs="David" w:hint="cs"/>
          <w:b/>
          <w:bCs/>
          <w:szCs w:val="24"/>
          <w:rtl/>
        </w:rPr>
      </w:pPr>
      <w:r>
        <w:rPr>
          <w:rFonts w:cs="David" w:hint="cs"/>
          <w:szCs w:val="24"/>
          <w:rtl/>
        </w:rPr>
        <w:t xml:space="preserve">אני מרשיעה את הנאשם בעבירה של </w:t>
      </w:r>
      <w:r>
        <w:rPr>
          <w:rFonts w:cs="David" w:hint="cs"/>
          <w:b/>
          <w:bCs/>
          <w:szCs w:val="24"/>
          <w:rtl/>
        </w:rPr>
        <w:t>מעשה מגונה בפומבי.</w:t>
      </w:r>
      <w:r w:rsidR="008A3982" w:rsidRPr="008A3982">
        <w:rPr>
          <w:rFonts w:cs="David"/>
          <w:b/>
          <w:bCs/>
          <w:color w:val="FFFFFF"/>
          <w:sz w:val="4"/>
          <w:szCs w:val="4"/>
          <w:rtl/>
        </w:rPr>
        <w:t>ו</w:t>
      </w:r>
    </w:p>
    <w:p w14:paraId="7D213C50" w14:textId="77777777" w:rsidR="000B1667" w:rsidRDefault="000B1667">
      <w:pPr>
        <w:spacing w:line="480" w:lineRule="auto"/>
        <w:rPr>
          <w:rFonts w:cs="David" w:hint="cs"/>
          <w:b/>
          <w:bCs/>
          <w:szCs w:val="12"/>
          <w:rtl/>
        </w:rPr>
      </w:pPr>
    </w:p>
    <w:p w14:paraId="7F13D134" w14:textId="77777777" w:rsidR="000B1667" w:rsidRDefault="000B1667">
      <w:pPr>
        <w:rPr>
          <w:rFonts w:cs="David" w:hint="cs"/>
          <w:b/>
          <w:bCs/>
          <w:rtl/>
        </w:rPr>
      </w:pPr>
      <w:bookmarkStart w:id="11" w:name="Decision1"/>
      <w:r>
        <w:rPr>
          <w:rFonts w:cs="David" w:hint="cs"/>
          <w:b/>
          <w:bCs/>
          <w:rtl/>
        </w:rPr>
        <w:t>ניתנה היום 7.4.05 במעמד הצדדים.</w:t>
      </w:r>
      <w:r w:rsidR="008A3982" w:rsidRPr="008A3982">
        <w:rPr>
          <w:rFonts w:cs="David"/>
          <w:b/>
          <w:bCs/>
          <w:color w:val="FFFFFF"/>
          <w:sz w:val="4"/>
          <w:szCs w:val="4"/>
          <w:rtl/>
        </w:rPr>
        <w:t>נ</w:t>
      </w:r>
    </w:p>
    <w:p w14:paraId="364DB9BE" w14:textId="77777777" w:rsidR="000B1667" w:rsidRDefault="000B1667">
      <w:pPr>
        <w:rPr>
          <w:rFonts w:cs="David" w:hint="cs"/>
          <w:rtl/>
        </w:rPr>
      </w:pPr>
      <w:r>
        <w:rPr>
          <w:rFonts w:cs="David" w:hint="cs"/>
          <w:rtl/>
        </w:rPr>
        <w:t xml:space="preserve">                                                                                </w:t>
      </w:r>
    </w:p>
    <w:tbl>
      <w:tblPr>
        <w:bidiVisual/>
        <w:tblW w:w="2772" w:type="dxa"/>
        <w:tblInd w:w="5999" w:type="dxa"/>
        <w:tblBorders>
          <w:top w:val="single" w:sz="4" w:space="0" w:color="auto"/>
        </w:tblBorders>
        <w:tblLook w:val="0000" w:firstRow="0" w:lastRow="0" w:firstColumn="0" w:lastColumn="0" w:noHBand="0" w:noVBand="0"/>
      </w:tblPr>
      <w:tblGrid>
        <w:gridCol w:w="2772"/>
      </w:tblGrid>
      <w:tr w:rsidR="008A3982" w14:paraId="25BBC92F" w14:textId="77777777">
        <w:tc>
          <w:tcPr>
            <w:tcW w:w="2772" w:type="dxa"/>
            <w:tcBorders>
              <w:top w:val="single" w:sz="4" w:space="0" w:color="auto"/>
              <w:left w:val="nil"/>
              <w:bottom w:val="nil"/>
              <w:right w:val="nil"/>
            </w:tcBorders>
          </w:tcPr>
          <w:p w14:paraId="5EDB7F9E" w14:textId="77777777" w:rsidR="000B1667" w:rsidRDefault="000B1667">
            <w:pPr>
              <w:jc w:val="center"/>
              <w:rPr>
                <w:rFonts w:ascii="Arial" w:hAnsi="Arial" w:cs="David"/>
                <w:b/>
                <w:bCs/>
                <w:sz w:val="26"/>
              </w:rPr>
            </w:pPr>
            <w:r>
              <w:rPr>
                <w:rFonts w:ascii="Arial" w:hAnsi="Arial" w:cs="David" w:hint="cs"/>
                <w:b/>
                <w:bCs/>
                <w:sz w:val="26"/>
                <w:rtl/>
              </w:rPr>
              <w:t>שריזלי דניאלה, שופטת</w:t>
            </w:r>
          </w:p>
        </w:tc>
      </w:tr>
      <w:bookmarkEnd w:id="11"/>
    </w:tbl>
    <w:p w14:paraId="3021E26C" w14:textId="77777777" w:rsidR="000B1667" w:rsidRDefault="000B1667">
      <w:pPr>
        <w:jc w:val="right"/>
        <w:rPr>
          <w:rFonts w:hint="cs"/>
          <w:rtl/>
        </w:rPr>
      </w:pPr>
    </w:p>
    <w:p w14:paraId="1EF8149D" w14:textId="77777777" w:rsidR="000B1667" w:rsidRDefault="000B1667">
      <w:pPr>
        <w:overflowPunct w:val="0"/>
        <w:autoSpaceDE w:val="0"/>
        <w:autoSpaceDN w:val="0"/>
        <w:adjustRightInd w:val="0"/>
        <w:spacing w:line="360" w:lineRule="auto"/>
        <w:jc w:val="center"/>
        <w:rPr>
          <w:rFonts w:cs="David"/>
          <w:sz w:val="32"/>
          <w:rtl/>
        </w:rPr>
      </w:pPr>
      <w:r>
        <w:rPr>
          <w:rFonts w:cs="David" w:hint="cs"/>
          <w:b/>
          <w:bCs/>
          <w:sz w:val="28"/>
          <w:highlight w:val="cyan"/>
          <w:u w:val="single"/>
          <w:rtl/>
        </w:rPr>
        <w:t>טיעונים לעונש</w:t>
      </w:r>
    </w:p>
    <w:p w14:paraId="2E3B9A89" w14:textId="77777777" w:rsidR="000B1667" w:rsidRDefault="000B1667">
      <w:pPr>
        <w:overflowPunct w:val="0"/>
        <w:autoSpaceDE w:val="0"/>
        <w:autoSpaceDN w:val="0"/>
        <w:adjustRightInd w:val="0"/>
        <w:spacing w:line="360" w:lineRule="auto"/>
        <w:rPr>
          <w:rFonts w:cs="David" w:hint="cs"/>
          <w:b/>
          <w:bCs/>
          <w:rtl/>
        </w:rPr>
      </w:pPr>
    </w:p>
    <w:p w14:paraId="3FA448E5" w14:textId="77777777" w:rsidR="000B1667" w:rsidRDefault="000B1667">
      <w:pPr>
        <w:overflowPunct w:val="0"/>
        <w:autoSpaceDE w:val="0"/>
        <w:autoSpaceDN w:val="0"/>
        <w:adjustRightInd w:val="0"/>
        <w:spacing w:line="360" w:lineRule="auto"/>
        <w:rPr>
          <w:rFonts w:cs="David" w:hint="cs"/>
          <w:sz w:val="28"/>
          <w:rtl/>
        </w:rPr>
      </w:pPr>
      <w:r>
        <w:rPr>
          <w:rFonts w:cs="David" w:hint="cs"/>
          <w:b/>
          <w:bCs/>
          <w:sz w:val="28"/>
          <w:rtl/>
        </w:rPr>
        <w:t>ב"כ המאשימה</w:t>
      </w:r>
      <w:r>
        <w:rPr>
          <w:rFonts w:cs="David" w:hint="cs"/>
          <w:sz w:val="28"/>
          <w:rtl/>
        </w:rPr>
        <w:t>: מגישה גליון הרשעות קודמות (</w:t>
      </w:r>
      <w:r>
        <w:rPr>
          <w:rFonts w:cs="David" w:hint="cs"/>
          <w:b/>
          <w:bCs/>
          <w:sz w:val="28"/>
          <w:rtl/>
        </w:rPr>
        <w:t>ת/1</w:t>
      </w:r>
      <w:r>
        <w:rPr>
          <w:rFonts w:cs="David" w:hint="cs"/>
          <w:sz w:val="28"/>
          <w:rtl/>
        </w:rPr>
        <w:t xml:space="preserve">). לנאשם הרשעה אחת קודמת משנת 90' בעבירה דומה. </w:t>
      </w:r>
    </w:p>
    <w:p w14:paraId="1C8D4BD7" w14:textId="77777777" w:rsidR="000B1667" w:rsidRDefault="000B1667">
      <w:pPr>
        <w:overflowPunct w:val="0"/>
        <w:autoSpaceDE w:val="0"/>
        <w:autoSpaceDN w:val="0"/>
        <w:adjustRightInd w:val="0"/>
        <w:spacing w:line="360" w:lineRule="auto"/>
        <w:rPr>
          <w:rFonts w:cs="David" w:hint="cs"/>
          <w:sz w:val="28"/>
          <w:rtl/>
        </w:rPr>
      </w:pPr>
      <w:r>
        <w:rPr>
          <w:rFonts w:cs="David" w:hint="cs"/>
          <w:sz w:val="28"/>
          <w:rtl/>
        </w:rPr>
        <w:t xml:space="preserve">כאן אמנם מדובר בתיק ישן יחסית, אבל הואיל והנאשם כבר הואשם בעבר בעבירה דומה, אני סבורים שיש לבחון אפשרות של מאסר בעבודות שירות, מאסר על תנאי ופיצוי למתלוננת. </w:t>
      </w:r>
    </w:p>
    <w:p w14:paraId="73A337FE" w14:textId="77777777" w:rsidR="000B1667" w:rsidRDefault="000B1667">
      <w:pPr>
        <w:overflowPunct w:val="0"/>
        <w:autoSpaceDE w:val="0"/>
        <w:autoSpaceDN w:val="0"/>
        <w:adjustRightInd w:val="0"/>
        <w:spacing w:line="360" w:lineRule="auto"/>
        <w:rPr>
          <w:rFonts w:cs="David" w:hint="cs"/>
          <w:sz w:val="28"/>
          <w:rtl/>
        </w:rPr>
      </w:pPr>
    </w:p>
    <w:p w14:paraId="57A7F0A6" w14:textId="77777777" w:rsidR="000B1667" w:rsidRDefault="000B1667">
      <w:pPr>
        <w:overflowPunct w:val="0"/>
        <w:autoSpaceDE w:val="0"/>
        <w:autoSpaceDN w:val="0"/>
        <w:adjustRightInd w:val="0"/>
        <w:spacing w:line="360" w:lineRule="auto"/>
        <w:rPr>
          <w:rFonts w:cs="David" w:hint="cs"/>
          <w:sz w:val="28"/>
          <w:rtl/>
        </w:rPr>
      </w:pPr>
      <w:r>
        <w:rPr>
          <w:rFonts w:cs="David" w:hint="cs"/>
          <w:b/>
          <w:bCs/>
          <w:sz w:val="28"/>
          <w:rtl/>
        </w:rPr>
        <w:t>ב"כ הנאשם</w:t>
      </w:r>
      <w:r>
        <w:rPr>
          <w:rFonts w:cs="David" w:hint="cs"/>
          <w:sz w:val="28"/>
          <w:rtl/>
        </w:rPr>
        <w:t xml:space="preserve">: אבקש מביהמ"ש להסתפק בעונש מותנה ובהתחייבות בלבד. מדובר בנאשם בן 39, אשר לא מזמן התחתן ומגדל עם אשתו ילד בן 1.5 שנים. הנאשם סובל מבעיות נפשיות על אף שנמצא כשיר לעמוד לדין ואני מפנה את ביהמ"ש לענין זה לחוות-הדעת הפסיכיאטרית. גם ביהמ"ש יכול היה להתרשם בעצמו מהנאשם עת נתן את עדותו. מדובר בעבירה מלפני כמעט שנתיים, כאשר למיטב ידיעתי לא נפתחו מאז תיקים נוספים. עובדה זו מצביעה על נכונות טענת הנאשם על כך שבעקבות נישואין מצבו השתפר. </w:t>
      </w:r>
    </w:p>
    <w:p w14:paraId="60C8075D" w14:textId="77777777" w:rsidR="000B1667" w:rsidRDefault="000B1667">
      <w:pPr>
        <w:overflowPunct w:val="0"/>
        <w:autoSpaceDE w:val="0"/>
        <w:autoSpaceDN w:val="0"/>
        <w:adjustRightInd w:val="0"/>
        <w:spacing w:line="360" w:lineRule="auto"/>
        <w:rPr>
          <w:rFonts w:cs="David" w:hint="cs"/>
          <w:sz w:val="28"/>
          <w:rtl/>
        </w:rPr>
      </w:pPr>
      <w:r>
        <w:rPr>
          <w:rFonts w:cs="David" w:hint="cs"/>
          <w:sz w:val="28"/>
          <w:rtl/>
        </w:rPr>
        <w:t xml:space="preserve">לענין העבר הפלילי – העבירות בוצעו בשנת 97 ו-91, ישנות ביותר. </w:t>
      </w:r>
    </w:p>
    <w:p w14:paraId="74CF6CAC" w14:textId="77777777" w:rsidR="000B1667" w:rsidRDefault="000B1667">
      <w:pPr>
        <w:overflowPunct w:val="0"/>
        <w:autoSpaceDE w:val="0"/>
        <w:autoSpaceDN w:val="0"/>
        <w:adjustRightInd w:val="0"/>
        <w:spacing w:line="360" w:lineRule="auto"/>
        <w:rPr>
          <w:rFonts w:cs="David" w:hint="cs"/>
          <w:sz w:val="28"/>
          <w:rtl/>
        </w:rPr>
      </w:pPr>
      <w:r>
        <w:rPr>
          <w:rFonts w:cs="David" w:hint="cs"/>
          <w:sz w:val="28"/>
          <w:rtl/>
        </w:rPr>
        <w:t xml:space="preserve">מעבר לבעיות הפסיכיאטריות הנאשם גם סובל מבעית לב ואני מציג לביהמ"ש אישור על כך. </w:t>
      </w:r>
    </w:p>
    <w:p w14:paraId="54890648" w14:textId="77777777" w:rsidR="000B1667" w:rsidRDefault="000B1667">
      <w:pPr>
        <w:overflowPunct w:val="0"/>
        <w:autoSpaceDE w:val="0"/>
        <w:autoSpaceDN w:val="0"/>
        <w:adjustRightInd w:val="0"/>
        <w:spacing w:line="360" w:lineRule="auto"/>
        <w:rPr>
          <w:rFonts w:cs="David" w:hint="cs"/>
          <w:sz w:val="28"/>
          <w:rtl/>
        </w:rPr>
      </w:pPr>
      <w:r>
        <w:rPr>
          <w:rFonts w:cs="David" w:hint="cs"/>
          <w:sz w:val="28"/>
          <w:rtl/>
        </w:rPr>
        <w:t xml:space="preserve">לענין מצבו הכלכלי – הוא מפרנס אשה וילד. הנאשם אינו עובד, הוא לומד בכולל ומרויח רק 1000 ₪. אני מצרף מכתב מהעו"ס אשר מפרטת את בעיותיו הכלכליות של הנאשם. </w:t>
      </w:r>
    </w:p>
    <w:p w14:paraId="27C2E57A" w14:textId="77777777" w:rsidR="000B1667" w:rsidRDefault="000B1667">
      <w:pPr>
        <w:overflowPunct w:val="0"/>
        <w:autoSpaceDE w:val="0"/>
        <w:autoSpaceDN w:val="0"/>
        <w:adjustRightInd w:val="0"/>
        <w:spacing w:line="360" w:lineRule="auto"/>
        <w:rPr>
          <w:rFonts w:cs="David" w:hint="cs"/>
          <w:sz w:val="30"/>
          <w:szCs w:val="28"/>
          <w:rtl/>
        </w:rPr>
      </w:pPr>
      <w:r>
        <w:rPr>
          <w:rFonts w:cs="David" w:hint="cs"/>
          <w:sz w:val="28"/>
          <w:rtl/>
        </w:rPr>
        <w:t xml:space="preserve">לאור כל האמור אני מבקש להסתפק בעונש מותנה ובהתחייבות בלבד. </w:t>
      </w:r>
    </w:p>
    <w:p w14:paraId="7AEA53AE" w14:textId="77777777" w:rsidR="000B1667" w:rsidRDefault="000B1667">
      <w:pPr>
        <w:overflowPunct w:val="0"/>
        <w:autoSpaceDE w:val="0"/>
        <w:autoSpaceDN w:val="0"/>
        <w:adjustRightInd w:val="0"/>
        <w:spacing w:line="360" w:lineRule="auto"/>
        <w:rPr>
          <w:rFonts w:cs="David" w:hint="cs"/>
          <w:rtl/>
        </w:rPr>
      </w:pPr>
    </w:p>
    <w:p w14:paraId="0A993CAA" w14:textId="77777777" w:rsidR="000B1667" w:rsidRDefault="000B1667">
      <w:pPr>
        <w:pStyle w:val="Heading1"/>
        <w:spacing w:line="360" w:lineRule="auto"/>
        <w:rPr>
          <w:rFonts w:cs="David" w:hint="cs"/>
          <w:szCs w:val="26"/>
          <w:rtl/>
        </w:rPr>
      </w:pPr>
      <w:r>
        <w:rPr>
          <w:rFonts w:cs="David" w:hint="cs"/>
          <w:highlight w:val="cyan"/>
          <w:rtl/>
        </w:rPr>
        <w:t>גזר דין</w:t>
      </w:r>
    </w:p>
    <w:p w14:paraId="33B90260" w14:textId="77777777" w:rsidR="000B1667" w:rsidRDefault="000B1667">
      <w:pPr>
        <w:overflowPunct w:val="0"/>
        <w:autoSpaceDE w:val="0"/>
        <w:autoSpaceDN w:val="0"/>
        <w:adjustRightInd w:val="0"/>
        <w:spacing w:line="360" w:lineRule="auto"/>
        <w:rPr>
          <w:rFonts w:cs="David" w:hint="cs"/>
          <w:rtl/>
        </w:rPr>
      </w:pPr>
    </w:p>
    <w:p w14:paraId="5B9CF4B1" w14:textId="77777777" w:rsidR="000B1667" w:rsidRDefault="000B1667">
      <w:pPr>
        <w:overflowPunct w:val="0"/>
        <w:autoSpaceDE w:val="0"/>
        <w:autoSpaceDN w:val="0"/>
        <w:adjustRightInd w:val="0"/>
        <w:spacing w:line="360" w:lineRule="auto"/>
        <w:rPr>
          <w:rFonts w:cs="David" w:hint="cs"/>
          <w:rtl/>
        </w:rPr>
      </w:pPr>
      <w:r>
        <w:rPr>
          <w:rFonts w:cs="David" w:hint="cs"/>
          <w:rtl/>
        </w:rPr>
        <w:t xml:space="preserve">הנאשם הורשע לאחר שמיעת הוכחות בתיק בעבירה של מעשה מגונה בפומבי. </w:t>
      </w:r>
    </w:p>
    <w:p w14:paraId="2F63FFA5" w14:textId="77777777" w:rsidR="000B1667" w:rsidRDefault="000B1667">
      <w:pPr>
        <w:overflowPunct w:val="0"/>
        <w:autoSpaceDE w:val="0"/>
        <w:autoSpaceDN w:val="0"/>
        <w:adjustRightInd w:val="0"/>
        <w:spacing w:line="360" w:lineRule="auto"/>
        <w:rPr>
          <w:rFonts w:cs="David" w:hint="cs"/>
          <w:rtl/>
        </w:rPr>
      </w:pPr>
    </w:p>
    <w:p w14:paraId="2A533283" w14:textId="77777777" w:rsidR="000B1667" w:rsidRDefault="000B1667">
      <w:pPr>
        <w:overflowPunct w:val="0"/>
        <w:autoSpaceDE w:val="0"/>
        <w:autoSpaceDN w:val="0"/>
        <w:adjustRightInd w:val="0"/>
        <w:spacing w:line="360" w:lineRule="auto"/>
        <w:rPr>
          <w:rFonts w:cs="David" w:hint="cs"/>
          <w:rtl/>
        </w:rPr>
      </w:pPr>
      <w:r>
        <w:rPr>
          <w:rFonts w:cs="David" w:hint="cs"/>
          <w:rtl/>
        </w:rPr>
        <w:t xml:space="preserve">בהכרעת הדין קבעתי כי בתאריך 15.6.03 בשעת בוקר חשף הנאשם ברחובה של עיר את אבר מינו בפני המתלוננת, עוברת אורח שחלפה ברחוב, ללא הסכמתה. קבעתי גם כי בנסיבות שהוכחו לפניי היתה למעשה של הנאשם תכלית ברורה של גירוי וסיפוק מיני. </w:t>
      </w:r>
    </w:p>
    <w:p w14:paraId="54C58FB3" w14:textId="77777777" w:rsidR="000B1667" w:rsidRDefault="000B1667">
      <w:pPr>
        <w:overflowPunct w:val="0"/>
        <w:autoSpaceDE w:val="0"/>
        <w:autoSpaceDN w:val="0"/>
        <w:adjustRightInd w:val="0"/>
        <w:spacing w:line="360" w:lineRule="auto"/>
        <w:rPr>
          <w:rFonts w:cs="David" w:hint="cs"/>
          <w:rtl/>
        </w:rPr>
      </w:pPr>
    </w:p>
    <w:p w14:paraId="3A26A423" w14:textId="77777777" w:rsidR="000B1667" w:rsidRDefault="000B1667">
      <w:pPr>
        <w:overflowPunct w:val="0"/>
        <w:autoSpaceDE w:val="0"/>
        <w:autoSpaceDN w:val="0"/>
        <w:adjustRightInd w:val="0"/>
        <w:spacing w:line="360" w:lineRule="auto"/>
        <w:rPr>
          <w:rFonts w:cs="David" w:hint="cs"/>
          <w:rtl/>
        </w:rPr>
      </w:pPr>
      <w:r>
        <w:rPr>
          <w:rFonts w:cs="David" w:hint="cs"/>
          <w:rtl/>
        </w:rPr>
        <w:t xml:space="preserve">התביעה עותרת להחמיר בעונשו של הנאשם ולגזור עליו עונש מאסר בפועל, הגם שאפשר שירוצה בעבודות שירות וזאת נוכח חומרת המעשה והעובדה שהנאשם לא הפנים הרשעה קודמת בגין מעשה דומה. </w:t>
      </w:r>
    </w:p>
    <w:p w14:paraId="7773B1F2" w14:textId="77777777" w:rsidR="000B1667" w:rsidRDefault="000B1667">
      <w:pPr>
        <w:overflowPunct w:val="0"/>
        <w:autoSpaceDE w:val="0"/>
        <w:autoSpaceDN w:val="0"/>
        <w:adjustRightInd w:val="0"/>
        <w:spacing w:line="360" w:lineRule="auto"/>
        <w:rPr>
          <w:rFonts w:cs="David" w:hint="cs"/>
          <w:rtl/>
        </w:rPr>
      </w:pPr>
    </w:p>
    <w:p w14:paraId="2C7E8BF3" w14:textId="77777777" w:rsidR="000B1667" w:rsidRDefault="000B1667">
      <w:pPr>
        <w:overflowPunct w:val="0"/>
        <w:autoSpaceDE w:val="0"/>
        <w:autoSpaceDN w:val="0"/>
        <w:adjustRightInd w:val="0"/>
        <w:spacing w:line="360" w:lineRule="auto"/>
        <w:rPr>
          <w:rFonts w:cs="David" w:hint="cs"/>
          <w:rtl/>
        </w:rPr>
      </w:pPr>
      <w:r>
        <w:rPr>
          <w:rFonts w:cs="David" w:hint="cs"/>
          <w:rtl/>
        </w:rPr>
        <w:t xml:space="preserve">הסניגור ביקש שלא למצות את הדין עם הנאשם וסמך את טיעוניו על מצבו הנפשי של הנאשם כפי שעולה מתוך חוות-דעת פסיכיאטרית שהוגשה כבר בתחילת המשפט על מצבו הרפואי הגופני הקשה וכן על בעיות כלכליות מהן סובל הנאשם. מן המכלול מבקש ב"כ הנאשם להסיק כי עונש מאסר בשלב זה של חייו יהיה הרה אסון לנאשם. </w:t>
      </w:r>
    </w:p>
    <w:p w14:paraId="0DCBA6A6" w14:textId="77777777" w:rsidR="000B1667" w:rsidRDefault="000B1667">
      <w:pPr>
        <w:overflowPunct w:val="0"/>
        <w:autoSpaceDE w:val="0"/>
        <w:autoSpaceDN w:val="0"/>
        <w:adjustRightInd w:val="0"/>
        <w:spacing w:line="360" w:lineRule="auto"/>
        <w:rPr>
          <w:rFonts w:cs="David" w:hint="cs"/>
          <w:rtl/>
        </w:rPr>
      </w:pPr>
    </w:p>
    <w:p w14:paraId="58C4D8B7" w14:textId="77777777" w:rsidR="000B1667" w:rsidRDefault="000B1667">
      <w:pPr>
        <w:overflowPunct w:val="0"/>
        <w:autoSpaceDE w:val="0"/>
        <w:autoSpaceDN w:val="0"/>
        <w:adjustRightInd w:val="0"/>
        <w:spacing w:line="360" w:lineRule="auto"/>
        <w:rPr>
          <w:rFonts w:cs="David" w:hint="cs"/>
          <w:rtl/>
        </w:rPr>
      </w:pPr>
      <w:r>
        <w:rPr>
          <w:rFonts w:cs="David" w:hint="cs"/>
          <w:rtl/>
        </w:rPr>
        <w:t>בגזירת עונשו של הנאשם יש להביא בחשבון בראש ובראשונה את חומרת המעשה ובעיני, אף שמדובר בעבירה שאיננה מן החמורות באותו פרק ב</w:t>
      </w:r>
      <w:hyperlink r:id="rId24" w:history="1">
        <w:r w:rsidR="00787924" w:rsidRPr="00787924">
          <w:rPr>
            <w:rStyle w:val="Hyperlink"/>
            <w:rFonts w:cs="David" w:hint="eastAsia"/>
            <w:rtl/>
          </w:rPr>
          <w:t>חוק</w:t>
        </w:r>
        <w:r w:rsidR="00787924" w:rsidRPr="00787924">
          <w:rPr>
            <w:rStyle w:val="Hyperlink"/>
            <w:rFonts w:cs="David"/>
            <w:rtl/>
          </w:rPr>
          <w:t xml:space="preserve"> העונשין</w:t>
        </w:r>
      </w:hyperlink>
      <w:r>
        <w:rPr>
          <w:rFonts w:cs="David" w:hint="cs"/>
          <w:rtl/>
        </w:rPr>
        <w:t xml:space="preserve">, הרי שמדובר במעשה שפוגע מן ההבט המוסרי והערכי בשלוות הנפש של אזרחים עוברי אורח ועל כן ראוי הנאשם לענישה מחמירה. </w:t>
      </w:r>
    </w:p>
    <w:p w14:paraId="12BAB6FB" w14:textId="77777777" w:rsidR="000B1667" w:rsidRDefault="000B1667">
      <w:pPr>
        <w:overflowPunct w:val="0"/>
        <w:autoSpaceDE w:val="0"/>
        <w:autoSpaceDN w:val="0"/>
        <w:adjustRightInd w:val="0"/>
        <w:spacing w:line="360" w:lineRule="auto"/>
        <w:rPr>
          <w:rFonts w:cs="David" w:hint="cs"/>
          <w:rtl/>
        </w:rPr>
      </w:pPr>
    </w:p>
    <w:p w14:paraId="200A6E23" w14:textId="77777777" w:rsidR="000B1667" w:rsidRDefault="000B1667">
      <w:pPr>
        <w:overflowPunct w:val="0"/>
        <w:autoSpaceDE w:val="0"/>
        <w:autoSpaceDN w:val="0"/>
        <w:adjustRightInd w:val="0"/>
        <w:spacing w:line="360" w:lineRule="auto"/>
        <w:rPr>
          <w:rFonts w:cs="David" w:hint="cs"/>
          <w:rtl/>
        </w:rPr>
      </w:pPr>
      <w:r>
        <w:rPr>
          <w:rFonts w:cs="David" w:hint="cs"/>
          <w:rtl/>
        </w:rPr>
        <w:t xml:space="preserve">מן העבר האחר לא ניתן להתעלם מנסיבות אישיות השוקלות לקולא: הנאשם אכן לוקה בבריאותו, וגם מצבו הכלכלי קשה. חוות-הדעת הפסיכיאטרית שהוגשה עוד בשנת 2004 קבעה כי על פי הקריטריונים המקובלים הנאשם כשיר לעמוד לדין, מבין את משמעות מעשיו, הוא ידע כי מעשה מגונה הוא דבר אסור וידע ויודע גם היום להבדיל בין מותר ואסור. ד"ר שי התרשם כי הנאשם מתפקד בצורה טובה. </w:t>
      </w:r>
    </w:p>
    <w:p w14:paraId="4B2FFBF9" w14:textId="77777777" w:rsidR="000B1667" w:rsidRDefault="000B1667">
      <w:pPr>
        <w:overflowPunct w:val="0"/>
        <w:autoSpaceDE w:val="0"/>
        <w:autoSpaceDN w:val="0"/>
        <w:adjustRightInd w:val="0"/>
        <w:spacing w:line="360" w:lineRule="auto"/>
        <w:rPr>
          <w:rFonts w:cs="David" w:hint="cs"/>
          <w:rtl/>
        </w:rPr>
      </w:pPr>
      <w:r>
        <w:rPr>
          <w:rFonts w:cs="David" w:hint="cs"/>
          <w:rtl/>
        </w:rPr>
        <w:t xml:space="preserve">יחד עם זאת צוינו בחוות-הדעת הפסיכיאטרית הסתבכויות קודמות של הנאשם במעשים מגונים, אלא שאלה ארעו לפני שנים רבות וההתרשמות היתה שתפקודו של הנאשם השתפר. </w:t>
      </w:r>
    </w:p>
    <w:p w14:paraId="0AE24F56" w14:textId="77777777" w:rsidR="000B1667" w:rsidRDefault="000B1667">
      <w:pPr>
        <w:overflowPunct w:val="0"/>
        <w:autoSpaceDE w:val="0"/>
        <w:autoSpaceDN w:val="0"/>
        <w:adjustRightInd w:val="0"/>
        <w:spacing w:line="360" w:lineRule="auto"/>
        <w:rPr>
          <w:rFonts w:cs="David" w:hint="cs"/>
          <w:rtl/>
        </w:rPr>
      </w:pPr>
    </w:p>
    <w:p w14:paraId="270A3B7C" w14:textId="77777777" w:rsidR="000B1667" w:rsidRDefault="000B1667">
      <w:pPr>
        <w:overflowPunct w:val="0"/>
        <w:autoSpaceDE w:val="0"/>
        <w:autoSpaceDN w:val="0"/>
        <w:adjustRightInd w:val="0"/>
        <w:spacing w:line="360" w:lineRule="auto"/>
        <w:rPr>
          <w:rFonts w:cs="David" w:hint="cs"/>
          <w:rtl/>
        </w:rPr>
      </w:pPr>
      <w:r>
        <w:rPr>
          <w:rFonts w:cs="David" w:hint="cs"/>
          <w:rtl/>
        </w:rPr>
        <w:t xml:space="preserve">באיזון בין חומרת המעשה ונסיבותיו לבין השיקולים לקולא שציינתי, אין ספק שההכרעה היא לחומרת המעשה, אלא שבנסיבותיו המיוחדות של הנאשם סברתי כי ראוי ונכון ליתן עונש מרתיע ומזהיר הצופה פני עתיד כדי שישים הנאשם את דברו לפניו וידע כי בעתיד לא יטה לו ביהמ"ש חסד עוד. </w:t>
      </w:r>
    </w:p>
    <w:p w14:paraId="4E98C216" w14:textId="77777777" w:rsidR="000B1667" w:rsidRDefault="000B1667">
      <w:pPr>
        <w:overflowPunct w:val="0"/>
        <w:autoSpaceDE w:val="0"/>
        <w:autoSpaceDN w:val="0"/>
        <w:adjustRightInd w:val="0"/>
        <w:spacing w:line="360" w:lineRule="auto"/>
        <w:rPr>
          <w:rFonts w:cs="David" w:hint="cs"/>
          <w:rtl/>
        </w:rPr>
      </w:pPr>
    </w:p>
    <w:p w14:paraId="555AAF1E" w14:textId="77777777" w:rsidR="000B1667" w:rsidRDefault="000B1667">
      <w:pPr>
        <w:overflowPunct w:val="0"/>
        <w:autoSpaceDE w:val="0"/>
        <w:autoSpaceDN w:val="0"/>
        <w:adjustRightInd w:val="0"/>
        <w:spacing w:line="360" w:lineRule="auto"/>
        <w:rPr>
          <w:rFonts w:cs="David" w:hint="cs"/>
          <w:sz w:val="30"/>
          <w:szCs w:val="28"/>
          <w:rtl/>
        </w:rPr>
      </w:pPr>
      <w:r>
        <w:rPr>
          <w:rFonts w:cs="David" w:hint="cs"/>
          <w:rtl/>
        </w:rPr>
        <w:t xml:space="preserve">אשר על כן, </w:t>
      </w:r>
      <w:r>
        <w:rPr>
          <w:rFonts w:cs="David" w:hint="cs"/>
          <w:sz w:val="28"/>
          <w:rtl/>
        </w:rPr>
        <w:t>אני גוזרת על הנאשם בגין העבירה בה הורשע:</w:t>
      </w:r>
    </w:p>
    <w:p w14:paraId="12FCE5AC" w14:textId="77777777" w:rsidR="000B1667" w:rsidRDefault="000B1667">
      <w:pPr>
        <w:overflowPunct w:val="0"/>
        <w:autoSpaceDE w:val="0"/>
        <w:autoSpaceDN w:val="0"/>
        <w:adjustRightInd w:val="0"/>
        <w:spacing w:line="360" w:lineRule="auto"/>
        <w:rPr>
          <w:rFonts w:cs="David" w:hint="cs"/>
          <w:sz w:val="30"/>
          <w:rtl/>
        </w:rPr>
      </w:pPr>
    </w:p>
    <w:p w14:paraId="0B03ADD0" w14:textId="77777777" w:rsidR="000B1667" w:rsidRDefault="000B1667">
      <w:pPr>
        <w:overflowPunct w:val="0"/>
        <w:autoSpaceDE w:val="0"/>
        <w:autoSpaceDN w:val="0"/>
        <w:adjustRightInd w:val="0"/>
        <w:spacing w:line="360" w:lineRule="auto"/>
        <w:ind w:left="720" w:hanging="720"/>
        <w:rPr>
          <w:rFonts w:cs="David" w:hint="cs"/>
          <w:sz w:val="30"/>
          <w:szCs w:val="28"/>
          <w:rtl/>
        </w:rPr>
      </w:pPr>
      <w:r>
        <w:rPr>
          <w:rFonts w:cs="David" w:hint="cs"/>
          <w:sz w:val="28"/>
          <w:rtl/>
        </w:rPr>
        <w:t>1.</w:t>
      </w:r>
      <w:r>
        <w:rPr>
          <w:rFonts w:cs="David" w:hint="cs"/>
          <w:sz w:val="28"/>
          <w:rtl/>
        </w:rPr>
        <w:tab/>
        <w:t xml:space="preserve">מאסר על תנאי בן 10 חודשים והתנאי הוא שהנאשם לא יעבור תוך 3 שנים מהיום עבירה לפי </w:t>
      </w:r>
      <w:hyperlink r:id="rId25" w:history="1">
        <w:r w:rsidR="00F77080" w:rsidRPr="00F77080">
          <w:rPr>
            <w:rFonts w:cs="David"/>
            <w:color w:val="0000FF"/>
            <w:sz w:val="28"/>
            <w:u w:val="single"/>
            <w:rtl/>
          </w:rPr>
          <w:t>סעיף 349</w:t>
        </w:r>
      </w:hyperlink>
      <w:r>
        <w:rPr>
          <w:rFonts w:cs="David" w:hint="cs"/>
          <w:sz w:val="28"/>
          <w:rtl/>
        </w:rPr>
        <w:t xml:space="preserve"> ל</w:t>
      </w:r>
      <w:hyperlink r:id="rId26" w:history="1">
        <w:r w:rsidR="00787924" w:rsidRPr="00787924">
          <w:rPr>
            <w:rStyle w:val="Hyperlink"/>
            <w:rFonts w:cs="David" w:hint="eastAsia"/>
            <w:sz w:val="28"/>
            <w:rtl/>
          </w:rPr>
          <w:t>חוק</w:t>
        </w:r>
        <w:r w:rsidR="00787924" w:rsidRPr="00787924">
          <w:rPr>
            <w:rStyle w:val="Hyperlink"/>
            <w:rFonts w:cs="David"/>
            <w:sz w:val="28"/>
            <w:rtl/>
          </w:rPr>
          <w:t xml:space="preserve"> העונשין</w:t>
        </w:r>
      </w:hyperlink>
      <w:r>
        <w:rPr>
          <w:rFonts w:cs="David" w:hint="cs"/>
          <w:sz w:val="28"/>
          <w:rtl/>
        </w:rPr>
        <w:t xml:space="preserve">. </w:t>
      </w:r>
    </w:p>
    <w:p w14:paraId="272FAC20" w14:textId="77777777" w:rsidR="000B1667" w:rsidRDefault="000B1667">
      <w:pPr>
        <w:overflowPunct w:val="0"/>
        <w:autoSpaceDE w:val="0"/>
        <w:autoSpaceDN w:val="0"/>
        <w:adjustRightInd w:val="0"/>
        <w:spacing w:line="360" w:lineRule="auto"/>
        <w:ind w:left="720" w:hanging="720"/>
        <w:rPr>
          <w:rFonts w:cs="David" w:hint="cs"/>
          <w:sz w:val="30"/>
          <w:rtl/>
        </w:rPr>
      </w:pPr>
    </w:p>
    <w:p w14:paraId="6AEB1DDD" w14:textId="77777777" w:rsidR="000B1667" w:rsidRDefault="000B1667">
      <w:pPr>
        <w:overflowPunct w:val="0"/>
        <w:autoSpaceDE w:val="0"/>
        <w:autoSpaceDN w:val="0"/>
        <w:adjustRightInd w:val="0"/>
        <w:spacing w:line="360" w:lineRule="auto"/>
        <w:ind w:left="720" w:hanging="720"/>
        <w:rPr>
          <w:rFonts w:cs="David" w:hint="cs"/>
          <w:sz w:val="28"/>
          <w:rtl/>
        </w:rPr>
      </w:pPr>
      <w:r>
        <w:rPr>
          <w:rFonts w:cs="David" w:hint="cs"/>
          <w:sz w:val="28"/>
          <w:rtl/>
        </w:rPr>
        <w:t>2.</w:t>
      </w:r>
      <w:r>
        <w:rPr>
          <w:rFonts w:cs="David" w:hint="cs"/>
          <w:sz w:val="28"/>
          <w:rtl/>
        </w:rPr>
        <w:tab/>
        <w:t xml:space="preserve">פיצוי למתלוננת בסך 1200 ₪, אשר יופקד בקופת ביהמ"ש ב-2 תשלומים שווים ורצופים כשהראשון בהם לא יאוחר מ-2.5.05 והתשלום השני 30 יום לאחר מכן. </w:t>
      </w:r>
    </w:p>
    <w:p w14:paraId="58E5AA1C" w14:textId="77777777" w:rsidR="000B1667" w:rsidRDefault="000B1667">
      <w:pPr>
        <w:overflowPunct w:val="0"/>
        <w:autoSpaceDE w:val="0"/>
        <w:autoSpaceDN w:val="0"/>
        <w:adjustRightInd w:val="0"/>
        <w:spacing w:line="360" w:lineRule="auto"/>
        <w:ind w:left="720" w:hanging="720"/>
        <w:rPr>
          <w:rFonts w:cs="David" w:hint="cs"/>
          <w:sz w:val="28"/>
          <w:rtl/>
        </w:rPr>
      </w:pPr>
      <w:r>
        <w:rPr>
          <w:rFonts w:cs="David" w:hint="cs"/>
          <w:sz w:val="28"/>
          <w:rtl/>
        </w:rPr>
        <w:tab/>
        <w:t xml:space="preserve">ניתן לקזז מסכום הפיצוי כל סכום שהנאשם הפקיד לשחרורו בערבות לאחר חקירתו בתיק זה והיתרה תשולם לא יאוחר מ-2.6.05.  </w:t>
      </w:r>
    </w:p>
    <w:p w14:paraId="7DBBD3B4" w14:textId="77777777" w:rsidR="000B1667" w:rsidRDefault="000B1667">
      <w:pPr>
        <w:overflowPunct w:val="0"/>
        <w:autoSpaceDE w:val="0"/>
        <w:autoSpaceDN w:val="0"/>
        <w:adjustRightInd w:val="0"/>
        <w:spacing w:line="360" w:lineRule="auto"/>
        <w:ind w:left="720" w:hanging="720"/>
        <w:rPr>
          <w:rFonts w:cs="David" w:hint="cs"/>
          <w:sz w:val="30"/>
          <w:rtl/>
        </w:rPr>
      </w:pPr>
    </w:p>
    <w:p w14:paraId="29B590EF" w14:textId="77777777" w:rsidR="000B1667" w:rsidRDefault="000B1667">
      <w:pPr>
        <w:overflowPunct w:val="0"/>
        <w:autoSpaceDE w:val="0"/>
        <w:autoSpaceDN w:val="0"/>
        <w:adjustRightInd w:val="0"/>
        <w:spacing w:line="360" w:lineRule="auto"/>
        <w:ind w:left="720" w:hanging="720"/>
        <w:rPr>
          <w:rFonts w:cs="David" w:hint="cs"/>
          <w:sz w:val="30"/>
          <w:szCs w:val="28"/>
          <w:rtl/>
        </w:rPr>
      </w:pPr>
      <w:r>
        <w:rPr>
          <w:rFonts w:cs="David" w:hint="cs"/>
          <w:sz w:val="28"/>
          <w:rtl/>
        </w:rPr>
        <w:t>זכות ערעור משך 45 יום מהיום.</w:t>
      </w:r>
      <w:r w:rsidR="008A3982" w:rsidRPr="008A3982">
        <w:rPr>
          <w:rFonts w:cs="David"/>
          <w:color w:val="FFFFFF"/>
          <w:sz w:val="4"/>
          <w:szCs w:val="4"/>
          <w:rtl/>
        </w:rPr>
        <w:t>ב</w:t>
      </w:r>
    </w:p>
    <w:p w14:paraId="3585F412" w14:textId="77777777" w:rsidR="000B1667" w:rsidRDefault="000B1667">
      <w:pPr>
        <w:overflowPunct w:val="0"/>
        <w:autoSpaceDE w:val="0"/>
        <w:autoSpaceDN w:val="0"/>
        <w:adjustRightInd w:val="0"/>
        <w:spacing w:line="360" w:lineRule="auto"/>
        <w:ind w:left="720" w:hanging="720"/>
        <w:rPr>
          <w:rFonts w:cs="David" w:hint="cs"/>
          <w:rtl/>
        </w:rPr>
      </w:pPr>
    </w:p>
    <w:p w14:paraId="6EF128CF" w14:textId="77777777" w:rsidR="000B1667" w:rsidRDefault="000B1667">
      <w:pPr>
        <w:overflowPunct w:val="0"/>
        <w:autoSpaceDE w:val="0"/>
        <w:autoSpaceDN w:val="0"/>
        <w:adjustRightInd w:val="0"/>
        <w:spacing w:line="360" w:lineRule="auto"/>
        <w:ind w:left="720" w:hanging="720"/>
        <w:rPr>
          <w:rFonts w:cs="David" w:hint="cs"/>
          <w:b/>
          <w:bCs/>
          <w:rtl/>
        </w:rPr>
      </w:pPr>
      <w:r>
        <w:rPr>
          <w:rFonts w:cs="David" w:hint="cs"/>
          <w:b/>
          <w:bCs/>
          <w:rtl/>
        </w:rPr>
        <w:t xml:space="preserve">ניתן והודע היום </w:t>
      </w:r>
      <w:r>
        <w:rPr>
          <w:rFonts w:cs="David"/>
          <w:b/>
          <w:bCs/>
          <w:rtl/>
        </w:rPr>
        <w:fldChar w:fldCharType="begin"/>
      </w:r>
      <w:r>
        <w:rPr>
          <w:rFonts w:cs="David" w:hint="cs"/>
          <w:b/>
          <w:bCs/>
          <w:rtl/>
        </w:rPr>
        <w:instrText xml:space="preserve"> </w:instrText>
      </w:r>
      <w:r>
        <w:rPr>
          <w:rFonts w:cs="David"/>
          <w:b/>
          <w:bCs/>
        </w:rPr>
        <w:instrText xml:space="preserve">DATE </w:instrText>
      </w:r>
      <w:r>
        <w:rPr>
          <w:rFonts w:cs="David" w:hint="cs"/>
          <w:b/>
          <w:bCs/>
          <w:rtl/>
        </w:rPr>
        <w:instrText>\@ "</w:instrText>
      </w:r>
      <w:r>
        <w:rPr>
          <w:rFonts w:cs="David"/>
          <w:b/>
          <w:bCs/>
        </w:rPr>
        <w:instrText>dd MMMM yyyy" \h</w:instrText>
      </w:r>
      <w:r>
        <w:rPr>
          <w:rFonts w:cs="David" w:hint="cs"/>
          <w:b/>
          <w:bCs/>
          <w:rtl/>
        </w:rPr>
        <w:instrText xml:space="preserve"> </w:instrText>
      </w:r>
      <w:r>
        <w:rPr>
          <w:rFonts w:cs="David"/>
          <w:b/>
          <w:bCs/>
        </w:rPr>
        <w:fldChar w:fldCharType="separate"/>
      </w:r>
      <w:r w:rsidR="0049320A">
        <w:rPr>
          <w:rFonts w:cs="David" w:hint="eastAsia"/>
          <w:b/>
          <w:bCs/>
          <w:noProof/>
          <w:rtl/>
        </w:rPr>
        <w:t>‏כ</w:t>
      </w:r>
      <w:r w:rsidR="0049320A">
        <w:rPr>
          <w:rFonts w:cs="David"/>
          <w:b/>
          <w:bCs/>
          <w:noProof/>
          <w:rtl/>
        </w:rPr>
        <w:t>"ג אייר תשפ"ב</w:t>
      </w:r>
      <w:r>
        <w:rPr>
          <w:rFonts w:cs="David"/>
          <w:b/>
          <w:bCs/>
          <w:rtl/>
        </w:rPr>
        <w:fldChar w:fldCharType="end"/>
      </w:r>
      <w:r>
        <w:rPr>
          <w:rFonts w:cs="David" w:hint="cs"/>
          <w:b/>
          <w:bCs/>
          <w:rtl/>
        </w:rPr>
        <w:t>, (</w:t>
      </w:r>
      <w:r>
        <w:rPr>
          <w:rFonts w:cs="David"/>
          <w:b/>
          <w:bCs/>
          <w:rtl/>
        </w:rPr>
        <w:fldChar w:fldCharType="begin"/>
      </w:r>
      <w:r>
        <w:rPr>
          <w:rFonts w:cs="David" w:hint="cs"/>
          <w:b/>
          <w:bCs/>
          <w:rtl/>
        </w:rPr>
        <w:instrText xml:space="preserve"> </w:instrText>
      </w:r>
      <w:r>
        <w:rPr>
          <w:rFonts w:cs="David"/>
          <w:b/>
          <w:bCs/>
        </w:rPr>
        <w:instrText xml:space="preserve">DATE </w:instrText>
      </w:r>
      <w:r>
        <w:rPr>
          <w:rFonts w:cs="David" w:hint="cs"/>
          <w:b/>
          <w:bCs/>
          <w:rtl/>
        </w:rPr>
        <w:instrText>\@ "</w:instrText>
      </w:r>
      <w:r>
        <w:rPr>
          <w:rFonts w:cs="David"/>
          <w:b/>
          <w:bCs/>
        </w:rPr>
        <w:instrText>dd MMMM yyyy"</w:instrText>
      </w:r>
      <w:r>
        <w:rPr>
          <w:rFonts w:cs="David" w:hint="cs"/>
          <w:b/>
          <w:bCs/>
          <w:rtl/>
        </w:rPr>
        <w:instrText xml:space="preserve"> </w:instrText>
      </w:r>
      <w:r>
        <w:rPr>
          <w:rFonts w:cs="David"/>
          <w:b/>
          <w:bCs/>
        </w:rPr>
        <w:fldChar w:fldCharType="separate"/>
      </w:r>
      <w:r w:rsidR="0049320A">
        <w:rPr>
          <w:rFonts w:cs="David" w:hint="eastAsia"/>
          <w:b/>
          <w:bCs/>
          <w:noProof/>
          <w:rtl/>
        </w:rPr>
        <w:t>‏</w:t>
      </w:r>
      <w:r w:rsidR="0049320A">
        <w:rPr>
          <w:rFonts w:cs="David"/>
          <w:b/>
          <w:bCs/>
          <w:noProof/>
          <w:rtl/>
        </w:rPr>
        <w:t>24 מאי 2022</w:t>
      </w:r>
      <w:r>
        <w:rPr>
          <w:rFonts w:cs="David"/>
          <w:b/>
          <w:bCs/>
          <w:rtl/>
        </w:rPr>
        <w:fldChar w:fldCharType="end"/>
      </w:r>
      <w:r>
        <w:rPr>
          <w:rFonts w:cs="David" w:hint="cs"/>
          <w:b/>
          <w:bCs/>
          <w:rtl/>
        </w:rPr>
        <w:t>), במעמד הצדדים.</w:t>
      </w:r>
      <w:r w:rsidR="008A3982" w:rsidRPr="008A3982">
        <w:rPr>
          <w:rFonts w:cs="David"/>
          <w:b/>
          <w:bCs/>
          <w:color w:val="FFFFFF"/>
          <w:sz w:val="4"/>
          <w:szCs w:val="4"/>
          <w:rtl/>
        </w:rPr>
        <w:t>ו</w:t>
      </w:r>
    </w:p>
    <w:p w14:paraId="34B777F9" w14:textId="77777777" w:rsidR="000B1667" w:rsidRDefault="000B1667">
      <w:pPr>
        <w:overflowPunct w:val="0"/>
        <w:autoSpaceDE w:val="0"/>
        <w:autoSpaceDN w:val="0"/>
        <w:adjustRightInd w:val="0"/>
        <w:spacing w:line="360" w:lineRule="auto"/>
        <w:ind w:left="720" w:hanging="720"/>
        <w:rPr>
          <w:rFonts w:cs="David" w:hint="cs"/>
          <w:rtl/>
        </w:rPr>
      </w:pPr>
      <w:r>
        <w:rPr>
          <w:rFonts w:cs="David" w:hint="cs"/>
          <w:rtl/>
        </w:rPr>
        <w:t xml:space="preserve">                                                         </w:t>
      </w:r>
    </w:p>
    <w:tbl>
      <w:tblPr>
        <w:bidiVisual/>
        <w:tblW w:w="2772" w:type="dxa"/>
        <w:tblInd w:w="5999" w:type="dxa"/>
        <w:tblBorders>
          <w:top w:val="single" w:sz="4" w:space="0" w:color="auto"/>
        </w:tblBorders>
        <w:tblLook w:val="0000" w:firstRow="0" w:lastRow="0" w:firstColumn="0" w:lastColumn="0" w:noHBand="0" w:noVBand="0"/>
      </w:tblPr>
      <w:tblGrid>
        <w:gridCol w:w="2772"/>
      </w:tblGrid>
      <w:tr w:rsidR="008A3982" w14:paraId="0D8930E4" w14:textId="77777777">
        <w:tc>
          <w:tcPr>
            <w:tcW w:w="2772" w:type="dxa"/>
            <w:tcBorders>
              <w:top w:val="single" w:sz="4" w:space="0" w:color="auto"/>
              <w:left w:val="nil"/>
              <w:bottom w:val="nil"/>
              <w:right w:val="nil"/>
            </w:tcBorders>
          </w:tcPr>
          <w:p w14:paraId="7D825F26" w14:textId="77777777" w:rsidR="000B1667" w:rsidRDefault="000B1667">
            <w:pPr>
              <w:jc w:val="center"/>
              <w:rPr>
                <w:rFonts w:ascii="Arial" w:hAnsi="Arial" w:cs="David"/>
                <w:b/>
                <w:bCs/>
                <w:sz w:val="26"/>
              </w:rPr>
            </w:pPr>
            <w:r>
              <w:rPr>
                <w:rFonts w:cs="David" w:hint="cs"/>
                <w:rtl/>
              </w:rPr>
              <w:t xml:space="preserve">                                                        </w:t>
            </w:r>
            <w:r>
              <w:rPr>
                <w:rFonts w:ascii="Arial" w:hAnsi="Arial" w:cs="David" w:hint="cs"/>
                <w:b/>
                <w:bCs/>
                <w:sz w:val="26"/>
                <w:rtl/>
              </w:rPr>
              <w:t>שריזלי דניאלה, שופטת</w:t>
            </w:r>
          </w:p>
        </w:tc>
      </w:tr>
    </w:tbl>
    <w:p w14:paraId="63254682" w14:textId="77777777" w:rsidR="008A3982" w:rsidRDefault="000B1667">
      <w:pPr>
        <w:jc w:val="right"/>
        <w:rPr>
          <w:rFonts w:cs="David" w:hint="cs"/>
          <w:rtl/>
        </w:rPr>
      </w:pPr>
      <w:r>
        <w:rPr>
          <w:rFonts w:cs="David"/>
          <w:rtl/>
        </w:rPr>
        <w:t>נוסח מסמך זה כפוף לשינויי ניסוח ועריכה</w:t>
      </w:r>
    </w:p>
    <w:p w14:paraId="280EE576" w14:textId="77777777" w:rsidR="000B1667" w:rsidRDefault="000B1667">
      <w:pPr>
        <w:jc w:val="right"/>
        <w:rPr>
          <w:rFonts w:cs="David" w:hint="cs"/>
          <w:rtl/>
        </w:rPr>
      </w:pPr>
    </w:p>
    <w:sectPr w:rsidR="000B1667" w:rsidSect="008A3982">
      <w:headerReference w:type="even" r:id="rId27"/>
      <w:headerReference w:type="default" r:id="rId28"/>
      <w:footerReference w:type="even" r:id="rId29"/>
      <w:footerReference w:type="default" r:id="rId3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B6BCE" w14:textId="77777777" w:rsidR="00D51108" w:rsidRDefault="00D51108">
      <w:r>
        <w:separator/>
      </w:r>
    </w:p>
  </w:endnote>
  <w:endnote w:type="continuationSeparator" w:id="0">
    <w:p w14:paraId="2262DDB5" w14:textId="77777777" w:rsidR="00D51108" w:rsidRDefault="00D51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1F52" w14:textId="77777777" w:rsidR="00353B21" w:rsidRDefault="00353B21" w:rsidP="008A3982">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3</w:t>
    </w:r>
    <w:r>
      <w:rPr>
        <w:rFonts w:ascii="FrankRuehl" w:hAnsi="FrankRuehl" w:cs="FrankRuehl"/>
        <w:sz w:val="24"/>
        <w:rtl/>
      </w:rPr>
      <w:fldChar w:fldCharType="end"/>
    </w:r>
  </w:p>
  <w:p w14:paraId="592B456F" w14:textId="77777777" w:rsidR="00353B21" w:rsidRDefault="00353B21" w:rsidP="008A3982">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6C139973" w14:textId="77777777" w:rsidR="00353B21" w:rsidRPr="008A3982" w:rsidRDefault="00353B21" w:rsidP="008A3982">
    <w:pPr>
      <w:pStyle w:val="Footer"/>
      <w:pBdr>
        <w:top w:val="single" w:sz="4" w:space="1" w:color="auto"/>
        <w:between w:val="single" w:sz="4" w:space="0" w:color="auto"/>
      </w:pBdr>
      <w:spacing w:line="240" w:lineRule="auto"/>
      <w:jc w:val="left"/>
      <w:rPr>
        <w:rFonts w:cs="Times New Roman"/>
        <w:color w:val="000000"/>
        <w:sz w:val="14"/>
        <w:szCs w:val="14"/>
        <w:rtl/>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M:\00000000\05-04-10\ps-all\02 = 05-04-07 - noa\OutDoc\s03009649-496.doc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3B11" w14:textId="77777777" w:rsidR="00353B21" w:rsidRDefault="00353B21" w:rsidP="008A3982">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AC382D">
      <w:rPr>
        <w:rFonts w:ascii="FrankRuehl" w:hAnsi="FrankRuehl" w:cs="FrankRuehl"/>
        <w:noProof/>
        <w:sz w:val="24"/>
        <w:rtl/>
      </w:rPr>
      <w:t>1</w:t>
    </w:r>
    <w:r>
      <w:rPr>
        <w:rFonts w:ascii="FrankRuehl" w:hAnsi="FrankRuehl" w:cs="FrankRuehl"/>
        <w:sz w:val="24"/>
        <w:rtl/>
      </w:rPr>
      <w:fldChar w:fldCharType="end"/>
    </w:r>
  </w:p>
  <w:p w14:paraId="275EEE6B" w14:textId="77777777" w:rsidR="00353B21" w:rsidRDefault="00353B21" w:rsidP="008A3982">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7FED4048" w14:textId="77777777" w:rsidR="00353B21" w:rsidRPr="008A3982" w:rsidRDefault="00353B21" w:rsidP="008A3982">
    <w:pPr>
      <w:pStyle w:val="Footer"/>
      <w:pBdr>
        <w:top w:val="single" w:sz="4" w:space="1" w:color="auto"/>
        <w:between w:val="single" w:sz="4" w:space="0" w:color="auto"/>
      </w:pBdr>
      <w:spacing w:line="240" w:lineRule="auto"/>
      <w:jc w:val="left"/>
      <w:rPr>
        <w:rFonts w:cs="Times New Roman"/>
        <w:color w:val="000000"/>
        <w:sz w:val="14"/>
        <w:szCs w:val="14"/>
        <w:rtl/>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M:\00000000\05-04-10\ps-all\02 = 05-04-07 - noa\OutDoc\s03009649-496.doc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1E09" w14:textId="77777777" w:rsidR="00D51108" w:rsidRDefault="00D51108">
      <w:r>
        <w:separator/>
      </w:r>
    </w:p>
  </w:footnote>
  <w:footnote w:type="continuationSeparator" w:id="0">
    <w:p w14:paraId="29DF8CF3" w14:textId="77777777" w:rsidR="00D51108" w:rsidRDefault="00D51108">
      <w:r>
        <w:continuationSeparator/>
      </w:r>
    </w:p>
  </w:footnote>
  <w:footnote w:id="1">
    <w:p w14:paraId="35F2050E" w14:textId="77777777" w:rsidR="00353B21" w:rsidRDefault="00353B21">
      <w:pPr>
        <w:pStyle w:val="FootnoteText"/>
        <w:rPr>
          <w:szCs w:val="32"/>
          <w:rtl/>
        </w:rPr>
      </w:pPr>
      <w:r>
        <w:rPr>
          <w:rStyle w:val="FootnoteReference"/>
        </w:rPr>
        <w:footnoteRef/>
      </w:r>
      <w:r>
        <w:t xml:space="preserve"> </w:t>
      </w:r>
      <w:r>
        <w:rPr>
          <w:rFonts w:hint="cs"/>
          <w:rtl/>
        </w:rPr>
        <w:t xml:space="preserve"> </w:t>
      </w:r>
      <w:r>
        <w:rPr>
          <w:rFonts w:cs="David" w:hint="cs"/>
          <w:szCs w:val="26"/>
          <w:rtl/>
        </w:rPr>
        <w:t xml:space="preserve"> </w:t>
      </w:r>
      <w:r>
        <w:rPr>
          <w:rFonts w:cs="David" w:hint="cs"/>
          <w:sz w:val="22"/>
          <w:szCs w:val="24"/>
          <w:rtl/>
        </w:rPr>
        <w:t>לגישתי, במרבית המקרים, אין התנגשות בין שני המבחנים.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70A3" w14:textId="77777777" w:rsidR="00353B21" w:rsidRPr="008A3982" w:rsidRDefault="00353B21" w:rsidP="008A3982">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 (ת"א) 9649/03</w:t>
    </w:r>
    <w:r>
      <w:rPr>
        <w:rFonts w:ascii="David" w:hAnsi="David"/>
        <w:color w:val="000000"/>
        <w:sz w:val="22"/>
        <w:szCs w:val="22"/>
        <w:rtl/>
      </w:rPr>
      <w:tab/>
      <w:t xml:space="preserve"> מדינת ישראל נ' אשכנזי יצחק יהושע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D39EE" w14:textId="77777777" w:rsidR="00353B21" w:rsidRPr="008A3982" w:rsidRDefault="00353B21" w:rsidP="008A3982">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 (ת"א) 9649/03</w:t>
    </w:r>
    <w:r>
      <w:rPr>
        <w:rFonts w:ascii="David" w:hAnsi="David"/>
        <w:color w:val="000000"/>
        <w:sz w:val="22"/>
        <w:szCs w:val="22"/>
        <w:rtl/>
      </w:rPr>
      <w:tab/>
      <w:t xml:space="preserve"> מדינת ישראל נ' אשכנזי יצחק יהושע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A3982"/>
    <w:rsid w:val="000B1667"/>
    <w:rsid w:val="00353B21"/>
    <w:rsid w:val="00464AA4"/>
    <w:rsid w:val="0049320A"/>
    <w:rsid w:val="00787924"/>
    <w:rsid w:val="008A3982"/>
    <w:rsid w:val="00AC382D"/>
    <w:rsid w:val="00D51108"/>
    <w:rsid w:val="00F77080"/>
    <w:rsid w:val="00FA17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435DFAA"/>
  <w15:chartTrackingRefBased/>
  <w15:docId w15:val="{A082BB4E-2C08-4EDC-9C21-205E9572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jc w:val="both"/>
    </w:pPr>
    <w:rPr>
      <w:rFonts w:cs="Arial"/>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napToGrid w:val="0"/>
      <w:outlineLvl w:val="3"/>
    </w:pPr>
    <w:rPr>
      <w:rFonts w:ascii="Arial" w:hAnsi="Arial" w:cs="David"/>
      <w:b/>
      <w:bCs/>
      <w:sz w:val="32"/>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pPr>
      <w:snapToGrid w:val="0"/>
    </w:pPr>
    <w:rPr>
      <w:rFonts w:cs="FrankRuehl"/>
      <w:sz w:val="24"/>
      <w:szCs w:val="28"/>
    </w:rPr>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spacing w:line="360" w:lineRule="auto"/>
    </w:pPr>
    <w:rPr>
      <w:rFonts w:cs="David"/>
      <w:sz w:val="22"/>
      <w:szCs w:val="24"/>
    </w:rPr>
  </w:style>
  <w:style w:type="paragraph" w:styleId="Title">
    <w:name w:val="Title"/>
    <w:basedOn w:val="Normal"/>
    <w:qFormat/>
    <w:pPr>
      <w:overflowPunct w:val="0"/>
      <w:autoSpaceDE w:val="0"/>
      <w:autoSpaceDN w:val="0"/>
      <w:adjustRightInd w:val="0"/>
      <w:jc w:val="center"/>
    </w:pPr>
    <w:rPr>
      <w:b/>
      <w:bCs/>
      <w:sz w:val="32"/>
      <w:szCs w:val="30"/>
      <w:u w:val="single"/>
    </w:rPr>
  </w:style>
  <w:style w:type="paragraph" w:styleId="BodyText">
    <w:name w:val="Body Text"/>
    <w:basedOn w:val="Normal"/>
    <w:pPr>
      <w:overflowPunct w:val="0"/>
      <w:autoSpaceDE w:val="0"/>
      <w:autoSpaceDN w:val="0"/>
      <w:adjustRightInd w:val="0"/>
    </w:pPr>
    <w:rPr>
      <w:sz w:val="28"/>
    </w:rPr>
  </w:style>
  <w:style w:type="paragraph" w:styleId="BodyText2">
    <w:name w:val="Body Text 2"/>
    <w:basedOn w:val="Normal"/>
    <w:pPr>
      <w:snapToGrid w:val="0"/>
      <w:spacing w:line="480" w:lineRule="auto"/>
    </w:pPr>
    <w:rPr>
      <w:rFonts w:cs="David"/>
      <w:sz w:val="24"/>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FootnoteReference">
    <w:name w:val="footnote reference"/>
    <w:semiHidden/>
    <w:rPr>
      <w:rFonts w:cs="FrankRuehl"/>
      <w:vertAlign w:val="superscript"/>
    </w:rPr>
  </w:style>
  <w:style w:type="character" w:styleId="PageNumber">
    <w:name w:val="page number"/>
    <w:rPr>
      <w:rFonts w:cs="David"/>
    </w:rPr>
  </w:style>
  <w:style w:type="character" w:styleId="Hyperlink">
    <w:name w:val="Hyperlink"/>
    <w:rsid w:val="00787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 TargetMode="External"/><Relationship Id="rId13" Type="http://schemas.openxmlformats.org/officeDocument/2006/relationships/hyperlink" Target="http://www.nevo.co.il/law/70301/349.a" TargetMode="External"/><Relationship Id="rId18" Type="http://schemas.openxmlformats.org/officeDocument/2006/relationships/hyperlink" Target="http://www.nevo.co.il/case/17938180"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48.f"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49" TargetMode="External"/><Relationship Id="rId2" Type="http://schemas.openxmlformats.org/officeDocument/2006/relationships/settings" Target="settings.xml"/><Relationship Id="rId16" Type="http://schemas.openxmlformats.org/officeDocument/2006/relationships/hyperlink" Target="http://www.nevo.co.il/law/70301/34kd" TargetMode="External"/><Relationship Id="rId20" Type="http://schemas.openxmlformats.org/officeDocument/2006/relationships/hyperlink" Target="http://www.nevo.co.il/law/70301/349.a"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9.a"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70301/34kd" TargetMode="External"/><Relationship Id="rId19" Type="http://schemas.openxmlformats.org/officeDocument/2006/relationships/hyperlink" Target="http://www.nevo.co.il/case/17941097"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9.a" TargetMode="External"/><Relationship Id="rId14" Type="http://schemas.openxmlformats.org/officeDocument/2006/relationships/hyperlink" Target="http://www.nevo.co.il/law/70301/348.f" TargetMode="External"/><Relationship Id="rId22" Type="http://schemas.openxmlformats.org/officeDocument/2006/relationships/hyperlink" Target="http://www.nevo.co.il/law/70301/349.a"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1850</Words>
  <Characters>10548</Characters>
  <Application>Microsoft Office Word</Application>
  <DocSecurity>0</DocSecurity>
  <Lines>87</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12374</CharactersWithSpaces>
  <SharedDoc>false</SharedDoc>
  <HLinks>
    <vt:vector size="126" baseType="variant">
      <vt:variant>
        <vt:i4>7995492</vt:i4>
      </vt:variant>
      <vt:variant>
        <vt:i4>60</vt:i4>
      </vt:variant>
      <vt:variant>
        <vt:i4>0</vt:i4>
      </vt:variant>
      <vt:variant>
        <vt:i4>5</vt:i4>
      </vt:variant>
      <vt:variant>
        <vt:lpwstr>http://www.nevo.co.il/law/70301</vt:lpwstr>
      </vt:variant>
      <vt:variant>
        <vt:lpwstr/>
      </vt:variant>
      <vt:variant>
        <vt:i4>6357094</vt:i4>
      </vt:variant>
      <vt:variant>
        <vt:i4>57</vt:i4>
      </vt:variant>
      <vt:variant>
        <vt:i4>0</vt:i4>
      </vt:variant>
      <vt:variant>
        <vt:i4>5</vt:i4>
      </vt:variant>
      <vt:variant>
        <vt:lpwstr>http://www.nevo.co.il/law/70301/349</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5177439</vt:i4>
      </vt:variant>
      <vt:variant>
        <vt:i4>48</vt:i4>
      </vt:variant>
      <vt:variant>
        <vt:i4>0</vt:i4>
      </vt:variant>
      <vt:variant>
        <vt:i4>5</vt:i4>
      </vt:variant>
      <vt:variant>
        <vt:lpwstr>http://www.nevo.co.il/law/70301/349.a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5177439</vt:i4>
      </vt:variant>
      <vt:variant>
        <vt:i4>42</vt:i4>
      </vt:variant>
      <vt:variant>
        <vt:i4>0</vt:i4>
      </vt:variant>
      <vt:variant>
        <vt:i4>5</vt:i4>
      </vt:variant>
      <vt:variant>
        <vt:lpwstr>http://www.nevo.co.il/law/70301/349.a</vt:lpwstr>
      </vt:variant>
      <vt:variant>
        <vt:lpwstr/>
      </vt:variant>
      <vt:variant>
        <vt:i4>3145847</vt:i4>
      </vt:variant>
      <vt:variant>
        <vt:i4>39</vt:i4>
      </vt:variant>
      <vt:variant>
        <vt:i4>0</vt:i4>
      </vt:variant>
      <vt:variant>
        <vt:i4>5</vt:i4>
      </vt:variant>
      <vt:variant>
        <vt:lpwstr>http://www.nevo.co.il/case/17941097</vt:lpwstr>
      </vt:variant>
      <vt:variant>
        <vt:lpwstr/>
      </vt:variant>
      <vt:variant>
        <vt:i4>3670129</vt:i4>
      </vt:variant>
      <vt:variant>
        <vt:i4>36</vt:i4>
      </vt:variant>
      <vt:variant>
        <vt:i4>0</vt:i4>
      </vt:variant>
      <vt:variant>
        <vt:i4>5</vt:i4>
      </vt:variant>
      <vt:variant>
        <vt:lpwstr>http://www.nevo.co.il/case/17938180</vt:lpwstr>
      </vt:variant>
      <vt:variant>
        <vt:lpwstr/>
      </vt:variant>
      <vt:variant>
        <vt:i4>7995492</vt:i4>
      </vt:variant>
      <vt:variant>
        <vt:i4>33</vt:i4>
      </vt:variant>
      <vt:variant>
        <vt:i4>0</vt:i4>
      </vt:variant>
      <vt:variant>
        <vt:i4>5</vt:i4>
      </vt:variant>
      <vt:variant>
        <vt:lpwstr>http://www.nevo.co.il/law/70301</vt:lpwstr>
      </vt:variant>
      <vt:variant>
        <vt:lpwstr/>
      </vt:variant>
      <vt:variant>
        <vt:i4>327693</vt:i4>
      </vt:variant>
      <vt:variant>
        <vt:i4>30</vt:i4>
      </vt:variant>
      <vt:variant>
        <vt:i4>0</vt:i4>
      </vt:variant>
      <vt:variant>
        <vt:i4>5</vt:i4>
      </vt:variant>
      <vt:variant>
        <vt:lpwstr>http://www.nevo.co.il/law/70301/34kd</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5177439</vt:i4>
      </vt:variant>
      <vt:variant>
        <vt:i4>21</vt:i4>
      </vt:variant>
      <vt:variant>
        <vt:i4>0</vt:i4>
      </vt:variant>
      <vt:variant>
        <vt:i4>5</vt:i4>
      </vt:variant>
      <vt:variant>
        <vt:lpwstr>http://www.nevo.co.il/law/70301/349.a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327693</vt:i4>
      </vt:variant>
      <vt:variant>
        <vt:i4>12</vt:i4>
      </vt:variant>
      <vt:variant>
        <vt:i4>0</vt:i4>
      </vt:variant>
      <vt:variant>
        <vt:i4>5</vt:i4>
      </vt:variant>
      <vt:variant>
        <vt:lpwstr>http://www.nevo.co.il/law/70301/34kd</vt:lpwstr>
      </vt:variant>
      <vt:variant>
        <vt:lpwstr/>
      </vt:variant>
      <vt:variant>
        <vt:i4>5177439</vt:i4>
      </vt:variant>
      <vt:variant>
        <vt:i4>9</vt:i4>
      </vt:variant>
      <vt:variant>
        <vt:i4>0</vt:i4>
      </vt:variant>
      <vt:variant>
        <vt:i4>5</vt:i4>
      </vt:variant>
      <vt:variant>
        <vt:lpwstr>http://www.nevo.co.il/law/70301/349.a</vt:lpwstr>
      </vt:variant>
      <vt:variant>
        <vt:lpwstr/>
      </vt:variant>
      <vt:variant>
        <vt:i4>6357094</vt:i4>
      </vt:variant>
      <vt:variant>
        <vt:i4>6</vt:i4>
      </vt:variant>
      <vt:variant>
        <vt:i4>0</vt:i4>
      </vt:variant>
      <vt:variant>
        <vt:i4>5</vt:i4>
      </vt:variant>
      <vt:variant>
        <vt:lpwstr>http://www.nevo.co.il/law/70301/349</vt:lpwstr>
      </vt:variant>
      <vt:variant>
        <vt:lpwstr/>
      </vt:variant>
      <vt:variant>
        <vt:i4>5177438</vt:i4>
      </vt:variant>
      <vt:variant>
        <vt:i4>3</vt:i4>
      </vt:variant>
      <vt:variant>
        <vt:i4>0</vt:i4>
      </vt:variant>
      <vt:variant>
        <vt:i4>5</vt:i4>
      </vt:variant>
      <vt:variant>
        <vt:lpwstr>http://www.nevo.co.il/law/70301/348.f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2005-04-07T09:23:00Z</cp:lastPrinted>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9649</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אשכנזי יצחק יהושע</vt:lpwstr>
  </property>
  <property fmtid="{D5CDD505-2E9C-101B-9397-08002B2CF9AE}" pid="9" name="LAWYER">
    <vt:lpwstr>נועה פלד;שירן ברגמן</vt:lpwstr>
  </property>
  <property fmtid="{D5CDD505-2E9C-101B-9397-08002B2CF9AE}" pid="10" name="JUDGE">
    <vt:lpwstr>שריזלי דניאלה</vt:lpwstr>
  </property>
  <property fmtid="{D5CDD505-2E9C-101B-9397-08002B2CF9AE}" pid="11" name="CITY">
    <vt:lpwstr>ת"א</vt:lpwstr>
  </property>
  <property fmtid="{D5CDD505-2E9C-101B-9397-08002B2CF9AE}" pid="12" name="DATE">
    <vt:lpwstr>20050407</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17938180;17941097</vt:lpwstr>
  </property>
  <property fmtid="{D5CDD505-2E9C-101B-9397-08002B2CF9AE}" pid="32" name="LAWLISTTMP1">
    <vt:lpwstr>70301/349.a:8;348.f:2;34kd:2;349:2</vt:lpwstr>
  </property>
</Properties>
</file>