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90E0" w14:textId="77777777" w:rsidR="006A2F1B" w:rsidRDefault="006A2F1B">
      <w:pPr>
        <w:spacing w:after="80" w:line="320" w:lineRule="exact"/>
        <w:ind w:firstLine="283"/>
        <w:rPr>
          <w:sz w:val="22"/>
          <w:rtl/>
        </w:rPr>
      </w:pPr>
      <w:bookmarkStart w:id="0" w:name="LastJudge"/>
    </w:p>
    <w:p w14:paraId="448FD7E9" w14:textId="77777777" w:rsidR="006A2F1B" w:rsidRDefault="006A2F1B">
      <w:pPr>
        <w:spacing w:after="80" w:line="320" w:lineRule="exact"/>
        <w:ind w:firstLine="283"/>
        <w:rPr>
          <w:rFonts w:hint="cs"/>
          <w:sz w:val="22"/>
          <w:rtl/>
        </w:rPr>
      </w:pPr>
      <w:r>
        <w:rPr>
          <w:sz w:val="22"/>
        </w:rPr>
        <w:t xml:space="preserve">    </w:t>
      </w:r>
    </w:p>
    <w:p w14:paraId="5D5AED45" w14:textId="77777777" w:rsidR="006A2F1B" w:rsidRDefault="006A2F1B">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6A2F1B" w14:paraId="099A1E5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44D51ED" w14:textId="77777777" w:rsidR="006A2F1B" w:rsidRDefault="006A2F1B">
            <w:pPr>
              <w:spacing w:after="80" w:line="320" w:lineRule="exact"/>
              <w:ind w:firstLine="283"/>
              <w:rPr>
                <w:sz w:val="22"/>
              </w:rPr>
            </w:pPr>
            <w:r>
              <w:rPr>
                <w:rFonts w:hint="cs"/>
                <w:sz w:val="22"/>
                <w:rtl/>
              </w:rPr>
              <w:t>בית משפט השלום נצרת</w:t>
            </w:r>
          </w:p>
        </w:tc>
        <w:tc>
          <w:tcPr>
            <w:tcW w:w="2915" w:type="dxa"/>
            <w:gridSpan w:val="2"/>
            <w:tcBorders>
              <w:top w:val="single" w:sz="4" w:space="0" w:color="auto"/>
              <w:left w:val="single" w:sz="4" w:space="0" w:color="auto"/>
              <w:bottom w:val="single" w:sz="4" w:space="0" w:color="auto"/>
              <w:right w:val="single" w:sz="4" w:space="0" w:color="auto"/>
            </w:tcBorders>
          </w:tcPr>
          <w:p w14:paraId="254CAD1E" w14:textId="77777777" w:rsidR="006A2F1B" w:rsidRDefault="006A2F1B">
            <w:pPr>
              <w:spacing w:after="80" w:line="320" w:lineRule="exact"/>
              <w:ind w:firstLine="283"/>
              <w:rPr>
                <w:sz w:val="22"/>
              </w:rPr>
            </w:pPr>
            <w:r>
              <w:rPr>
                <w:rFonts w:hint="cs"/>
                <w:sz w:val="22"/>
                <w:rtl/>
              </w:rPr>
              <w:t>פ  002659/03</w:t>
            </w:r>
          </w:p>
        </w:tc>
      </w:tr>
      <w:tr w:rsidR="006A2F1B" w14:paraId="019DB7E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88A72D3" w14:textId="77777777" w:rsidR="006A2F1B" w:rsidRDefault="006A2F1B">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72640195" w14:textId="77777777" w:rsidR="006A2F1B" w:rsidRDefault="00B106A3">
            <w:pPr>
              <w:spacing w:after="80" w:line="320" w:lineRule="exact"/>
              <w:ind w:firstLine="283"/>
              <w:rPr>
                <w:sz w:val="22"/>
              </w:rPr>
            </w:pPr>
            <w:r>
              <w:rPr>
                <w:sz w:val="22"/>
                <w:rtl/>
              </w:rPr>
              <w:t xml:space="preserve"> </w:t>
            </w:r>
          </w:p>
        </w:tc>
      </w:tr>
      <w:tr w:rsidR="006A2F1B" w14:paraId="505B51FC"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1AA5D03F" w14:textId="77777777" w:rsidR="006A2F1B" w:rsidRDefault="006A2F1B">
            <w:pPr>
              <w:spacing w:after="80" w:line="320" w:lineRule="exact"/>
              <w:ind w:firstLine="283"/>
              <w:rPr>
                <w:sz w:val="22"/>
              </w:rPr>
            </w:pPr>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6632CFDC" w14:textId="77777777" w:rsidR="006A2F1B" w:rsidRDefault="006A2F1B">
            <w:pPr>
              <w:spacing w:after="80" w:line="320" w:lineRule="exact"/>
              <w:ind w:firstLine="283"/>
              <w:rPr>
                <w:sz w:val="22"/>
              </w:rPr>
            </w:pPr>
            <w:r>
              <w:rPr>
                <w:rFonts w:hint="cs"/>
                <w:sz w:val="22"/>
                <w:rtl/>
              </w:rPr>
              <w:t>כב' השופטת לילי יונג-גפר</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65D217F" w14:textId="77777777" w:rsidR="006A2F1B" w:rsidRDefault="006A2F1B">
            <w:pPr>
              <w:spacing w:after="80" w:line="320" w:lineRule="exact"/>
              <w:ind w:firstLine="283"/>
              <w:rPr>
                <w:sz w:val="22"/>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7DDADCF3" w14:textId="77777777" w:rsidR="006A2F1B" w:rsidRDefault="006A2F1B">
            <w:pPr>
              <w:spacing w:after="80" w:line="320" w:lineRule="exact"/>
              <w:ind w:firstLine="283"/>
              <w:rPr>
                <w:sz w:val="22"/>
              </w:rPr>
            </w:pPr>
            <w:r>
              <w:rPr>
                <w:rFonts w:hint="cs"/>
                <w:sz w:val="22"/>
                <w:rtl/>
              </w:rPr>
              <w:t>02/09/2003</w:t>
            </w:r>
          </w:p>
        </w:tc>
      </w:tr>
    </w:tbl>
    <w:p w14:paraId="5A650630" w14:textId="77777777" w:rsidR="006A2F1B" w:rsidRDefault="006A2F1B">
      <w:pPr>
        <w:spacing w:after="80" w:line="320" w:lineRule="exact"/>
        <w:ind w:firstLine="283"/>
        <w:rPr>
          <w:rFonts w:hint="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A2F1B" w14:paraId="66B361CD" w14:textId="77777777">
        <w:tc>
          <w:tcPr>
            <w:tcW w:w="1362" w:type="dxa"/>
          </w:tcPr>
          <w:p w14:paraId="70AB50E0" w14:textId="77777777" w:rsidR="006A2F1B" w:rsidRDefault="006A2F1B">
            <w:pPr>
              <w:spacing w:after="80" w:line="320" w:lineRule="exact"/>
              <w:ind w:firstLine="283"/>
              <w:rPr>
                <w:b/>
                <w:bCs/>
                <w:sz w:val="22"/>
              </w:rPr>
            </w:pPr>
            <w:bookmarkStart w:id="1" w:name="FirstAppellant"/>
            <w:r>
              <w:rPr>
                <w:rFonts w:hint="cs"/>
                <w:b/>
                <w:bCs/>
                <w:sz w:val="22"/>
                <w:rtl/>
              </w:rPr>
              <w:t>בעניין:</w:t>
            </w:r>
          </w:p>
        </w:tc>
        <w:tc>
          <w:tcPr>
            <w:tcW w:w="4820" w:type="dxa"/>
            <w:gridSpan w:val="2"/>
          </w:tcPr>
          <w:p w14:paraId="774AA1B9" w14:textId="77777777" w:rsidR="006A2F1B" w:rsidRDefault="006A2F1B">
            <w:pPr>
              <w:pStyle w:val="a"/>
              <w:suppressLineNumbers w:val="0"/>
              <w:spacing w:after="80" w:line="320" w:lineRule="exact"/>
              <w:ind w:firstLine="283"/>
            </w:pPr>
            <w:r>
              <w:rPr>
                <w:rFonts w:hint="cs"/>
                <w:rtl/>
              </w:rPr>
              <w:t>מדינת ישראל</w:t>
            </w:r>
          </w:p>
        </w:tc>
        <w:tc>
          <w:tcPr>
            <w:tcW w:w="2409" w:type="dxa"/>
          </w:tcPr>
          <w:p w14:paraId="052B3C42" w14:textId="77777777" w:rsidR="006A2F1B" w:rsidRDefault="00B106A3">
            <w:pPr>
              <w:pStyle w:val="a"/>
              <w:suppressLineNumbers w:val="0"/>
              <w:spacing w:after="80" w:line="320" w:lineRule="exact"/>
              <w:ind w:firstLine="283"/>
            </w:pPr>
            <w:r>
              <w:rPr>
                <w:rtl/>
              </w:rPr>
              <w:t xml:space="preserve"> </w:t>
            </w:r>
          </w:p>
        </w:tc>
      </w:tr>
      <w:bookmarkEnd w:id="1"/>
      <w:tr w:rsidR="006A2F1B" w14:paraId="02867775" w14:textId="77777777">
        <w:tc>
          <w:tcPr>
            <w:tcW w:w="1362" w:type="dxa"/>
          </w:tcPr>
          <w:p w14:paraId="0ABBEDA9" w14:textId="77777777" w:rsidR="006A2F1B" w:rsidRDefault="00B106A3">
            <w:pPr>
              <w:pStyle w:val="a"/>
              <w:suppressLineNumbers w:val="0"/>
              <w:spacing w:after="80" w:line="320" w:lineRule="exact"/>
              <w:ind w:firstLine="283"/>
            </w:pPr>
            <w:r>
              <w:rPr>
                <w:rtl/>
              </w:rPr>
              <w:t xml:space="preserve"> </w:t>
            </w:r>
          </w:p>
        </w:tc>
        <w:tc>
          <w:tcPr>
            <w:tcW w:w="1757" w:type="dxa"/>
          </w:tcPr>
          <w:p w14:paraId="66992D5B" w14:textId="77777777" w:rsidR="006A2F1B" w:rsidRDefault="00B106A3">
            <w:pPr>
              <w:pStyle w:val="a"/>
              <w:suppressLineNumbers w:val="0"/>
              <w:spacing w:after="80" w:line="320" w:lineRule="exact"/>
              <w:ind w:firstLine="283"/>
            </w:pPr>
            <w:r>
              <w:rPr>
                <w:rtl/>
              </w:rPr>
              <w:t xml:space="preserve"> </w:t>
            </w:r>
          </w:p>
        </w:tc>
        <w:tc>
          <w:tcPr>
            <w:tcW w:w="3063" w:type="dxa"/>
          </w:tcPr>
          <w:p w14:paraId="1D6DE868" w14:textId="77777777" w:rsidR="006A2F1B" w:rsidRDefault="00B106A3">
            <w:pPr>
              <w:pStyle w:val="a"/>
              <w:suppressLineNumbers w:val="0"/>
              <w:spacing w:after="80" w:line="320" w:lineRule="exact"/>
              <w:ind w:firstLine="283"/>
            </w:pPr>
            <w:r>
              <w:rPr>
                <w:rtl/>
              </w:rPr>
              <w:t xml:space="preserve"> </w:t>
            </w:r>
          </w:p>
        </w:tc>
        <w:tc>
          <w:tcPr>
            <w:tcW w:w="2409" w:type="dxa"/>
          </w:tcPr>
          <w:p w14:paraId="1C79AA49" w14:textId="77777777" w:rsidR="006A2F1B" w:rsidRDefault="006A2F1B">
            <w:pPr>
              <w:pStyle w:val="a"/>
              <w:suppressLineNumbers w:val="0"/>
              <w:spacing w:after="80" w:line="320" w:lineRule="exact"/>
              <w:ind w:firstLine="283"/>
            </w:pPr>
            <w:r>
              <w:rPr>
                <w:rFonts w:hint="cs"/>
                <w:rtl/>
              </w:rPr>
              <w:t>המאשימה</w:t>
            </w:r>
          </w:p>
        </w:tc>
      </w:tr>
      <w:tr w:rsidR="006A2F1B" w14:paraId="76508A19" w14:textId="77777777">
        <w:tc>
          <w:tcPr>
            <w:tcW w:w="1362" w:type="dxa"/>
          </w:tcPr>
          <w:p w14:paraId="7BA17B2C" w14:textId="77777777" w:rsidR="006A2F1B" w:rsidRDefault="00B106A3">
            <w:pPr>
              <w:pStyle w:val="a"/>
              <w:suppressLineNumbers w:val="0"/>
              <w:spacing w:after="80" w:line="320" w:lineRule="exact"/>
              <w:ind w:firstLine="283"/>
            </w:pPr>
            <w:r>
              <w:rPr>
                <w:rtl/>
              </w:rPr>
              <w:t xml:space="preserve"> </w:t>
            </w:r>
          </w:p>
        </w:tc>
        <w:tc>
          <w:tcPr>
            <w:tcW w:w="4820" w:type="dxa"/>
            <w:gridSpan w:val="2"/>
          </w:tcPr>
          <w:p w14:paraId="7CFF459D" w14:textId="77777777" w:rsidR="006A2F1B" w:rsidRDefault="006A2F1B">
            <w:pPr>
              <w:pStyle w:val="a"/>
              <w:suppressLineNumbers w:val="0"/>
              <w:spacing w:after="80" w:line="320" w:lineRule="exact"/>
              <w:ind w:firstLine="283"/>
              <w:jc w:val="center"/>
            </w:pPr>
            <w:r>
              <w:rPr>
                <w:rFonts w:hint="cs"/>
                <w:rtl/>
              </w:rPr>
              <w:t>נ  ג  ד</w:t>
            </w:r>
          </w:p>
        </w:tc>
        <w:tc>
          <w:tcPr>
            <w:tcW w:w="2409" w:type="dxa"/>
          </w:tcPr>
          <w:p w14:paraId="681E87E7" w14:textId="77777777" w:rsidR="006A2F1B" w:rsidRDefault="00B106A3">
            <w:pPr>
              <w:pStyle w:val="a"/>
              <w:suppressLineNumbers w:val="0"/>
              <w:spacing w:after="80" w:line="320" w:lineRule="exact"/>
              <w:ind w:firstLine="283"/>
            </w:pPr>
            <w:r>
              <w:rPr>
                <w:rtl/>
              </w:rPr>
              <w:t xml:space="preserve"> </w:t>
            </w:r>
          </w:p>
        </w:tc>
      </w:tr>
      <w:tr w:rsidR="006A2F1B" w14:paraId="0F7D8F3F" w14:textId="77777777">
        <w:tc>
          <w:tcPr>
            <w:tcW w:w="1362" w:type="dxa"/>
          </w:tcPr>
          <w:p w14:paraId="0ACED17A" w14:textId="77777777" w:rsidR="006A2F1B" w:rsidRDefault="00B106A3">
            <w:pPr>
              <w:pStyle w:val="a"/>
              <w:suppressLineNumbers w:val="0"/>
              <w:spacing w:after="80" w:line="320" w:lineRule="exact"/>
              <w:ind w:firstLine="283"/>
            </w:pPr>
            <w:bookmarkStart w:id="2" w:name="שם_ב" w:colFirst="1" w:colLast="1"/>
            <w:r>
              <w:rPr>
                <w:rtl/>
              </w:rPr>
              <w:t xml:space="preserve"> </w:t>
            </w:r>
          </w:p>
        </w:tc>
        <w:tc>
          <w:tcPr>
            <w:tcW w:w="4820" w:type="dxa"/>
            <w:gridSpan w:val="2"/>
          </w:tcPr>
          <w:p w14:paraId="3B46FA7B" w14:textId="77777777" w:rsidR="006A2F1B" w:rsidRDefault="006A2F1B">
            <w:pPr>
              <w:pStyle w:val="a"/>
              <w:suppressLineNumbers w:val="0"/>
              <w:spacing w:after="80" w:line="320" w:lineRule="exact"/>
              <w:ind w:firstLine="283"/>
            </w:pPr>
            <w:r>
              <w:rPr>
                <w:rFonts w:hint="cs"/>
                <w:rtl/>
              </w:rPr>
              <w:t>טאהא טלאל</w:t>
            </w:r>
          </w:p>
        </w:tc>
        <w:tc>
          <w:tcPr>
            <w:tcW w:w="2409" w:type="dxa"/>
          </w:tcPr>
          <w:p w14:paraId="2D040D43" w14:textId="77777777" w:rsidR="006A2F1B" w:rsidRDefault="00B106A3">
            <w:pPr>
              <w:pStyle w:val="a"/>
              <w:suppressLineNumbers w:val="0"/>
              <w:spacing w:after="80" w:line="320" w:lineRule="exact"/>
              <w:ind w:firstLine="283"/>
            </w:pPr>
            <w:r>
              <w:rPr>
                <w:rtl/>
              </w:rPr>
              <w:t xml:space="preserve"> </w:t>
            </w:r>
          </w:p>
        </w:tc>
      </w:tr>
      <w:tr w:rsidR="006A2F1B" w14:paraId="5D0BA3FE" w14:textId="77777777">
        <w:tc>
          <w:tcPr>
            <w:tcW w:w="1362" w:type="dxa"/>
          </w:tcPr>
          <w:p w14:paraId="5EED1770" w14:textId="77777777" w:rsidR="006A2F1B" w:rsidRDefault="00B106A3">
            <w:pPr>
              <w:pStyle w:val="a"/>
              <w:suppressLineNumbers w:val="0"/>
              <w:spacing w:after="80" w:line="320" w:lineRule="exact"/>
              <w:ind w:firstLine="283"/>
            </w:pPr>
            <w:bookmarkStart w:id="3" w:name="בא_כוח_ב" w:colFirst="2" w:colLast="2"/>
            <w:bookmarkEnd w:id="2"/>
            <w:r>
              <w:rPr>
                <w:rtl/>
              </w:rPr>
              <w:t xml:space="preserve"> </w:t>
            </w:r>
          </w:p>
        </w:tc>
        <w:tc>
          <w:tcPr>
            <w:tcW w:w="1757" w:type="dxa"/>
          </w:tcPr>
          <w:p w14:paraId="48A8FC54" w14:textId="77777777" w:rsidR="006A2F1B" w:rsidRDefault="006A2F1B">
            <w:pPr>
              <w:pStyle w:val="a"/>
              <w:suppressLineNumbers w:val="0"/>
              <w:spacing w:after="80" w:line="320" w:lineRule="exact"/>
              <w:ind w:firstLine="283"/>
            </w:pPr>
            <w:r>
              <w:rPr>
                <w:rFonts w:hint="cs"/>
                <w:rtl/>
              </w:rPr>
              <w:t>ע"י ב"כ עו"ד</w:t>
            </w:r>
          </w:p>
        </w:tc>
        <w:tc>
          <w:tcPr>
            <w:tcW w:w="3063" w:type="dxa"/>
          </w:tcPr>
          <w:p w14:paraId="15E4F7C9" w14:textId="77777777" w:rsidR="006A2F1B" w:rsidRDefault="00B106A3">
            <w:pPr>
              <w:pStyle w:val="a"/>
              <w:suppressLineNumbers w:val="0"/>
              <w:spacing w:after="80" w:line="320" w:lineRule="exact"/>
              <w:ind w:firstLine="283"/>
            </w:pPr>
            <w:r>
              <w:rPr>
                <w:rtl/>
              </w:rPr>
              <w:t xml:space="preserve"> </w:t>
            </w:r>
          </w:p>
        </w:tc>
        <w:tc>
          <w:tcPr>
            <w:tcW w:w="2409" w:type="dxa"/>
          </w:tcPr>
          <w:p w14:paraId="0C02A89F" w14:textId="77777777" w:rsidR="006A2F1B" w:rsidRDefault="006A2F1B">
            <w:pPr>
              <w:pStyle w:val="a"/>
              <w:suppressLineNumbers w:val="0"/>
              <w:spacing w:after="80" w:line="320" w:lineRule="exact"/>
              <w:ind w:firstLine="283"/>
            </w:pPr>
            <w:r>
              <w:rPr>
                <w:rFonts w:hint="cs"/>
                <w:rtl/>
              </w:rPr>
              <w:t>הנאשם</w:t>
            </w:r>
          </w:p>
        </w:tc>
      </w:tr>
      <w:bookmarkEnd w:id="3"/>
    </w:tbl>
    <w:p w14:paraId="229F2503" w14:textId="77777777" w:rsidR="006A2F1B" w:rsidRDefault="006A2F1B">
      <w:pPr>
        <w:spacing w:after="80" w:line="320" w:lineRule="exact"/>
        <w:ind w:firstLine="283"/>
        <w:rPr>
          <w:rFonts w:hint="cs"/>
          <w:sz w:val="22"/>
          <w:rtl/>
        </w:rPr>
      </w:pPr>
    </w:p>
    <w:tbl>
      <w:tblPr>
        <w:bidiVisual/>
        <w:tblW w:w="0" w:type="auto"/>
        <w:tblCellMar>
          <w:left w:w="107" w:type="dxa"/>
          <w:right w:w="107" w:type="dxa"/>
        </w:tblCellMar>
        <w:tblLook w:val="0000" w:firstRow="0" w:lastRow="0" w:firstColumn="0" w:lastColumn="0" w:noHBand="0" w:noVBand="0"/>
      </w:tblPr>
      <w:tblGrid>
        <w:gridCol w:w="1332"/>
        <w:gridCol w:w="7230"/>
      </w:tblGrid>
      <w:tr w:rsidR="006A2F1B" w14:paraId="2D5CC190" w14:textId="77777777">
        <w:tc>
          <w:tcPr>
            <w:tcW w:w="1332" w:type="dxa"/>
          </w:tcPr>
          <w:p w14:paraId="4E5BA07B" w14:textId="77777777" w:rsidR="006A2F1B" w:rsidRDefault="006A2F1B">
            <w:pPr>
              <w:pStyle w:val="Heading3"/>
              <w:spacing w:after="80" w:line="320" w:lineRule="exact"/>
              <w:ind w:firstLine="283"/>
              <w:rPr>
                <w:sz w:val="22"/>
              </w:rPr>
            </w:pPr>
            <w:bookmarkStart w:id="4" w:name="FirstLawyer"/>
            <w:r>
              <w:rPr>
                <w:rFonts w:hint="cs"/>
                <w:sz w:val="22"/>
                <w:rtl/>
              </w:rPr>
              <w:t>נוכחים;</w:t>
            </w:r>
          </w:p>
        </w:tc>
        <w:tc>
          <w:tcPr>
            <w:tcW w:w="7230" w:type="dxa"/>
          </w:tcPr>
          <w:p w14:paraId="2C2877F6" w14:textId="77777777" w:rsidR="006A2F1B" w:rsidRDefault="006A2F1B">
            <w:pPr>
              <w:spacing w:after="80" w:line="320" w:lineRule="exact"/>
              <w:ind w:firstLine="283"/>
              <w:rPr>
                <w:b/>
                <w:bCs/>
                <w:sz w:val="22"/>
              </w:rPr>
            </w:pPr>
            <w:r>
              <w:rPr>
                <w:rFonts w:hint="cs"/>
                <w:b/>
                <w:bCs/>
                <w:sz w:val="22"/>
                <w:rtl/>
              </w:rPr>
              <w:t xml:space="preserve">בשם המאשימה: </w:t>
            </w:r>
            <w:r>
              <w:rPr>
                <w:rFonts w:hint="cs"/>
                <w:b/>
                <w:bCs/>
                <w:sz w:val="22"/>
              </w:rPr>
              <w:t xml:space="preserve"> </w:t>
            </w:r>
            <w:r>
              <w:rPr>
                <w:rFonts w:hint="cs"/>
                <w:b/>
                <w:bCs/>
                <w:sz w:val="22"/>
                <w:rtl/>
              </w:rPr>
              <w:t>עו"ד מירב וסרקרוג</w:t>
            </w:r>
          </w:p>
          <w:p w14:paraId="278ED3B6" w14:textId="77777777" w:rsidR="006A2F1B" w:rsidRDefault="006A2F1B">
            <w:pPr>
              <w:spacing w:after="80" w:line="320" w:lineRule="exact"/>
              <w:ind w:firstLine="283"/>
              <w:rPr>
                <w:b/>
                <w:bCs/>
                <w:sz w:val="22"/>
              </w:rPr>
            </w:pPr>
            <w:r>
              <w:rPr>
                <w:rFonts w:hint="cs"/>
                <w:b/>
                <w:bCs/>
                <w:sz w:val="22"/>
                <w:rtl/>
              </w:rPr>
              <w:t>הנאשם: בעצמו וע"י ב"כ עו"ד יונס מראם מהסניגוריה הציבורית</w:t>
            </w:r>
          </w:p>
        </w:tc>
      </w:tr>
    </w:tbl>
    <w:p w14:paraId="5A7A7FFC" w14:textId="77777777" w:rsidR="00133FD3" w:rsidRDefault="00133FD3">
      <w:pPr>
        <w:spacing w:after="80" w:line="320" w:lineRule="exact"/>
        <w:ind w:firstLine="283"/>
        <w:rPr>
          <w:sz w:val="22"/>
          <w:rtl/>
        </w:rPr>
      </w:pPr>
      <w:bookmarkStart w:id="5" w:name="LawTable"/>
      <w:bookmarkEnd w:id="4"/>
      <w:bookmarkEnd w:id="5"/>
    </w:p>
    <w:p w14:paraId="288CDC1C" w14:textId="77777777" w:rsidR="00133FD3" w:rsidRPr="00133FD3" w:rsidRDefault="00133FD3" w:rsidP="00133FD3">
      <w:pPr>
        <w:spacing w:after="120" w:line="240" w:lineRule="exact"/>
        <w:ind w:left="283" w:hanging="283"/>
        <w:rPr>
          <w:rFonts w:ascii="FrankRuehl" w:hAnsi="FrankRuehl" w:cs="FrankRuehl"/>
          <w:sz w:val="24"/>
          <w:rtl/>
        </w:rPr>
      </w:pPr>
    </w:p>
    <w:p w14:paraId="3EE4F7C9" w14:textId="77777777" w:rsidR="00133FD3" w:rsidRPr="00133FD3" w:rsidRDefault="00133FD3" w:rsidP="00133FD3">
      <w:pPr>
        <w:spacing w:after="120" w:line="240" w:lineRule="exact"/>
        <w:ind w:left="283" w:hanging="283"/>
        <w:rPr>
          <w:rFonts w:ascii="FrankRuehl" w:hAnsi="FrankRuehl" w:cs="FrankRuehl"/>
          <w:sz w:val="24"/>
          <w:rtl/>
        </w:rPr>
      </w:pPr>
      <w:r w:rsidRPr="00133FD3">
        <w:rPr>
          <w:rFonts w:ascii="FrankRuehl" w:hAnsi="FrankRuehl" w:cs="FrankRuehl"/>
          <w:sz w:val="24"/>
          <w:rtl/>
        </w:rPr>
        <w:t xml:space="preserve">חקיקה שאוזכרה: </w:t>
      </w:r>
    </w:p>
    <w:p w14:paraId="7102BD26" w14:textId="77777777" w:rsidR="00133FD3" w:rsidRPr="00133FD3" w:rsidRDefault="00133FD3" w:rsidP="00133FD3">
      <w:pPr>
        <w:spacing w:after="120" w:line="240" w:lineRule="exact"/>
        <w:ind w:left="283" w:hanging="283"/>
        <w:rPr>
          <w:rFonts w:ascii="FrankRuehl" w:hAnsi="FrankRuehl" w:cs="FrankRuehl"/>
          <w:sz w:val="24"/>
          <w:rtl/>
        </w:rPr>
      </w:pPr>
      <w:hyperlink r:id="rId6" w:history="1">
        <w:r w:rsidRPr="00133FD3">
          <w:rPr>
            <w:rFonts w:ascii="FrankRuehl" w:hAnsi="FrankRuehl" w:cs="FrankRuehl"/>
            <w:color w:val="0000FF"/>
            <w:sz w:val="24"/>
            <w:u w:val="single"/>
            <w:rtl/>
          </w:rPr>
          <w:t>פקודת הראיות [נוסח חדש], תשל"א-1971</w:t>
        </w:r>
      </w:hyperlink>
      <w:r w:rsidRPr="00133FD3">
        <w:rPr>
          <w:rFonts w:ascii="FrankRuehl" w:hAnsi="FrankRuehl" w:cs="FrankRuehl"/>
          <w:sz w:val="24"/>
          <w:rtl/>
        </w:rPr>
        <w:t xml:space="preserve">: סע'  </w:t>
      </w:r>
      <w:hyperlink r:id="rId7" w:history="1">
        <w:r w:rsidRPr="00133FD3">
          <w:rPr>
            <w:rFonts w:ascii="FrankRuehl" w:hAnsi="FrankRuehl" w:cs="FrankRuehl"/>
            <w:color w:val="0000FF"/>
            <w:sz w:val="24"/>
            <w:u w:val="single"/>
            <w:rtl/>
          </w:rPr>
          <w:t>10א</w:t>
        </w:r>
      </w:hyperlink>
      <w:r w:rsidRPr="00133FD3">
        <w:rPr>
          <w:rFonts w:ascii="FrankRuehl" w:hAnsi="FrankRuehl" w:cs="FrankRuehl"/>
          <w:sz w:val="24"/>
          <w:rtl/>
        </w:rPr>
        <w:t xml:space="preserve">, </w:t>
      </w:r>
      <w:hyperlink r:id="rId8" w:history="1">
        <w:r w:rsidRPr="00133FD3">
          <w:rPr>
            <w:rFonts w:ascii="FrankRuehl" w:hAnsi="FrankRuehl" w:cs="FrankRuehl"/>
            <w:color w:val="0000FF"/>
            <w:sz w:val="24"/>
            <w:u w:val="single"/>
            <w:rtl/>
          </w:rPr>
          <w:t>10א(א)</w:t>
        </w:r>
      </w:hyperlink>
      <w:r w:rsidRPr="00133FD3">
        <w:rPr>
          <w:rFonts w:ascii="FrankRuehl" w:hAnsi="FrankRuehl" w:cs="FrankRuehl"/>
          <w:sz w:val="24"/>
          <w:rtl/>
        </w:rPr>
        <w:t xml:space="preserve">, </w:t>
      </w:r>
      <w:hyperlink r:id="rId9" w:history="1">
        <w:r w:rsidRPr="00133FD3">
          <w:rPr>
            <w:rFonts w:ascii="FrankRuehl" w:hAnsi="FrankRuehl" w:cs="FrankRuehl"/>
            <w:color w:val="0000FF"/>
            <w:sz w:val="24"/>
            <w:u w:val="single"/>
            <w:rtl/>
          </w:rPr>
          <w:t>10א(ד)</w:t>
        </w:r>
      </w:hyperlink>
    </w:p>
    <w:p w14:paraId="111F408F" w14:textId="77777777" w:rsidR="00133FD3" w:rsidRPr="00133FD3" w:rsidRDefault="00133FD3" w:rsidP="00133FD3">
      <w:pPr>
        <w:spacing w:after="120" w:line="240" w:lineRule="exact"/>
        <w:ind w:left="283" w:hanging="283"/>
        <w:rPr>
          <w:rFonts w:ascii="FrankRuehl" w:hAnsi="FrankRuehl" w:cs="FrankRuehl"/>
          <w:sz w:val="24"/>
          <w:rtl/>
        </w:rPr>
      </w:pPr>
      <w:hyperlink r:id="rId10" w:history="1">
        <w:r w:rsidRPr="00133FD3">
          <w:rPr>
            <w:rFonts w:ascii="FrankRuehl" w:hAnsi="FrankRuehl" w:cs="FrankRuehl"/>
            <w:color w:val="0000FF"/>
            <w:sz w:val="24"/>
            <w:u w:val="single"/>
            <w:rtl/>
          </w:rPr>
          <w:t>חוק העונשין, תשל"ז-1977</w:t>
        </w:r>
      </w:hyperlink>
      <w:r w:rsidRPr="00133FD3">
        <w:rPr>
          <w:rFonts w:ascii="FrankRuehl" w:hAnsi="FrankRuehl" w:cs="FrankRuehl"/>
          <w:sz w:val="24"/>
          <w:rtl/>
        </w:rPr>
        <w:t xml:space="preserve">: סע'  </w:t>
      </w:r>
      <w:hyperlink r:id="rId11" w:history="1">
        <w:r w:rsidRPr="00133FD3">
          <w:rPr>
            <w:rFonts w:ascii="FrankRuehl" w:hAnsi="FrankRuehl" w:cs="FrankRuehl"/>
            <w:color w:val="0000FF"/>
            <w:sz w:val="24"/>
            <w:u w:val="single"/>
            <w:rtl/>
          </w:rPr>
          <w:t>184</w:t>
        </w:r>
      </w:hyperlink>
      <w:r w:rsidRPr="00133FD3">
        <w:rPr>
          <w:rFonts w:ascii="FrankRuehl" w:hAnsi="FrankRuehl" w:cs="FrankRuehl"/>
          <w:sz w:val="24"/>
          <w:rtl/>
        </w:rPr>
        <w:t xml:space="preserve">, </w:t>
      </w:r>
      <w:hyperlink r:id="rId12" w:history="1">
        <w:r w:rsidRPr="00133FD3">
          <w:rPr>
            <w:rFonts w:ascii="FrankRuehl" w:hAnsi="FrankRuehl" w:cs="FrankRuehl"/>
            <w:color w:val="0000FF"/>
            <w:sz w:val="24"/>
            <w:u w:val="single"/>
            <w:rtl/>
          </w:rPr>
          <w:t>186</w:t>
        </w:r>
      </w:hyperlink>
      <w:r w:rsidRPr="00133FD3">
        <w:rPr>
          <w:rFonts w:ascii="FrankRuehl" w:hAnsi="FrankRuehl" w:cs="FrankRuehl"/>
          <w:sz w:val="24"/>
          <w:rtl/>
        </w:rPr>
        <w:t xml:space="preserve">, </w:t>
      </w:r>
      <w:hyperlink r:id="rId13" w:history="1">
        <w:r w:rsidRPr="00133FD3">
          <w:rPr>
            <w:rFonts w:ascii="FrankRuehl" w:hAnsi="FrankRuehl" w:cs="FrankRuehl"/>
            <w:color w:val="0000FF"/>
            <w:sz w:val="24"/>
            <w:u w:val="single"/>
            <w:rtl/>
          </w:rPr>
          <w:t>186(א)</w:t>
        </w:r>
      </w:hyperlink>
      <w:r w:rsidRPr="00133FD3">
        <w:rPr>
          <w:rFonts w:ascii="FrankRuehl" w:hAnsi="FrankRuehl" w:cs="FrankRuehl"/>
          <w:sz w:val="24"/>
          <w:rtl/>
        </w:rPr>
        <w:t xml:space="preserve">, </w:t>
      </w:r>
      <w:hyperlink r:id="rId14" w:history="1">
        <w:r w:rsidRPr="00133FD3">
          <w:rPr>
            <w:rFonts w:ascii="FrankRuehl" w:hAnsi="FrankRuehl" w:cs="FrankRuehl"/>
            <w:color w:val="0000FF"/>
            <w:sz w:val="24"/>
            <w:u w:val="single"/>
            <w:rtl/>
          </w:rPr>
          <w:t>192</w:t>
        </w:r>
      </w:hyperlink>
      <w:r w:rsidRPr="00133FD3">
        <w:rPr>
          <w:rFonts w:ascii="FrankRuehl" w:hAnsi="FrankRuehl" w:cs="FrankRuehl"/>
          <w:sz w:val="24"/>
          <w:rtl/>
        </w:rPr>
        <w:t xml:space="preserve">, </w:t>
      </w:r>
      <w:hyperlink r:id="rId15" w:history="1">
        <w:r w:rsidRPr="00133FD3">
          <w:rPr>
            <w:rFonts w:ascii="FrankRuehl" w:hAnsi="FrankRuehl" w:cs="FrankRuehl"/>
            <w:color w:val="0000FF"/>
            <w:sz w:val="24"/>
            <w:u w:val="single"/>
            <w:rtl/>
          </w:rPr>
          <w:t>348(ג)</w:t>
        </w:r>
      </w:hyperlink>
      <w:r w:rsidRPr="00133FD3">
        <w:rPr>
          <w:rFonts w:ascii="FrankRuehl" w:hAnsi="FrankRuehl" w:cs="FrankRuehl"/>
          <w:sz w:val="24"/>
          <w:rtl/>
        </w:rPr>
        <w:t xml:space="preserve">, </w:t>
      </w:r>
      <w:hyperlink r:id="rId16" w:history="1">
        <w:r w:rsidRPr="00133FD3">
          <w:rPr>
            <w:rFonts w:ascii="FrankRuehl" w:hAnsi="FrankRuehl" w:cs="FrankRuehl"/>
            <w:color w:val="0000FF"/>
            <w:sz w:val="24"/>
            <w:u w:val="single"/>
            <w:rtl/>
          </w:rPr>
          <w:t>379</w:t>
        </w:r>
      </w:hyperlink>
      <w:r w:rsidRPr="00133FD3">
        <w:rPr>
          <w:rFonts w:ascii="FrankRuehl" w:hAnsi="FrankRuehl" w:cs="FrankRuehl"/>
          <w:sz w:val="24"/>
          <w:rtl/>
        </w:rPr>
        <w:t xml:space="preserve">, </w:t>
      </w:r>
      <w:hyperlink r:id="rId17" w:history="1">
        <w:r w:rsidRPr="00133FD3">
          <w:rPr>
            <w:rFonts w:ascii="FrankRuehl" w:hAnsi="FrankRuehl" w:cs="FrankRuehl"/>
            <w:color w:val="0000FF"/>
            <w:sz w:val="24"/>
            <w:u w:val="single"/>
            <w:rtl/>
          </w:rPr>
          <w:t>452</w:t>
        </w:r>
      </w:hyperlink>
    </w:p>
    <w:p w14:paraId="76FC7B32" w14:textId="77777777" w:rsidR="00133FD3" w:rsidRPr="00133FD3" w:rsidRDefault="00133FD3" w:rsidP="00133FD3">
      <w:pPr>
        <w:spacing w:after="120" w:line="240" w:lineRule="exact"/>
        <w:ind w:left="283" w:hanging="283"/>
        <w:rPr>
          <w:rFonts w:ascii="FrankRuehl" w:hAnsi="FrankRuehl" w:cs="FrankRuehl"/>
          <w:sz w:val="24"/>
          <w:rtl/>
        </w:rPr>
      </w:pPr>
    </w:p>
    <w:p w14:paraId="4F0F37C8" w14:textId="77777777" w:rsidR="00133FD3" w:rsidRPr="00133FD3" w:rsidRDefault="00133FD3">
      <w:pPr>
        <w:spacing w:after="80" w:line="320" w:lineRule="exact"/>
        <w:ind w:firstLine="283"/>
        <w:rPr>
          <w:sz w:val="22"/>
          <w:rtl/>
        </w:rPr>
      </w:pPr>
      <w:bookmarkStart w:id="6" w:name="LawTable_End"/>
      <w:bookmarkEnd w:id="6"/>
    </w:p>
    <w:p w14:paraId="15DBCEFF" w14:textId="77777777" w:rsidR="00133FD3" w:rsidRPr="00133FD3" w:rsidRDefault="00133FD3">
      <w:pPr>
        <w:spacing w:after="80" w:line="320" w:lineRule="exact"/>
        <w:ind w:firstLine="283"/>
        <w:rPr>
          <w:sz w:val="22"/>
          <w:rtl/>
        </w:rPr>
      </w:pPr>
    </w:p>
    <w:p w14:paraId="2CA0D039" w14:textId="77777777" w:rsidR="006A2F1B" w:rsidRPr="00133FD3" w:rsidRDefault="006A2F1B">
      <w:pPr>
        <w:spacing w:after="80" w:line="320" w:lineRule="exact"/>
        <w:ind w:firstLine="283"/>
        <w:rPr>
          <w:sz w:val="22"/>
          <w:rtl/>
        </w:rPr>
      </w:pPr>
    </w:p>
    <w:p w14:paraId="3060EE67" w14:textId="77777777" w:rsidR="00710CC6" w:rsidRPr="00710CC6" w:rsidRDefault="00710CC6">
      <w:pPr>
        <w:spacing w:after="80" w:line="320" w:lineRule="exact"/>
        <w:ind w:firstLine="283"/>
        <w:rPr>
          <w:sz w:val="22"/>
          <w:rtl/>
        </w:rPr>
      </w:pPr>
    </w:p>
    <w:p w14:paraId="11A6BB24" w14:textId="77777777" w:rsidR="00710CC6" w:rsidRPr="00710CC6" w:rsidRDefault="00710CC6">
      <w:pPr>
        <w:spacing w:after="80" w:line="320" w:lineRule="exact"/>
        <w:ind w:firstLine="283"/>
        <w:rPr>
          <w:sz w:val="22"/>
          <w:rtl/>
        </w:rPr>
      </w:pPr>
    </w:p>
    <w:p w14:paraId="4465FFC3" w14:textId="77777777" w:rsidR="006A2F1B" w:rsidRPr="00710CC6" w:rsidRDefault="006A2F1B">
      <w:pPr>
        <w:spacing w:after="80" w:line="320" w:lineRule="exact"/>
        <w:ind w:firstLine="283"/>
        <w:rPr>
          <w:sz w:val="22"/>
          <w:rtl/>
        </w:rPr>
      </w:pPr>
    </w:p>
    <w:p w14:paraId="1811B1B6" w14:textId="77777777" w:rsidR="00B106A3" w:rsidRPr="00B106A3" w:rsidRDefault="00B106A3">
      <w:pPr>
        <w:spacing w:after="80" w:line="320" w:lineRule="exact"/>
        <w:ind w:firstLine="283"/>
        <w:rPr>
          <w:sz w:val="22"/>
          <w:rtl/>
        </w:rPr>
      </w:pPr>
      <w:bookmarkStart w:id="7" w:name="סוג_מסמך"/>
      <w:bookmarkEnd w:id="7"/>
    </w:p>
    <w:p w14:paraId="79DB4CBC" w14:textId="77777777" w:rsidR="00B106A3" w:rsidRPr="00B106A3" w:rsidRDefault="00B106A3">
      <w:pPr>
        <w:spacing w:after="80" w:line="320" w:lineRule="exact"/>
        <w:ind w:firstLine="283"/>
        <w:rPr>
          <w:b/>
          <w:bCs/>
          <w:sz w:val="22"/>
          <w:rtl/>
        </w:rPr>
      </w:pPr>
    </w:p>
    <w:p w14:paraId="6D1BBC49" w14:textId="77777777" w:rsidR="006A2F1B" w:rsidRPr="00B106A3" w:rsidRDefault="006A2F1B">
      <w:pPr>
        <w:spacing w:after="80" w:line="320" w:lineRule="exact"/>
        <w:ind w:firstLine="283"/>
        <w:rPr>
          <w:b/>
          <w:bCs/>
          <w:sz w:val="22"/>
          <w:rtl/>
        </w:rPr>
      </w:pPr>
    </w:p>
    <w:p w14:paraId="5C131D40" w14:textId="77777777" w:rsidR="006A2F1B" w:rsidRDefault="006A2F1B">
      <w:pPr>
        <w:spacing w:after="80" w:line="320" w:lineRule="exact"/>
        <w:ind w:firstLine="283"/>
        <w:jc w:val="center"/>
        <w:rPr>
          <w:b/>
          <w:bCs/>
          <w:sz w:val="22"/>
          <w:u w:val="single"/>
          <w:rtl/>
        </w:rPr>
      </w:pPr>
      <w:bookmarkStart w:id="8" w:name="PsakDin"/>
      <w:bookmarkEnd w:id="0"/>
      <w:r>
        <w:rPr>
          <w:b/>
          <w:bCs/>
          <w:sz w:val="22"/>
          <w:u w:val="single"/>
          <w:rtl/>
        </w:rPr>
        <w:t>הכרעת דין</w:t>
      </w:r>
    </w:p>
    <w:bookmarkEnd w:id="8"/>
    <w:p w14:paraId="64560D45" w14:textId="77777777" w:rsidR="006A2F1B" w:rsidRDefault="006A2F1B">
      <w:pPr>
        <w:spacing w:after="80" w:line="320" w:lineRule="exact"/>
        <w:ind w:firstLine="283"/>
        <w:rPr>
          <w:rFonts w:hint="cs"/>
          <w:b/>
          <w:bCs/>
          <w:sz w:val="22"/>
          <w:u w:val="single"/>
          <w:rtl/>
        </w:rPr>
      </w:pPr>
    </w:p>
    <w:p w14:paraId="5447F4EB" w14:textId="77777777" w:rsidR="006A2F1B" w:rsidRDefault="006A2F1B">
      <w:pPr>
        <w:tabs>
          <w:tab w:val="num" w:pos="516"/>
        </w:tabs>
        <w:spacing w:after="80" w:line="320" w:lineRule="exact"/>
        <w:ind w:firstLine="283"/>
        <w:rPr>
          <w:rFonts w:hint="cs"/>
          <w:sz w:val="22"/>
          <w:rtl/>
        </w:rPr>
      </w:pPr>
      <w:r>
        <w:rPr>
          <w:sz w:val="22"/>
          <w:rtl/>
        </w:rPr>
        <w:t>1.</w:t>
      </w:r>
      <w:r w:rsidR="00B106A3">
        <w:rPr>
          <w:sz w:val="22"/>
          <w:rtl/>
        </w:rPr>
        <w:t xml:space="preserve">        </w:t>
      </w:r>
      <w:r>
        <w:rPr>
          <w:sz w:val="22"/>
          <w:rtl/>
        </w:rPr>
        <w:t xml:space="preserve"> </w:t>
      </w:r>
      <w:bookmarkStart w:id="9" w:name="ABSTRACT_START"/>
      <w:bookmarkEnd w:id="9"/>
      <w:r>
        <w:rPr>
          <w:rFonts w:hint="cs"/>
          <w:sz w:val="22"/>
          <w:rtl/>
        </w:rPr>
        <w:t>כתב האישום כולל שני אישומים. על פי האישום הראשון מיוחסות לנאשם עבירות של היזק בזדון, איומים ומעשים מגונים שבוצעו, על פי הנטען, במהלך תקופה של כחודשיים וחצי עובר להגשת כתב האישום</w:t>
      </w:r>
      <w:bookmarkStart w:id="10" w:name="ABSTRACT_END"/>
      <w:bookmarkEnd w:id="10"/>
      <w:r>
        <w:rPr>
          <w:rFonts w:hint="cs"/>
          <w:sz w:val="22"/>
          <w:rtl/>
        </w:rPr>
        <w:t>, דהיינו: במהלך החודשים פברואר עד אפריל 2003, וכן בעבירת תקיפה מיום 15.4.03.</w:t>
      </w:r>
    </w:p>
    <w:p w14:paraId="678BC7F1" w14:textId="77777777" w:rsidR="006A2F1B" w:rsidRDefault="006A2F1B">
      <w:pPr>
        <w:spacing w:after="80" w:line="320" w:lineRule="exact"/>
        <w:ind w:firstLine="283"/>
        <w:rPr>
          <w:sz w:val="22"/>
          <w:rtl/>
        </w:rPr>
      </w:pPr>
    </w:p>
    <w:p w14:paraId="788249F4" w14:textId="77777777" w:rsidR="006A2F1B" w:rsidRDefault="006A2F1B">
      <w:pPr>
        <w:tabs>
          <w:tab w:val="num" w:pos="516"/>
        </w:tabs>
        <w:spacing w:after="80" w:line="320" w:lineRule="exact"/>
        <w:ind w:firstLine="283"/>
        <w:rPr>
          <w:sz w:val="22"/>
          <w:rtl/>
        </w:rPr>
      </w:pPr>
      <w:r>
        <w:rPr>
          <w:sz w:val="22"/>
          <w:rtl/>
        </w:rPr>
        <w:t>2.</w:t>
      </w:r>
      <w:r w:rsidR="00B106A3">
        <w:rPr>
          <w:sz w:val="22"/>
          <w:rtl/>
        </w:rPr>
        <w:t xml:space="preserve">        </w:t>
      </w:r>
      <w:r>
        <w:rPr>
          <w:sz w:val="22"/>
          <w:rtl/>
        </w:rPr>
        <w:t xml:space="preserve"> </w:t>
      </w:r>
      <w:r>
        <w:rPr>
          <w:rFonts w:hint="cs"/>
          <w:sz w:val="22"/>
          <w:rtl/>
        </w:rPr>
        <w:t>מעובדות כתב האישום עולה כי בתקופה האמורה נוהג הנאשם להרוס חפצים בבית, ואף שבר טלפון, חלונות ואת דלת הכניסה. בנוסף על כך מאיים הוא על אחותו עאידה (להלן: "המתלוננת") שיהרגה, ולעתים אף אוחז בסכין כשהוא עושה כן.</w:t>
      </w:r>
    </w:p>
    <w:p w14:paraId="395C1AF0" w14:textId="77777777" w:rsidR="006A2F1B" w:rsidRDefault="006A2F1B">
      <w:pPr>
        <w:spacing w:after="80" w:line="320" w:lineRule="exact"/>
        <w:ind w:firstLine="283"/>
        <w:rPr>
          <w:rFonts w:hint="cs"/>
          <w:color w:val="FFFFFF"/>
          <w:sz w:val="4"/>
          <w:szCs w:val="4"/>
          <w:rtl/>
        </w:rPr>
      </w:pPr>
    </w:p>
    <w:p w14:paraId="1D82486C" w14:textId="77777777" w:rsidR="006A2F1B" w:rsidRDefault="006A2F1B">
      <w:pPr>
        <w:spacing w:after="80" w:line="320" w:lineRule="exact"/>
        <w:ind w:firstLine="283"/>
        <w:rPr>
          <w:rFonts w:hint="cs"/>
          <w:color w:val="FFFFFF"/>
          <w:sz w:val="4"/>
          <w:szCs w:val="4"/>
          <w:rtl/>
        </w:rPr>
      </w:pPr>
      <w:r>
        <w:rPr>
          <w:color w:val="FFFFFF"/>
          <w:sz w:val="4"/>
          <w:szCs w:val="4"/>
          <w:rtl/>
        </w:rPr>
        <w:t>5129371</w:t>
      </w:r>
    </w:p>
    <w:p w14:paraId="2A212BE8" w14:textId="77777777" w:rsidR="006A2F1B" w:rsidRDefault="006A2F1B">
      <w:pPr>
        <w:spacing w:after="80" w:line="320" w:lineRule="exact"/>
        <w:ind w:firstLine="283"/>
        <w:rPr>
          <w:sz w:val="22"/>
          <w:rtl/>
        </w:rPr>
      </w:pPr>
      <w:r>
        <w:rPr>
          <w:rFonts w:hint="cs"/>
          <w:sz w:val="24"/>
          <w:rtl/>
        </w:rPr>
        <w:t>ע</w:t>
      </w:r>
      <w:r>
        <w:rPr>
          <w:rFonts w:hint="cs"/>
          <w:sz w:val="22"/>
          <w:rtl/>
        </w:rPr>
        <w:t>וד מוסיפה התובעת וטוענת בכתב האישום כי במספר רב של הזדמנויות במהלך תקופה זו עשה הנאשם מעשים מגונים במתלוננת בכך שאחז בחזה ובישבנה, ומישש את גופה וכל זאת כשהוא אומר לה: "בואי אני אזיין אותך".</w:t>
      </w:r>
      <w:r>
        <w:rPr>
          <w:color w:val="FFFFFF"/>
          <w:sz w:val="4"/>
          <w:szCs w:val="4"/>
          <w:rtl/>
        </w:rPr>
        <w:t>נ</w:t>
      </w:r>
    </w:p>
    <w:p w14:paraId="559E207F" w14:textId="77777777" w:rsidR="006A2F1B" w:rsidRDefault="006A2F1B">
      <w:pPr>
        <w:pStyle w:val="BodyTextIndent"/>
        <w:spacing w:after="80" w:line="320" w:lineRule="exact"/>
        <w:ind w:left="0" w:firstLine="283"/>
        <w:rPr>
          <w:sz w:val="22"/>
          <w:rtl/>
        </w:rPr>
      </w:pPr>
      <w:r>
        <w:rPr>
          <w:rFonts w:hint="cs"/>
          <w:sz w:val="22"/>
          <w:rtl/>
        </w:rPr>
        <w:t>ביום 15.4.03, מואשם הנאשם כי תקף את המתלוננת באגרוף בראשה. אירוע זה הביא את המתלוננת להגשת תלונתה במשטרה, ובעקבות זאת נעצר הנאשם, והוא נתון במעצר עד תום ההליכים המשפטיים בתיק זה מאז יום 23.4.03.</w:t>
      </w:r>
      <w:r>
        <w:rPr>
          <w:color w:val="FFFFFF"/>
          <w:sz w:val="4"/>
          <w:szCs w:val="4"/>
          <w:rtl/>
        </w:rPr>
        <w:t>ב</w:t>
      </w:r>
    </w:p>
    <w:p w14:paraId="2E519156" w14:textId="77777777" w:rsidR="006A2F1B" w:rsidRDefault="006A2F1B">
      <w:pPr>
        <w:spacing w:after="80" w:line="320" w:lineRule="exact"/>
        <w:ind w:firstLine="283"/>
        <w:rPr>
          <w:sz w:val="22"/>
          <w:rtl/>
        </w:rPr>
      </w:pPr>
    </w:p>
    <w:p w14:paraId="0A416AFC" w14:textId="77777777" w:rsidR="006A2F1B" w:rsidRDefault="006A2F1B">
      <w:pPr>
        <w:spacing w:after="80" w:line="320" w:lineRule="exact"/>
        <w:ind w:firstLine="283"/>
        <w:rPr>
          <w:sz w:val="22"/>
          <w:rtl/>
        </w:rPr>
      </w:pPr>
      <w:r>
        <w:rPr>
          <w:rFonts w:hint="cs"/>
          <w:sz w:val="22"/>
          <w:rtl/>
        </w:rPr>
        <w:t>על פי האישום השני מואשם הנאשם בהחזקת סכין שלא כדין אשר נתפסה על גופו בתחנת המשטרה כאשר נעצר.</w:t>
      </w:r>
      <w:r>
        <w:rPr>
          <w:color w:val="FFFFFF"/>
          <w:sz w:val="4"/>
          <w:szCs w:val="4"/>
          <w:rtl/>
        </w:rPr>
        <w:t>ו</w:t>
      </w:r>
    </w:p>
    <w:p w14:paraId="0AB1F7C1" w14:textId="77777777" w:rsidR="006A2F1B" w:rsidRDefault="006A2F1B">
      <w:pPr>
        <w:spacing w:after="80" w:line="320" w:lineRule="exact"/>
        <w:ind w:firstLine="283"/>
        <w:rPr>
          <w:rFonts w:hint="cs"/>
          <w:sz w:val="22"/>
          <w:rtl/>
        </w:rPr>
      </w:pPr>
    </w:p>
    <w:p w14:paraId="687A4F0C" w14:textId="77777777" w:rsidR="006A2F1B" w:rsidRDefault="006A2F1B">
      <w:pPr>
        <w:tabs>
          <w:tab w:val="num" w:pos="516"/>
        </w:tabs>
        <w:spacing w:after="80" w:line="320" w:lineRule="exact"/>
        <w:ind w:firstLine="283"/>
        <w:rPr>
          <w:sz w:val="22"/>
          <w:rtl/>
        </w:rPr>
      </w:pPr>
      <w:r>
        <w:rPr>
          <w:sz w:val="22"/>
          <w:rtl/>
        </w:rPr>
        <w:t>3.</w:t>
      </w:r>
      <w:r w:rsidR="00B106A3">
        <w:rPr>
          <w:sz w:val="22"/>
          <w:rtl/>
        </w:rPr>
        <w:t xml:space="preserve">        </w:t>
      </w:r>
      <w:r>
        <w:rPr>
          <w:sz w:val="22"/>
          <w:rtl/>
        </w:rPr>
        <w:t xml:space="preserve"> </w:t>
      </w:r>
      <w:r>
        <w:rPr>
          <w:rFonts w:hint="cs"/>
          <w:sz w:val="22"/>
          <w:rtl/>
        </w:rPr>
        <w:t xml:space="preserve">הראיה המרכזית בתיק זה הינה עדותה של המתלוננת. המתלוננת העידה בבית המשפט והוכרזה עדה עויינת, וזאת לאחר שסתרה דברים שמסרה בהודעותיה במשטרה, וטענה כי מסרה בהן דברים כוזבים. </w:t>
      </w:r>
    </w:p>
    <w:p w14:paraId="37377872" w14:textId="77777777" w:rsidR="006A2F1B" w:rsidRDefault="006A2F1B">
      <w:pPr>
        <w:spacing w:after="80" w:line="320" w:lineRule="exact"/>
        <w:ind w:firstLine="283"/>
        <w:rPr>
          <w:sz w:val="22"/>
          <w:rtl/>
        </w:rPr>
      </w:pPr>
      <w:r>
        <w:rPr>
          <w:rFonts w:hint="cs"/>
          <w:sz w:val="22"/>
          <w:rtl/>
        </w:rPr>
        <w:t>למעשה, לא אמרה העדה בבית המשפט דבר שיש בו כדי לתמוך באמור בכתב האישום, וכל מעייניה היו נתונים לחילוץ אחיה מן הסבך שבו הוא נתון. לדבריה, הגישה את התלונה במשטרה נגד הנאשם כצעד של ייאוש לאחר שגורמי הרווחה לא סייעו לטפל בו, וזאת במטרה לגרום למעצרו ובהמשך לכך לטיפול בבעיית השתיה שבה הוא לוקה.</w:t>
      </w:r>
      <w:r>
        <w:rPr>
          <w:color w:val="FFFFFF"/>
          <w:sz w:val="4"/>
          <w:szCs w:val="4"/>
          <w:rtl/>
        </w:rPr>
        <w:t>נ</w:t>
      </w:r>
    </w:p>
    <w:p w14:paraId="66147545" w14:textId="77777777" w:rsidR="006A2F1B" w:rsidRDefault="006A2F1B">
      <w:pPr>
        <w:spacing w:after="80" w:line="320" w:lineRule="exact"/>
        <w:ind w:firstLine="283"/>
        <w:rPr>
          <w:rFonts w:hint="cs"/>
          <w:sz w:val="22"/>
          <w:rtl/>
        </w:rPr>
      </w:pPr>
    </w:p>
    <w:p w14:paraId="39E3B953" w14:textId="77777777" w:rsidR="006A2F1B" w:rsidRDefault="006A2F1B">
      <w:pPr>
        <w:tabs>
          <w:tab w:val="num" w:pos="516"/>
        </w:tabs>
        <w:spacing w:after="80" w:line="320" w:lineRule="exact"/>
        <w:ind w:firstLine="283"/>
        <w:rPr>
          <w:sz w:val="22"/>
          <w:rtl/>
        </w:rPr>
      </w:pPr>
      <w:r>
        <w:rPr>
          <w:sz w:val="22"/>
          <w:rtl/>
        </w:rPr>
        <w:t>4.</w:t>
      </w:r>
      <w:r w:rsidR="00B106A3">
        <w:rPr>
          <w:sz w:val="22"/>
          <w:rtl/>
        </w:rPr>
        <w:t xml:space="preserve">        </w:t>
      </w:r>
      <w:r>
        <w:rPr>
          <w:sz w:val="22"/>
          <w:rtl/>
        </w:rPr>
        <w:t xml:space="preserve"> </w:t>
      </w:r>
      <w:r>
        <w:rPr>
          <w:rFonts w:hint="cs"/>
          <w:sz w:val="22"/>
          <w:rtl/>
        </w:rPr>
        <w:t>הנאשם הינו גרוש ואב לארבעה, ובשנים האחרונות, מאז נפרד מאשתו, מתגורר הוא ביחד עם אחותו הרווקה, המתלוננת, ועם אמם.</w:t>
      </w:r>
      <w:r>
        <w:rPr>
          <w:color w:val="FFFFFF"/>
          <w:sz w:val="4"/>
          <w:szCs w:val="4"/>
          <w:rtl/>
        </w:rPr>
        <w:t>ב</w:t>
      </w:r>
    </w:p>
    <w:p w14:paraId="70497626" w14:textId="77777777" w:rsidR="006A2F1B" w:rsidRDefault="006A2F1B">
      <w:pPr>
        <w:spacing w:after="80" w:line="320" w:lineRule="exact"/>
        <w:ind w:firstLine="283"/>
        <w:rPr>
          <w:sz w:val="22"/>
          <w:rtl/>
        </w:rPr>
      </w:pPr>
      <w:r>
        <w:rPr>
          <w:rFonts w:hint="cs"/>
          <w:sz w:val="22"/>
          <w:rtl/>
        </w:rPr>
        <w:t>תחילת הטיפול בפרשה היה ביום 15.4.03 עת התייצבה המתלוננת בתחנת המשטרה בנצרת והגישה תלונה  נגד הנאשם, שעיקריה מצאו ביטוי בכתב האישום. הדברים נרשמו מפיה בהודעה ת/2.</w:t>
      </w:r>
      <w:r>
        <w:rPr>
          <w:color w:val="FFFFFF"/>
          <w:sz w:val="4"/>
          <w:szCs w:val="4"/>
          <w:rtl/>
        </w:rPr>
        <w:t>ו</w:t>
      </w:r>
    </w:p>
    <w:p w14:paraId="4D467735" w14:textId="77777777" w:rsidR="006A2F1B" w:rsidRDefault="006A2F1B">
      <w:pPr>
        <w:spacing w:after="80" w:line="320" w:lineRule="exact"/>
        <w:ind w:firstLine="283"/>
        <w:rPr>
          <w:rFonts w:hint="cs"/>
          <w:sz w:val="22"/>
          <w:rtl/>
        </w:rPr>
      </w:pPr>
    </w:p>
    <w:p w14:paraId="2357F935" w14:textId="77777777" w:rsidR="006A2F1B" w:rsidRDefault="006A2F1B">
      <w:pPr>
        <w:tabs>
          <w:tab w:val="num" w:pos="516"/>
        </w:tabs>
        <w:spacing w:after="80" w:line="320" w:lineRule="exact"/>
        <w:ind w:firstLine="283"/>
        <w:rPr>
          <w:sz w:val="22"/>
          <w:rtl/>
        </w:rPr>
      </w:pPr>
      <w:r>
        <w:rPr>
          <w:sz w:val="22"/>
          <w:rtl/>
        </w:rPr>
        <w:t>5.</w:t>
      </w:r>
      <w:r w:rsidR="00B106A3">
        <w:rPr>
          <w:sz w:val="22"/>
          <w:rtl/>
        </w:rPr>
        <w:t xml:space="preserve">        </w:t>
      </w:r>
      <w:r>
        <w:rPr>
          <w:sz w:val="22"/>
          <w:rtl/>
        </w:rPr>
        <w:t xml:space="preserve"> </w:t>
      </w:r>
      <w:r>
        <w:rPr>
          <w:rFonts w:hint="cs"/>
          <w:sz w:val="22"/>
          <w:rtl/>
        </w:rPr>
        <w:t xml:space="preserve"> מדובר בהודעה מפורטת ביותר, המתארת את מצב הדברים בבית המשפחה מאז שב הנאשם להתגורר בו לאחר שחרורו ממאסר, כחודשיים וחצי או שלושה קודם לכן.</w:t>
      </w:r>
      <w:r>
        <w:rPr>
          <w:color w:val="FFFFFF"/>
          <w:sz w:val="4"/>
          <w:szCs w:val="4"/>
          <w:rtl/>
        </w:rPr>
        <w:t>נ</w:t>
      </w:r>
    </w:p>
    <w:p w14:paraId="01002EA4" w14:textId="77777777" w:rsidR="006A2F1B" w:rsidRDefault="006A2F1B">
      <w:pPr>
        <w:spacing w:after="80" w:line="320" w:lineRule="exact"/>
        <w:ind w:firstLine="283"/>
        <w:rPr>
          <w:sz w:val="22"/>
          <w:rtl/>
        </w:rPr>
      </w:pPr>
      <w:r>
        <w:rPr>
          <w:rFonts w:hint="cs"/>
          <w:sz w:val="22"/>
          <w:rtl/>
        </w:rPr>
        <w:t>המתלוננת מוסרת את הדברים באופן ברור, כשההתרשמות מקריאת ההודעה היא כי אין בדבריה נסיון להגזמה או להוספת פרטים כוזבת. כך למשל, טוענת המתלוננת כי הנאשם נגע בה רק מבעד לבגדים ולא מעבר לכך,  וכן היא טוענת כי רצה לזרוק לעברה כוס תה, אך לא עשה כן.</w:t>
      </w:r>
      <w:r>
        <w:rPr>
          <w:color w:val="FFFFFF"/>
          <w:sz w:val="4"/>
          <w:szCs w:val="4"/>
          <w:rtl/>
        </w:rPr>
        <w:t>ב</w:t>
      </w:r>
    </w:p>
    <w:p w14:paraId="7F09E885" w14:textId="77777777" w:rsidR="006A2F1B" w:rsidRDefault="006A2F1B">
      <w:pPr>
        <w:spacing w:after="80" w:line="320" w:lineRule="exact"/>
        <w:ind w:firstLine="283"/>
        <w:rPr>
          <w:rFonts w:hint="cs"/>
          <w:sz w:val="22"/>
          <w:rtl/>
        </w:rPr>
      </w:pPr>
    </w:p>
    <w:p w14:paraId="3A2A3732" w14:textId="77777777" w:rsidR="006A2F1B" w:rsidRDefault="006A2F1B">
      <w:pPr>
        <w:tabs>
          <w:tab w:val="num" w:pos="516"/>
        </w:tabs>
        <w:spacing w:after="80" w:line="320" w:lineRule="exact"/>
        <w:ind w:firstLine="283"/>
        <w:rPr>
          <w:sz w:val="22"/>
          <w:rtl/>
        </w:rPr>
      </w:pPr>
      <w:r>
        <w:rPr>
          <w:sz w:val="22"/>
          <w:rtl/>
        </w:rPr>
        <w:t>6.</w:t>
      </w:r>
      <w:r w:rsidR="00B106A3">
        <w:rPr>
          <w:sz w:val="22"/>
          <w:rtl/>
        </w:rPr>
        <w:t xml:space="preserve">        </w:t>
      </w:r>
      <w:r>
        <w:rPr>
          <w:sz w:val="22"/>
          <w:rtl/>
        </w:rPr>
        <w:t xml:space="preserve"> </w:t>
      </w:r>
      <w:r>
        <w:rPr>
          <w:rFonts w:hint="cs"/>
          <w:sz w:val="22"/>
          <w:rtl/>
        </w:rPr>
        <w:t>המתלוננת מפרטת בהודעה גם את התלאות שהן מנת חלקן שלה ושל אמה כתוצאה מהתנהגותו החריגה של הנאשם בבית, הן כלפיהן והן כלפי אחרים, בנושאי אלימות, רכוש, איומים וגרימת נזק.</w:t>
      </w:r>
      <w:r>
        <w:rPr>
          <w:color w:val="FFFFFF"/>
          <w:sz w:val="4"/>
          <w:szCs w:val="4"/>
          <w:rtl/>
        </w:rPr>
        <w:t>ו</w:t>
      </w:r>
    </w:p>
    <w:p w14:paraId="0094485E" w14:textId="77777777" w:rsidR="006A2F1B" w:rsidRDefault="006A2F1B">
      <w:pPr>
        <w:pStyle w:val="BodyTextIndent2"/>
        <w:spacing w:after="80" w:line="320" w:lineRule="exact"/>
        <w:ind w:left="0" w:firstLine="283"/>
        <w:rPr>
          <w:sz w:val="22"/>
          <w:rtl/>
        </w:rPr>
      </w:pPr>
      <w:r>
        <w:rPr>
          <w:rFonts w:hint="cs"/>
          <w:sz w:val="22"/>
          <w:rtl/>
        </w:rPr>
        <w:t>היא מוסרת כי קיוותה כי הדברים ישתנו, אך כיום אין היא יכולה לסבול עוד ועל כן היא מגישה את תלונתה.</w:t>
      </w:r>
      <w:r>
        <w:rPr>
          <w:color w:val="FFFFFF"/>
          <w:sz w:val="4"/>
          <w:szCs w:val="4"/>
          <w:rtl/>
        </w:rPr>
        <w:t>נ</w:t>
      </w:r>
    </w:p>
    <w:p w14:paraId="53A8F166" w14:textId="77777777" w:rsidR="006A2F1B" w:rsidRDefault="006A2F1B">
      <w:pPr>
        <w:pStyle w:val="BodyTextIndent3"/>
        <w:spacing w:after="80" w:line="320" w:lineRule="exact"/>
        <w:ind w:left="0" w:firstLine="283"/>
        <w:rPr>
          <w:sz w:val="22"/>
          <w:rtl/>
        </w:rPr>
      </w:pPr>
      <w:r>
        <w:rPr>
          <w:rFonts w:hint="cs"/>
          <w:sz w:val="22"/>
          <w:rtl/>
        </w:rPr>
        <w:lastRenderedPageBreak/>
        <w:t>בסיום ההודעה מבקשת המתלוננת מן המשטרה להגן עליה מפני הנאשם שהוא מסוכן ומבקשת ללכת לבית אחותה ולא למקלט.</w:t>
      </w:r>
      <w:r>
        <w:rPr>
          <w:color w:val="FFFFFF"/>
          <w:sz w:val="4"/>
          <w:szCs w:val="4"/>
          <w:rtl/>
        </w:rPr>
        <w:t>ב</w:t>
      </w:r>
    </w:p>
    <w:p w14:paraId="1341B930" w14:textId="77777777" w:rsidR="006A2F1B" w:rsidRDefault="006A2F1B">
      <w:pPr>
        <w:pStyle w:val="BodyTextIndent3"/>
        <w:spacing w:after="80" w:line="320" w:lineRule="exact"/>
        <w:ind w:left="0" w:firstLine="283"/>
        <w:rPr>
          <w:rFonts w:hint="cs"/>
          <w:sz w:val="22"/>
          <w:rtl/>
        </w:rPr>
      </w:pPr>
    </w:p>
    <w:p w14:paraId="5B6A314A" w14:textId="77777777" w:rsidR="006A2F1B" w:rsidRDefault="006A2F1B">
      <w:pPr>
        <w:tabs>
          <w:tab w:val="num" w:pos="516"/>
        </w:tabs>
        <w:spacing w:after="80" w:line="320" w:lineRule="exact"/>
        <w:ind w:firstLine="283"/>
        <w:rPr>
          <w:sz w:val="22"/>
          <w:rtl/>
        </w:rPr>
      </w:pPr>
      <w:r>
        <w:rPr>
          <w:sz w:val="22"/>
          <w:rtl/>
        </w:rPr>
        <w:t>7.</w:t>
      </w:r>
      <w:r w:rsidR="00B106A3">
        <w:rPr>
          <w:sz w:val="22"/>
          <w:rtl/>
        </w:rPr>
        <w:t xml:space="preserve">        </w:t>
      </w:r>
      <w:r>
        <w:rPr>
          <w:sz w:val="22"/>
          <w:rtl/>
        </w:rPr>
        <w:t xml:space="preserve"> </w:t>
      </w:r>
      <w:r>
        <w:rPr>
          <w:rFonts w:hint="cs"/>
          <w:sz w:val="22"/>
          <w:rtl/>
        </w:rPr>
        <w:t>ההודעה נגבתה על ידי החוקרת הותיקה והמנוסה, רס"ב נאזק חילו, אשר מסרה בבית המשפט כי גבתה את ההודעה ת/2 מן המתלוננת ורשמה את כל דבריה. החוקרת שוללת כל אפשרות שלא הבינה את מה שאמרה לה המתלוננת.</w:t>
      </w:r>
      <w:r>
        <w:rPr>
          <w:color w:val="FFFFFF"/>
          <w:sz w:val="4"/>
          <w:szCs w:val="4"/>
          <w:rtl/>
        </w:rPr>
        <w:t>ו</w:t>
      </w:r>
    </w:p>
    <w:p w14:paraId="13F1CF55" w14:textId="77777777" w:rsidR="006A2F1B" w:rsidRDefault="006A2F1B">
      <w:pPr>
        <w:spacing w:after="80" w:line="320" w:lineRule="exact"/>
        <w:ind w:firstLine="283"/>
        <w:rPr>
          <w:sz w:val="22"/>
          <w:rtl/>
        </w:rPr>
      </w:pPr>
    </w:p>
    <w:p w14:paraId="3EABB57D" w14:textId="77777777" w:rsidR="006A2F1B" w:rsidRDefault="006A2F1B">
      <w:pPr>
        <w:tabs>
          <w:tab w:val="num" w:pos="516"/>
        </w:tabs>
        <w:spacing w:after="80" w:line="320" w:lineRule="exact"/>
        <w:ind w:firstLine="283"/>
        <w:rPr>
          <w:sz w:val="22"/>
          <w:rtl/>
        </w:rPr>
      </w:pPr>
      <w:r>
        <w:rPr>
          <w:sz w:val="22"/>
          <w:rtl/>
        </w:rPr>
        <w:t>8.</w:t>
      </w:r>
      <w:r w:rsidR="00B106A3">
        <w:rPr>
          <w:sz w:val="22"/>
          <w:rtl/>
        </w:rPr>
        <w:t xml:space="preserve">        </w:t>
      </w:r>
      <w:r>
        <w:rPr>
          <w:sz w:val="22"/>
          <w:rtl/>
        </w:rPr>
        <w:t xml:space="preserve"> </w:t>
      </w:r>
      <w:r>
        <w:rPr>
          <w:rFonts w:hint="cs"/>
          <w:sz w:val="22"/>
          <w:rtl/>
        </w:rPr>
        <w:t>מקבלת אני את דברי החוקרת ולפיהם משקפת ההודעה ת/2 באופן מדוייק את דבריה של המתלוננת במשטרה, ועיון בגוף ההודעה משכנע אותי כי מדובר בהודעה שנמסרה בסערת רגשות, תוך שהמתלוננת פורקת מעליה באופן מפורט את כל הסבל שעבר עליה ועל אמה, ומביעה את תחושת אין האונים כלפי הנאשם וכלפי המצב שבו נתונה המשפחה.</w:t>
      </w:r>
      <w:r>
        <w:rPr>
          <w:color w:val="FFFFFF"/>
          <w:sz w:val="4"/>
          <w:szCs w:val="4"/>
          <w:rtl/>
        </w:rPr>
        <w:t>נ</w:t>
      </w:r>
    </w:p>
    <w:p w14:paraId="5C5E4C6F" w14:textId="77777777" w:rsidR="006A2F1B" w:rsidRDefault="006A2F1B">
      <w:pPr>
        <w:spacing w:after="80" w:line="320" w:lineRule="exact"/>
        <w:ind w:firstLine="283"/>
        <w:rPr>
          <w:sz w:val="22"/>
          <w:rtl/>
        </w:rPr>
      </w:pPr>
      <w:r>
        <w:rPr>
          <w:rFonts w:hint="cs"/>
          <w:sz w:val="22"/>
          <w:rtl/>
        </w:rPr>
        <w:t>המתלוננת גם מביעה בסיום גביית ההודעה פחד וחשש מפני הנאשם עד כדי בקשת עזרה של המשטרה, וגם בכך יש כדי להמחיש את האותנטיות שבפניה למשטרה, ואת הפחד האמיתי שבו היתה המתלוננת שרויה כתוצאה ממעשיו של הנאשם שאותם חוותה, לדבריה.</w:t>
      </w:r>
      <w:r>
        <w:rPr>
          <w:color w:val="FFFFFF"/>
          <w:sz w:val="4"/>
          <w:szCs w:val="4"/>
          <w:rtl/>
        </w:rPr>
        <w:t>ב</w:t>
      </w:r>
    </w:p>
    <w:p w14:paraId="28A717DE" w14:textId="77777777" w:rsidR="006A2F1B" w:rsidRDefault="006A2F1B">
      <w:pPr>
        <w:spacing w:after="80" w:line="320" w:lineRule="exact"/>
        <w:ind w:firstLine="283"/>
        <w:rPr>
          <w:sz w:val="22"/>
          <w:rtl/>
        </w:rPr>
      </w:pPr>
    </w:p>
    <w:p w14:paraId="2D4B5573" w14:textId="77777777" w:rsidR="006A2F1B" w:rsidRDefault="006A2F1B">
      <w:pPr>
        <w:tabs>
          <w:tab w:val="num" w:pos="516"/>
        </w:tabs>
        <w:spacing w:after="80" w:line="320" w:lineRule="exact"/>
        <w:ind w:firstLine="283"/>
        <w:rPr>
          <w:sz w:val="22"/>
          <w:rtl/>
        </w:rPr>
      </w:pPr>
      <w:r>
        <w:rPr>
          <w:sz w:val="22"/>
          <w:rtl/>
        </w:rPr>
        <w:t>9.</w:t>
      </w:r>
      <w:r w:rsidR="00B106A3">
        <w:rPr>
          <w:sz w:val="22"/>
          <w:rtl/>
        </w:rPr>
        <w:t xml:space="preserve">        </w:t>
      </w:r>
      <w:r>
        <w:rPr>
          <w:sz w:val="22"/>
          <w:rtl/>
        </w:rPr>
        <w:t xml:space="preserve"> </w:t>
      </w:r>
      <w:r>
        <w:rPr>
          <w:rFonts w:hint="cs"/>
          <w:sz w:val="22"/>
          <w:rtl/>
        </w:rPr>
        <w:t>למחרת היום, 16.4.03, לאחר ששוחחה עם הנאשם, שבה המתלוננת לתחנת המשטרה, וביקשה לבטל את תלונתה. במעמד זה נגבתה הודעתה ת/1. לדבריה באותה הודעה מבקשת היא לבטל את התלונה ללא כל לחץ מצד המשפחה, כאשר מאז יום האתמול אין הנאשם עושה בעיות, והבטיח לא לעשות עוד בעיות לבני משפחתו.</w:t>
      </w:r>
      <w:r>
        <w:rPr>
          <w:color w:val="FFFFFF"/>
          <w:sz w:val="4"/>
          <w:szCs w:val="4"/>
          <w:rtl/>
        </w:rPr>
        <w:t>ו</w:t>
      </w:r>
    </w:p>
    <w:p w14:paraId="3E19E04A" w14:textId="77777777" w:rsidR="006A2F1B" w:rsidRDefault="006A2F1B">
      <w:pPr>
        <w:spacing w:after="80" w:line="320" w:lineRule="exact"/>
        <w:ind w:firstLine="283"/>
        <w:rPr>
          <w:sz w:val="22"/>
          <w:rtl/>
        </w:rPr>
      </w:pPr>
      <w:r>
        <w:rPr>
          <w:rFonts w:hint="cs"/>
          <w:sz w:val="22"/>
          <w:rtl/>
        </w:rPr>
        <w:t>המתלוננת מבקשת שלא לעצרו, לבטל את התלונה ולשלחו לגמילה מסמים ואלכוהול.</w:t>
      </w:r>
      <w:r>
        <w:rPr>
          <w:color w:val="FFFFFF"/>
          <w:sz w:val="4"/>
          <w:szCs w:val="4"/>
          <w:rtl/>
        </w:rPr>
        <w:t>נ</w:t>
      </w:r>
    </w:p>
    <w:p w14:paraId="01BE439D" w14:textId="77777777" w:rsidR="006A2F1B" w:rsidRDefault="006A2F1B">
      <w:pPr>
        <w:spacing w:after="80" w:line="320" w:lineRule="exact"/>
        <w:ind w:firstLine="283"/>
        <w:rPr>
          <w:sz w:val="22"/>
          <w:rtl/>
        </w:rPr>
      </w:pPr>
      <w:r>
        <w:rPr>
          <w:rFonts w:hint="cs"/>
          <w:sz w:val="22"/>
          <w:rtl/>
        </w:rPr>
        <w:t>יודגש כי המתלוננת לא חזרה בה במהלך מסירת הודעת ביטול זו מתוכן הדברים שמסרה יום קודם לכן, אלא רק ביקשה לבטל את התלונה ולהימנע מלעצור את הנאשם.</w:t>
      </w:r>
      <w:r>
        <w:rPr>
          <w:color w:val="FFFFFF"/>
          <w:sz w:val="4"/>
          <w:szCs w:val="4"/>
          <w:rtl/>
        </w:rPr>
        <w:t>ב</w:t>
      </w:r>
    </w:p>
    <w:p w14:paraId="7B349182" w14:textId="77777777" w:rsidR="006A2F1B" w:rsidRDefault="006A2F1B">
      <w:pPr>
        <w:spacing w:after="80" w:line="320" w:lineRule="exact"/>
        <w:ind w:firstLine="283"/>
        <w:rPr>
          <w:rFonts w:hint="cs"/>
          <w:sz w:val="22"/>
          <w:rtl/>
        </w:rPr>
      </w:pPr>
    </w:p>
    <w:p w14:paraId="2ABF2044" w14:textId="77777777" w:rsidR="006A2F1B" w:rsidRDefault="006A2F1B">
      <w:pPr>
        <w:tabs>
          <w:tab w:val="num" w:pos="516"/>
        </w:tabs>
        <w:spacing w:after="80" w:line="320" w:lineRule="exact"/>
        <w:ind w:firstLine="283"/>
        <w:rPr>
          <w:sz w:val="22"/>
          <w:rtl/>
        </w:rPr>
      </w:pPr>
      <w:r>
        <w:rPr>
          <w:sz w:val="22"/>
          <w:rtl/>
        </w:rPr>
        <w:t>10.</w:t>
      </w:r>
      <w:r w:rsidR="00B106A3">
        <w:rPr>
          <w:sz w:val="22"/>
          <w:rtl/>
        </w:rPr>
        <w:t xml:space="preserve">    </w:t>
      </w:r>
      <w:r>
        <w:rPr>
          <w:sz w:val="22"/>
          <w:rtl/>
        </w:rPr>
        <w:t xml:space="preserve"> </w:t>
      </w:r>
      <w:r>
        <w:rPr>
          <w:rFonts w:hint="cs"/>
          <w:sz w:val="22"/>
          <w:rtl/>
        </w:rPr>
        <w:t>המשטרה עשתה נסיון לגבות הודעה גם מאמו של הנאשם, אך זו סירבה, ובשלב זה חזרה בה כבר גם המתלוננת מתלונתה, והמשפחה לא שיתפה עוד פעולה עם המשטרה.</w:t>
      </w:r>
      <w:r>
        <w:rPr>
          <w:color w:val="FFFFFF"/>
          <w:sz w:val="4"/>
          <w:szCs w:val="4"/>
          <w:rtl/>
        </w:rPr>
        <w:t>ו</w:t>
      </w:r>
    </w:p>
    <w:p w14:paraId="01459AD0" w14:textId="77777777" w:rsidR="006A2F1B" w:rsidRDefault="006A2F1B">
      <w:pPr>
        <w:spacing w:after="80" w:line="320" w:lineRule="exact"/>
        <w:ind w:firstLine="283"/>
        <w:rPr>
          <w:sz w:val="22"/>
          <w:rtl/>
        </w:rPr>
      </w:pPr>
    </w:p>
    <w:p w14:paraId="6650C353" w14:textId="77777777" w:rsidR="006A2F1B" w:rsidRDefault="006A2F1B">
      <w:pPr>
        <w:tabs>
          <w:tab w:val="num" w:pos="516"/>
        </w:tabs>
        <w:spacing w:after="80" w:line="320" w:lineRule="exact"/>
        <w:ind w:firstLine="283"/>
        <w:rPr>
          <w:sz w:val="22"/>
          <w:rtl/>
        </w:rPr>
      </w:pPr>
      <w:r>
        <w:rPr>
          <w:sz w:val="22"/>
          <w:rtl/>
        </w:rPr>
        <w:t>11.</w:t>
      </w:r>
      <w:r w:rsidR="00B106A3">
        <w:rPr>
          <w:sz w:val="22"/>
          <w:rtl/>
        </w:rPr>
        <w:t xml:space="preserve">    </w:t>
      </w:r>
      <w:r>
        <w:rPr>
          <w:sz w:val="22"/>
          <w:rtl/>
        </w:rPr>
        <w:t xml:space="preserve"> </w:t>
      </w:r>
      <w:r>
        <w:rPr>
          <w:rFonts w:hint="cs"/>
          <w:sz w:val="22"/>
          <w:rtl/>
        </w:rPr>
        <w:t>כאמור, בבית המשפט, חזרה בה המתלוננת מכל מה שמסרה בהודעתה ת/2, וטענה כי מסרה במשטרה הודעה כוזבת במטרה לגרום לרשויות לטפל באחיה המכור לאלכוהול וסמים.</w:t>
      </w:r>
      <w:r>
        <w:rPr>
          <w:color w:val="FFFFFF"/>
          <w:sz w:val="4"/>
          <w:szCs w:val="4"/>
          <w:rtl/>
        </w:rPr>
        <w:t>נ</w:t>
      </w:r>
    </w:p>
    <w:p w14:paraId="436235F9" w14:textId="77777777" w:rsidR="006A2F1B" w:rsidRDefault="006A2F1B">
      <w:pPr>
        <w:spacing w:after="80" w:line="320" w:lineRule="exact"/>
        <w:ind w:firstLine="283"/>
        <w:rPr>
          <w:sz w:val="22"/>
          <w:rtl/>
        </w:rPr>
      </w:pPr>
      <w:r>
        <w:rPr>
          <w:rFonts w:hint="cs"/>
          <w:sz w:val="22"/>
          <w:rtl/>
        </w:rPr>
        <w:t>במהלך כל עדותה, מסרה המתלוננת מיזמתה דברים שנועדו לסייע לאחיה,  כשהיא מצהירה שוב ושוב, אף מבלי שנשאלה על כך, שהנאשם הוא הסובל מבעיות, כי הוא זקוק לטיפול, כי לא עשה דבר לפגוע בה או באמה וכי היא עצמה מסרה דברי שקר במשטרה, וכיום היא מצרה על פנייתה זו למשטרה, תחת שתפנה לגורמי הרווחה.</w:t>
      </w:r>
      <w:r>
        <w:rPr>
          <w:color w:val="FFFFFF"/>
          <w:sz w:val="4"/>
          <w:szCs w:val="4"/>
          <w:rtl/>
        </w:rPr>
        <w:t>ב</w:t>
      </w:r>
    </w:p>
    <w:p w14:paraId="29BD6933" w14:textId="77777777" w:rsidR="006A2F1B" w:rsidRDefault="006A2F1B">
      <w:pPr>
        <w:spacing w:after="80" w:line="320" w:lineRule="exact"/>
        <w:ind w:firstLine="283"/>
        <w:rPr>
          <w:rFonts w:hint="cs"/>
          <w:sz w:val="22"/>
          <w:rtl/>
        </w:rPr>
      </w:pPr>
    </w:p>
    <w:p w14:paraId="627997E7" w14:textId="77777777" w:rsidR="006A2F1B" w:rsidRDefault="006A2F1B">
      <w:pPr>
        <w:tabs>
          <w:tab w:val="num" w:pos="516"/>
        </w:tabs>
        <w:spacing w:after="80" w:line="320" w:lineRule="exact"/>
        <w:ind w:firstLine="283"/>
        <w:rPr>
          <w:sz w:val="22"/>
          <w:rtl/>
        </w:rPr>
      </w:pPr>
      <w:r>
        <w:rPr>
          <w:sz w:val="22"/>
          <w:rtl/>
        </w:rPr>
        <w:t>12.</w:t>
      </w:r>
      <w:r w:rsidR="00B106A3">
        <w:rPr>
          <w:sz w:val="22"/>
          <w:rtl/>
        </w:rPr>
        <w:t xml:space="preserve">    </w:t>
      </w:r>
      <w:r>
        <w:rPr>
          <w:sz w:val="22"/>
          <w:rtl/>
        </w:rPr>
        <w:t xml:space="preserve"> </w:t>
      </w:r>
      <w:r>
        <w:rPr>
          <w:rFonts w:hint="cs"/>
          <w:sz w:val="22"/>
          <w:rtl/>
        </w:rPr>
        <w:t>התרשמותי החד משמעית מן המתלוננת הינה כי עדותה בבית המשפט היתה מגמתית, נועדה לחלץ את הנאשם מכתב האישום, ונמסרה תחת השפעה חזקה של הנאשם או בני משפחה אחרים. התרשמתי כי המתלוננת חוששת מן הנאשם, ומעדיפה לעשות כרצונו מתוך  הכרה בעובדה כי בסופו של דבר עלול הנאשם לשוב הביתה ולנקום בה על מעצרו, ועל כן העדיפה, מתוך תחושת חוסר אונים, לומר את הדברים כפי שנאמרו.</w:t>
      </w:r>
      <w:r>
        <w:rPr>
          <w:color w:val="FFFFFF"/>
          <w:sz w:val="4"/>
          <w:szCs w:val="4"/>
          <w:rtl/>
        </w:rPr>
        <w:t>ו</w:t>
      </w:r>
    </w:p>
    <w:p w14:paraId="6DC5529B" w14:textId="77777777" w:rsidR="006A2F1B" w:rsidRDefault="006A2F1B">
      <w:pPr>
        <w:spacing w:after="80" w:line="320" w:lineRule="exact"/>
        <w:ind w:firstLine="283"/>
        <w:rPr>
          <w:sz w:val="22"/>
          <w:rtl/>
        </w:rPr>
      </w:pPr>
      <w:r>
        <w:rPr>
          <w:rFonts w:hint="cs"/>
          <w:sz w:val="22"/>
          <w:rtl/>
        </w:rPr>
        <w:t>התרשמתי כי הדברים נאמרו כמעט בדרך של דקלום או הצהרת דברים מתוכננים ומוכתבים, ונועדו לכסות על האמת הקשה.</w:t>
      </w:r>
      <w:r>
        <w:rPr>
          <w:color w:val="FFFFFF"/>
          <w:sz w:val="4"/>
          <w:szCs w:val="4"/>
          <w:rtl/>
        </w:rPr>
        <w:t>נ</w:t>
      </w:r>
    </w:p>
    <w:p w14:paraId="45FEEE68" w14:textId="77777777" w:rsidR="006A2F1B" w:rsidRDefault="006A2F1B">
      <w:pPr>
        <w:spacing w:after="80" w:line="320" w:lineRule="exact"/>
        <w:ind w:firstLine="283"/>
        <w:rPr>
          <w:rFonts w:hint="cs"/>
          <w:sz w:val="22"/>
          <w:rtl/>
        </w:rPr>
      </w:pPr>
    </w:p>
    <w:p w14:paraId="600CED69" w14:textId="77777777" w:rsidR="006A2F1B" w:rsidRDefault="006A2F1B">
      <w:pPr>
        <w:tabs>
          <w:tab w:val="num" w:pos="516"/>
        </w:tabs>
        <w:spacing w:after="80" w:line="320" w:lineRule="exact"/>
        <w:ind w:firstLine="283"/>
        <w:rPr>
          <w:sz w:val="22"/>
          <w:rtl/>
        </w:rPr>
      </w:pPr>
      <w:r>
        <w:rPr>
          <w:sz w:val="22"/>
          <w:rtl/>
        </w:rPr>
        <w:t>13.</w:t>
      </w:r>
      <w:r w:rsidR="00B106A3">
        <w:rPr>
          <w:sz w:val="22"/>
          <w:rtl/>
        </w:rPr>
        <w:t xml:space="preserve">    </w:t>
      </w:r>
      <w:r>
        <w:rPr>
          <w:sz w:val="22"/>
          <w:rtl/>
        </w:rPr>
        <w:t xml:space="preserve"> </w:t>
      </w:r>
      <w:r>
        <w:rPr>
          <w:rFonts w:hint="cs"/>
          <w:sz w:val="22"/>
          <w:rtl/>
        </w:rPr>
        <w:t>אני שבה ומזכירה כי גם כאשר באה המתלוננת לבטל את תלונתה במשטרה, לא חזרה בה מתוכן הדברים, אך משהסתבר כי לא היה בכך די כדי לגרום לביטול ההליכים, נאלצה לומר דברים מפורשים כפי שתואר לעיל.</w:t>
      </w:r>
      <w:r>
        <w:rPr>
          <w:color w:val="FFFFFF"/>
          <w:sz w:val="4"/>
          <w:szCs w:val="4"/>
          <w:rtl/>
        </w:rPr>
        <w:t>ב</w:t>
      </w:r>
    </w:p>
    <w:p w14:paraId="6AFCC8FB" w14:textId="77777777" w:rsidR="006A2F1B" w:rsidRDefault="006A2F1B">
      <w:pPr>
        <w:spacing w:after="80" w:line="320" w:lineRule="exact"/>
        <w:ind w:firstLine="283"/>
        <w:rPr>
          <w:sz w:val="22"/>
          <w:rtl/>
        </w:rPr>
      </w:pPr>
      <w:r>
        <w:rPr>
          <w:rFonts w:hint="cs"/>
          <w:sz w:val="22"/>
          <w:rtl/>
        </w:rPr>
        <w:t>סירובה של האם לשתף פעולה בחקירה זו, מלמדת גם היא על הלחצים והחרדות שבהן נתונות שתי הנשים כתוצאה מהתנהגותו של הנאשם.</w:t>
      </w:r>
      <w:r>
        <w:rPr>
          <w:color w:val="FFFFFF"/>
          <w:sz w:val="4"/>
          <w:szCs w:val="4"/>
          <w:rtl/>
        </w:rPr>
        <w:t>ו</w:t>
      </w:r>
    </w:p>
    <w:p w14:paraId="7EB73E57" w14:textId="77777777" w:rsidR="006A2F1B" w:rsidRDefault="006A2F1B">
      <w:pPr>
        <w:spacing w:after="80" w:line="320" w:lineRule="exact"/>
        <w:ind w:firstLine="283"/>
        <w:rPr>
          <w:rFonts w:hint="cs"/>
          <w:sz w:val="22"/>
          <w:rtl/>
        </w:rPr>
      </w:pPr>
    </w:p>
    <w:p w14:paraId="56DF84DE" w14:textId="77777777" w:rsidR="006A2F1B" w:rsidRDefault="006A2F1B">
      <w:pPr>
        <w:tabs>
          <w:tab w:val="num" w:pos="516"/>
        </w:tabs>
        <w:spacing w:after="80" w:line="320" w:lineRule="exact"/>
        <w:ind w:firstLine="283"/>
        <w:rPr>
          <w:sz w:val="22"/>
          <w:rtl/>
        </w:rPr>
      </w:pPr>
      <w:r>
        <w:rPr>
          <w:sz w:val="22"/>
          <w:rtl/>
        </w:rPr>
        <w:t>14.</w:t>
      </w:r>
      <w:r w:rsidR="00B106A3">
        <w:rPr>
          <w:sz w:val="22"/>
          <w:rtl/>
        </w:rPr>
        <w:t xml:space="preserve">    </w:t>
      </w:r>
      <w:r>
        <w:rPr>
          <w:sz w:val="22"/>
          <w:rtl/>
        </w:rPr>
        <w:t xml:space="preserve"> </w:t>
      </w:r>
      <w:r>
        <w:rPr>
          <w:rFonts w:hint="cs"/>
          <w:sz w:val="22"/>
          <w:rtl/>
        </w:rPr>
        <w:t>בשקלי את דבריה של העדה בבית המשפט אל מול אמרתה במשטרה בת/2 (אשר לא נסתרה גם בת/1), לא נותר בליבי ספק כי הדברים שנאמרו באמרה ת/2 הם דברי אמת, ואילו הדברים שנמסרו בבית המשפט אינם אמת.</w:t>
      </w:r>
      <w:r>
        <w:rPr>
          <w:color w:val="FFFFFF"/>
          <w:sz w:val="4"/>
          <w:szCs w:val="4"/>
          <w:rtl/>
        </w:rPr>
        <w:t>נ</w:t>
      </w:r>
    </w:p>
    <w:p w14:paraId="57F91CD4" w14:textId="77777777" w:rsidR="006A2F1B" w:rsidRDefault="006A2F1B">
      <w:pPr>
        <w:spacing w:after="80" w:line="320" w:lineRule="exact"/>
        <w:ind w:firstLine="283"/>
        <w:rPr>
          <w:sz w:val="22"/>
          <w:rtl/>
        </w:rPr>
      </w:pPr>
    </w:p>
    <w:p w14:paraId="0AD3C53D" w14:textId="77777777" w:rsidR="006A2F1B" w:rsidRDefault="006A2F1B">
      <w:pPr>
        <w:tabs>
          <w:tab w:val="num" w:pos="516"/>
        </w:tabs>
        <w:spacing w:after="80" w:line="320" w:lineRule="exact"/>
        <w:ind w:firstLine="283"/>
        <w:rPr>
          <w:sz w:val="22"/>
          <w:rtl/>
        </w:rPr>
      </w:pPr>
      <w:r>
        <w:rPr>
          <w:sz w:val="22"/>
          <w:rtl/>
        </w:rPr>
        <w:t>15.</w:t>
      </w:r>
      <w:r w:rsidR="00B106A3">
        <w:rPr>
          <w:sz w:val="22"/>
          <w:rtl/>
        </w:rPr>
        <w:t xml:space="preserve">    </w:t>
      </w:r>
      <w:r>
        <w:rPr>
          <w:sz w:val="22"/>
          <w:rtl/>
        </w:rPr>
        <w:t xml:space="preserve"> </w:t>
      </w:r>
      <w:r>
        <w:rPr>
          <w:rFonts w:hint="cs"/>
          <w:sz w:val="22"/>
          <w:rtl/>
        </w:rPr>
        <w:t xml:space="preserve">מאידך, גירסתו של הנאשם אינה אמינה עלי. הנאשם התנהג באולם בית המשפט בדרך אגרסיבית אשר חייבה אף בשלב מסויים הוצאתו מן האולם, לא חדל לעשות פעולות להנחיית אחותו במהלך עדותה, ובסופו של דבר הותיר בי רושם בעייתי ביותר, שיש בו כדי לתמוך בגירסתה של המתלוננת כפי שהובאה בת/2. </w:t>
      </w:r>
    </w:p>
    <w:p w14:paraId="79426EED" w14:textId="77777777" w:rsidR="006A2F1B" w:rsidRDefault="006A2F1B">
      <w:pPr>
        <w:spacing w:after="80" w:line="320" w:lineRule="exact"/>
        <w:ind w:firstLine="283"/>
        <w:rPr>
          <w:sz w:val="22"/>
          <w:rtl/>
        </w:rPr>
      </w:pPr>
      <w:r>
        <w:rPr>
          <w:rFonts w:hint="cs"/>
          <w:sz w:val="22"/>
          <w:rtl/>
        </w:rPr>
        <w:t xml:space="preserve">אם כך נוהג הנאשם באולם בית המשפט, לא יקשה לדמיין את התנהגותו בביתו כשאין איש רואה ומפקח על מעשיו. </w:t>
      </w:r>
    </w:p>
    <w:p w14:paraId="04A67C07" w14:textId="77777777" w:rsidR="006A2F1B" w:rsidRDefault="006A2F1B">
      <w:pPr>
        <w:tabs>
          <w:tab w:val="num" w:pos="516"/>
        </w:tabs>
        <w:spacing w:after="80" w:line="320" w:lineRule="exact"/>
        <w:ind w:firstLine="283"/>
        <w:rPr>
          <w:sz w:val="22"/>
          <w:rtl/>
        </w:rPr>
      </w:pPr>
      <w:r>
        <w:rPr>
          <w:sz w:val="22"/>
          <w:rtl/>
        </w:rPr>
        <w:t>16.</w:t>
      </w:r>
      <w:r w:rsidR="00B106A3">
        <w:rPr>
          <w:sz w:val="22"/>
          <w:rtl/>
        </w:rPr>
        <w:t xml:space="preserve">    </w:t>
      </w:r>
      <w:r>
        <w:rPr>
          <w:sz w:val="22"/>
          <w:rtl/>
        </w:rPr>
        <w:t xml:space="preserve"> </w:t>
      </w:r>
      <w:r>
        <w:rPr>
          <w:rFonts w:hint="cs"/>
          <w:sz w:val="22"/>
          <w:rtl/>
        </w:rPr>
        <w:t>גם בדברי הנאשם בעדותו בבית המשפט מצאתי אמירות סותרות, שיש בהן כדי לפגוע באמינותו, ועדותו מתאפיינת בהכחשה טוטאלית תוך נסיון להציג תמונה משפחתית אידילית שבה הוא עצמו משמש גורם חיובי ותומך, וזאת אף בניגוד לדברים שאמרה אחותו אפילו בעדותה בבית המשפט, ולפיהם סובל הנאשם מבעיות התנהגות קשות הנובעות מהתמכרותו לאלכוהול ולסמים, והגורמות לפגיעה הן במשפחתו והן בסביבתו.</w:t>
      </w:r>
      <w:r>
        <w:rPr>
          <w:color w:val="FFFFFF"/>
          <w:sz w:val="4"/>
          <w:szCs w:val="4"/>
          <w:rtl/>
        </w:rPr>
        <w:t>ב</w:t>
      </w:r>
    </w:p>
    <w:p w14:paraId="01F0CAD3" w14:textId="77777777" w:rsidR="006A2F1B" w:rsidRDefault="006A2F1B">
      <w:pPr>
        <w:spacing w:after="80" w:line="320" w:lineRule="exact"/>
        <w:ind w:firstLine="283"/>
        <w:rPr>
          <w:sz w:val="22"/>
          <w:rtl/>
        </w:rPr>
      </w:pPr>
    </w:p>
    <w:p w14:paraId="0DA1AF90" w14:textId="77777777" w:rsidR="006A2F1B" w:rsidRDefault="006A2F1B">
      <w:pPr>
        <w:tabs>
          <w:tab w:val="num" w:pos="516"/>
        </w:tabs>
        <w:spacing w:after="80" w:line="320" w:lineRule="exact"/>
        <w:ind w:firstLine="283"/>
        <w:rPr>
          <w:sz w:val="22"/>
          <w:rtl/>
        </w:rPr>
      </w:pPr>
      <w:r>
        <w:rPr>
          <w:sz w:val="22"/>
          <w:rtl/>
        </w:rPr>
        <w:t>17.</w:t>
      </w:r>
      <w:r w:rsidR="00B106A3">
        <w:rPr>
          <w:sz w:val="22"/>
          <w:rtl/>
        </w:rPr>
        <w:t xml:space="preserve">    </w:t>
      </w:r>
      <w:r>
        <w:rPr>
          <w:sz w:val="22"/>
          <w:rtl/>
        </w:rPr>
        <w:t xml:space="preserve"> </w:t>
      </w:r>
      <w:r>
        <w:rPr>
          <w:rFonts w:hint="cs"/>
          <w:sz w:val="22"/>
          <w:rtl/>
        </w:rPr>
        <w:t>בשלב מסויים עלה בי חשש שמא יש צורך בעריכת בדיקה פסיכיאטרית לנאשם, אך הסניגורית הבהירה כי בדיקות שנערכו לו בעבר העלו כי הוא כשיר לעמוד לדין, ולא ביקשה לשלחו לבדיקה זו הפעם.</w:t>
      </w:r>
      <w:r>
        <w:rPr>
          <w:color w:val="FFFFFF"/>
          <w:sz w:val="4"/>
          <w:szCs w:val="4"/>
          <w:rtl/>
        </w:rPr>
        <w:t>ו</w:t>
      </w:r>
    </w:p>
    <w:p w14:paraId="0ED8CF8E" w14:textId="77777777" w:rsidR="006A2F1B" w:rsidRDefault="006A2F1B">
      <w:pPr>
        <w:spacing w:after="80" w:line="320" w:lineRule="exact"/>
        <w:ind w:firstLine="283"/>
        <w:rPr>
          <w:sz w:val="22"/>
          <w:rtl/>
        </w:rPr>
      </w:pPr>
      <w:r>
        <w:rPr>
          <w:rFonts w:hint="cs"/>
          <w:sz w:val="22"/>
          <w:rtl/>
        </w:rPr>
        <w:t>אני מתרשמת, איפוא, כי הנאשם סובל מבעיות אישיות קשות, אף אם אינן עולות כדי פגיעה בכשרו לעמוד לדין, ובצילן נוהג הנאשם כפי שמתארת המתלוננת בהודעתה ת/2.</w:t>
      </w:r>
      <w:r>
        <w:rPr>
          <w:color w:val="FFFFFF"/>
          <w:sz w:val="4"/>
          <w:szCs w:val="4"/>
          <w:rtl/>
        </w:rPr>
        <w:t>נ</w:t>
      </w:r>
    </w:p>
    <w:p w14:paraId="2E9F3375" w14:textId="77777777" w:rsidR="006A2F1B" w:rsidRDefault="006A2F1B">
      <w:pPr>
        <w:spacing w:after="80" w:line="320" w:lineRule="exact"/>
        <w:ind w:firstLine="283"/>
        <w:rPr>
          <w:sz w:val="22"/>
          <w:rtl/>
        </w:rPr>
      </w:pPr>
    </w:p>
    <w:p w14:paraId="2C85E42D" w14:textId="77777777" w:rsidR="006A2F1B" w:rsidRDefault="006A2F1B">
      <w:pPr>
        <w:tabs>
          <w:tab w:val="num" w:pos="516"/>
        </w:tabs>
        <w:spacing w:after="80" w:line="320" w:lineRule="exact"/>
        <w:ind w:firstLine="283"/>
        <w:rPr>
          <w:sz w:val="22"/>
          <w:rtl/>
        </w:rPr>
      </w:pPr>
      <w:r>
        <w:rPr>
          <w:sz w:val="22"/>
          <w:rtl/>
        </w:rPr>
        <w:t>18.</w:t>
      </w:r>
      <w:r w:rsidR="00B106A3">
        <w:rPr>
          <w:sz w:val="22"/>
          <w:rtl/>
        </w:rPr>
        <w:t xml:space="preserve">    </w:t>
      </w:r>
      <w:r>
        <w:rPr>
          <w:sz w:val="22"/>
          <w:rtl/>
        </w:rPr>
        <w:t xml:space="preserve"> </w:t>
      </w:r>
      <w:r>
        <w:rPr>
          <w:rFonts w:hint="cs"/>
          <w:sz w:val="22"/>
          <w:rtl/>
        </w:rPr>
        <w:t xml:space="preserve">התובע מבקש להרשיע את הנאשם תוך העדפת ההודעה ת/2 על פני עדותה של המתלוננת בבית המשפט, וזאת מכוח </w:t>
      </w:r>
      <w:hyperlink r:id="rId18" w:history="1">
        <w:r w:rsidR="00710CC6" w:rsidRPr="00710CC6">
          <w:rPr>
            <w:color w:val="0000FF"/>
            <w:sz w:val="22"/>
            <w:u w:val="single"/>
            <w:rtl/>
          </w:rPr>
          <w:t>סעיף 10א</w:t>
        </w:r>
      </w:hyperlink>
      <w:r>
        <w:rPr>
          <w:rFonts w:hint="cs"/>
          <w:sz w:val="22"/>
          <w:rtl/>
        </w:rPr>
        <w:t xml:space="preserve"> ל</w:t>
      </w:r>
      <w:hyperlink r:id="rId19" w:history="1">
        <w:r w:rsidR="00B106A3" w:rsidRPr="00B106A3">
          <w:rPr>
            <w:rStyle w:val="Hyperlink"/>
            <w:rFonts w:hint="eastAsia"/>
            <w:sz w:val="22"/>
            <w:rtl/>
          </w:rPr>
          <w:t>פקודת</w:t>
        </w:r>
        <w:r w:rsidR="00B106A3" w:rsidRPr="00B106A3">
          <w:rPr>
            <w:rStyle w:val="Hyperlink"/>
            <w:sz w:val="22"/>
            <w:rtl/>
          </w:rPr>
          <w:t xml:space="preserve"> הראיות</w:t>
        </w:r>
      </w:hyperlink>
      <w:r>
        <w:rPr>
          <w:rFonts w:hint="cs"/>
          <w:sz w:val="22"/>
          <w:rtl/>
        </w:rPr>
        <w:t>.</w:t>
      </w:r>
      <w:r>
        <w:rPr>
          <w:color w:val="FFFFFF"/>
          <w:sz w:val="4"/>
          <w:szCs w:val="4"/>
          <w:rtl/>
        </w:rPr>
        <w:t>ב</w:t>
      </w:r>
    </w:p>
    <w:p w14:paraId="278F4F91" w14:textId="77777777" w:rsidR="006A2F1B" w:rsidRDefault="00710CC6">
      <w:pPr>
        <w:spacing w:after="80" w:line="320" w:lineRule="exact"/>
        <w:ind w:firstLine="283"/>
        <w:rPr>
          <w:sz w:val="22"/>
          <w:rtl/>
        </w:rPr>
      </w:pPr>
      <w:hyperlink r:id="rId20" w:history="1">
        <w:r w:rsidRPr="00710CC6">
          <w:rPr>
            <w:color w:val="0000FF"/>
            <w:sz w:val="22"/>
            <w:u w:val="single"/>
            <w:rtl/>
          </w:rPr>
          <w:t>סעיף 10א(א)</w:t>
        </w:r>
      </w:hyperlink>
      <w:r w:rsidR="006A2F1B">
        <w:rPr>
          <w:rFonts w:hint="cs"/>
          <w:sz w:val="22"/>
          <w:rtl/>
        </w:rPr>
        <w:t xml:space="preserve"> ל</w:t>
      </w:r>
      <w:hyperlink r:id="rId21" w:history="1">
        <w:r w:rsidR="00B106A3" w:rsidRPr="00B106A3">
          <w:rPr>
            <w:rStyle w:val="Hyperlink"/>
            <w:rFonts w:hint="eastAsia"/>
            <w:sz w:val="22"/>
            <w:rtl/>
          </w:rPr>
          <w:t>פקודת</w:t>
        </w:r>
        <w:r w:rsidR="00B106A3" w:rsidRPr="00B106A3">
          <w:rPr>
            <w:rStyle w:val="Hyperlink"/>
            <w:sz w:val="22"/>
            <w:rtl/>
          </w:rPr>
          <w:t xml:space="preserve"> הראיות</w:t>
        </w:r>
      </w:hyperlink>
      <w:r w:rsidR="006A2F1B">
        <w:rPr>
          <w:rFonts w:hint="cs"/>
          <w:sz w:val="22"/>
          <w:rtl/>
        </w:rPr>
        <w:t xml:space="preserve"> (נוסח חדש) התשל"א – 1971 (להלן: "הפקודה") קובע:</w:t>
      </w:r>
    </w:p>
    <w:p w14:paraId="3FEC3083" w14:textId="77777777" w:rsidR="006A2F1B" w:rsidRDefault="006A2F1B">
      <w:pPr>
        <w:spacing w:after="80" w:line="320" w:lineRule="exact"/>
        <w:ind w:firstLine="283"/>
        <w:rPr>
          <w:sz w:val="22"/>
          <w:rtl/>
        </w:rPr>
      </w:pPr>
      <w:r>
        <w:rPr>
          <w:rFonts w:hint="cs"/>
          <w:sz w:val="22"/>
          <w:rtl/>
        </w:rPr>
        <w:t xml:space="preserve">" (א) אמרה בכתב שנתן עד מחוץ לבית המשפט תהיה קבילה כראיה בהליך פלילי אם נתקיימו אלה: </w:t>
      </w:r>
    </w:p>
    <w:p w14:paraId="630DEC54" w14:textId="77777777" w:rsidR="006A2F1B" w:rsidRDefault="006A2F1B">
      <w:pPr>
        <w:spacing w:after="80" w:line="320" w:lineRule="exact"/>
        <w:ind w:firstLine="283"/>
        <w:rPr>
          <w:rFonts w:hint="cs"/>
          <w:sz w:val="22"/>
          <w:rtl/>
        </w:rPr>
      </w:pPr>
      <w:r>
        <w:rPr>
          <w:rFonts w:hint="cs"/>
          <w:sz w:val="22"/>
          <w:rtl/>
        </w:rPr>
        <w:t xml:space="preserve"> (1) מתן האמרה הוכח במשפט; </w:t>
      </w:r>
    </w:p>
    <w:p w14:paraId="28302B15" w14:textId="77777777" w:rsidR="006A2F1B" w:rsidRDefault="006A2F1B">
      <w:pPr>
        <w:spacing w:after="80" w:line="320" w:lineRule="exact"/>
        <w:ind w:firstLine="283"/>
        <w:rPr>
          <w:rFonts w:hint="cs"/>
          <w:sz w:val="22"/>
          <w:rtl/>
        </w:rPr>
      </w:pPr>
      <w:r>
        <w:rPr>
          <w:rFonts w:hint="cs"/>
          <w:sz w:val="22"/>
          <w:rtl/>
        </w:rPr>
        <w:t xml:space="preserve"> (2) נותן האמרה הוא עד במשפט וניתנה לצדדים הזדמנות לחקרו; </w:t>
      </w:r>
    </w:p>
    <w:p w14:paraId="5AF192ED" w14:textId="77777777" w:rsidR="006A2F1B" w:rsidRDefault="006A2F1B">
      <w:pPr>
        <w:spacing w:after="80" w:line="320" w:lineRule="exact"/>
        <w:ind w:firstLine="283"/>
        <w:rPr>
          <w:rFonts w:hint="cs"/>
          <w:sz w:val="22"/>
          <w:rtl/>
        </w:rPr>
      </w:pPr>
      <w:r>
        <w:rPr>
          <w:rFonts w:hint="cs"/>
          <w:sz w:val="22"/>
          <w:rtl/>
        </w:rPr>
        <w:t xml:space="preserve"> (3) העדות שונה, לדעת בית המשפט, מן האמרה בפרט מהותי, או העד  מכחיש את תוכן האמרה או טוען כי אינו זוכר את תכנה.</w:t>
      </w:r>
      <w:r>
        <w:rPr>
          <w:color w:val="FFFFFF"/>
          <w:sz w:val="4"/>
          <w:szCs w:val="4"/>
          <w:rtl/>
        </w:rPr>
        <w:t>ו</w:t>
      </w:r>
    </w:p>
    <w:p w14:paraId="009E8730" w14:textId="77777777" w:rsidR="006A2F1B" w:rsidRDefault="006A2F1B">
      <w:pPr>
        <w:spacing w:after="80" w:line="320" w:lineRule="exact"/>
        <w:ind w:firstLine="283"/>
        <w:rPr>
          <w:rFonts w:hint="cs"/>
          <w:sz w:val="22"/>
          <w:rtl/>
        </w:rPr>
      </w:pPr>
    </w:p>
    <w:p w14:paraId="5CB4DDEE" w14:textId="77777777" w:rsidR="006A2F1B" w:rsidRDefault="006A2F1B">
      <w:pPr>
        <w:spacing w:after="80" w:line="320" w:lineRule="exact"/>
        <w:ind w:firstLine="283"/>
        <w:rPr>
          <w:sz w:val="22"/>
          <w:rtl/>
        </w:rPr>
      </w:pPr>
      <w:r>
        <w:rPr>
          <w:rFonts w:hint="cs"/>
          <w:sz w:val="22"/>
          <w:rtl/>
        </w:rPr>
        <w:t>נחה דעתי כי שלושת התנאים המפורטים לעיל מתקיימים  במקרה זה.  מתן האמרה הוכח בעדותה של החוקרת רס"ב נאזק חילו המקובלת עלי, המתלוננת היתה עדה במשפט וניתנה לצדדים הזדמנות לחקרה, ותוכנה שונה במרבית פרטיה המהותיים מתוכן הדברים שמסרה בעדותה בבית המשפט.</w:t>
      </w:r>
      <w:r>
        <w:rPr>
          <w:color w:val="FFFFFF"/>
          <w:sz w:val="4"/>
          <w:szCs w:val="4"/>
          <w:rtl/>
        </w:rPr>
        <w:t>נ</w:t>
      </w:r>
    </w:p>
    <w:p w14:paraId="21B2D4B9" w14:textId="77777777" w:rsidR="006A2F1B" w:rsidRDefault="006A2F1B">
      <w:pPr>
        <w:spacing w:after="80" w:line="320" w:lineRule="exact"/>
        <w:ind w:firstLine="283"/>
        <w:rPr>
          <w:sz w:val="22"/>
          <w:rtl/>
        </w:rPr>
      </w:pPr>
    </w:p>
    <w:p w14:paraId="6497734E" w14:textId="77777777" w:rsidR="006A2F1B" w:rsidRDefault="006A2F1B">
      <w:pPr>
        <w:tabs>
          <w:tab w:val="num" w:pos="516"/>
        </w:tabs>
        <w:spacing w:after="80" w:line="320" w:lineRule="exact"/>
        <w:ind w:firstLine="283"/>
        <w:rPr>
          <w:rFonts w:hint="cs"/>
          <w:sz w:val="22"/>
          <w:rtl/>
        </w:rPr>
      </w:pPr>
      <w:r>
        <w:rPr>
          <w:sz w:val="22"/>
          <w:rtl/>
        </w:rPr>
        <w:t>19.</w:t>
      </w:r>
      <w:r w:rsidR="00B106A3">
        <w:rPr>
          <w:sz w:val="22"/>
          <w:rtl/>
        </w:rPr>
        <w:t xml:space="preserve">    </w:t>
      </w:r>
      <w:r>
        <w:rPr>
          <w:sz w:val="22"/>
          <w:rtl/>
        </w:rPr>
        <w:t xml:space="preserve"> </w:t>
      </w:r>
      <w:r>
        <w:rPr>
          <w:rFonts w:hint="cs"/>
          <w:sz w:val="22"/>
          <w:rtl/>
        </w:rPr>
        <w:t>כפי שקבעתי לעיל, מעדיפה אני אכן, ללא היסוס, את הדברים שבאמרה ת/2 על אלו שאמרה המתלוננת בבית המשפט, אך בכך לא סגי.</w:t>
      </w:r>
      <w:r>
        <w:rPr>
          <w:color w:val="FFFFFF"/>
          <w:sz w:val="4"/>
          <w:szCs w:val="4"/>
          <w:rtl/>
        </w:rPr>
        <w:t>ב</w:t>
      </w:r>
    </w:p>
    <w:p w14:paraId="212F56B9" w14:textId="77777777" w:rsidR="006A2F1B" w:rsidRDefault="006A2F1B">
      <w:pPr>
        <w:spacing w:after="80" w:line="320" w:lineRule="exact"/>
        <w:ind w:firstLine="283"/>
        <w:rPr>
          <w:sz w:val="22"/>
          <w:rtl/>
        </w:rPr>
      </w:pPr>
    </w:p>
    <w:p w14:paraId="301EB373" w14:textId="77777777" w:rsidR="006A2F1B" w:rsidRDefault="006A2F1B">
      <w:pPr>
        <w:spacing w:after="80" w:line="320" w:lineRule="exact"/>
        <w:ind w:firstLine="283"/>
        <w:rPr>
          <w:rFonts w:hint="cs"/>
          <w:sz w:val="22"/>
          <w:rtl/>
        </w:rPr>
      </w:pPr>
    </w:p>
    <w:p w14:paraId="24D71E1E" w14:textId="77777777" w:rsidR="006A2F1B" w:rsidRDefault="00710CC6">
      <w:pPr>
        <w:spacing w:after="80" w:line="320" w:lineRule="exact"/>
        <w:ind w:firstLine="283"/>
        <w:rPr>
          <w:sz w:val="22"/>
          <w:rtl/>
        </w:rPr>
      </w:pPr>
      <w:hyperlink r:id="rId22" w:history="1">
        <w:r w:rsidRPr="00710CC6">
          <w:rPr>
            <w:color w:val="0000FF"/>
            <w:sz w:val="22"/>
            <w:u w:val="single"/>
            <w:rtl/>
          </w:rPr>
          <w:t>סעיף 10א(ד)</w:t>
        </w:r>
      </w:hyperlink>
      <w:r w:rsidR="006A2F1B">
        <w:rPr>
          <w:rFonts w:hint="cs"/>
          <w:sz w:val="22"/>
          <w:rtl/>
        </w:rPr>
        <w:t xml:space="preserve"> לפקודה קובע: </w:t>
      </w:r>
    </w:p>
    <w:p w14:paraId="6BAB287B" w14:textId="77777777" w:rsidR="006A2F1B" w:rsidRDefault="006A2F1B">
      <w:pPr>
        <w:spacing w:after="80" w:line="320" w:lineRule="exact"/>
        <w:ind w:firstLine="283"/>
        <w:rPr>
          <w:sz w:val="22"/>
          <w:rtl/>
        </w:rPr>
      </w:pPr>
      <w:r>
        <w:rPr>
          <w:rFonts w:hint="cs"/>
          <w:sz w:val="22"/>
          <w:rtl/>
        </w:rPr>
        <w:t>" (ד) לא יורשע אדם על סמך אמרה שנתקבלה לפי סעיף זה     אלא   אם יש בחומר הראיות דבר לחיזוקה."</w:t>
      </w:r>
    </w:p>
    <w:p w14:paraId="203CF0BE" w14:textId="77777777" w:rsidR="006A2F1B" w:rsidRDefault="006A2F1B">
      <w:pPr>
        <w:spacing w:after="80" w:line="320" w:lineRule="exact"/>
        <w:ind w:firstLine="283"/>
        <w:rPr>
          <w:rFonts w:hint="cs"/>
          <w:sz w:val="22"/>
          <w:rtl/>
        </w:rPr>
      </w:pPr>
    </w:p>
    <w:p w14:paraId="5CEC7ED1" w14:textId="77777777" w:rsidR="006A2F1B" w:rsidRDefault="006A2F1B">
      <w:pPr>
        <w:spacing w:after="80" w:line="320" w:lineRule="exact"/>
        <w:ind w:firstLine="283"/>
        <w:rPr>
          <w:sz w:val="22"/>
          <w:rtl/>
        </w:rPr>
      </w:pPr>
      <w:r>
        <w:rPr>
          <w:rFonts w:hint="cs"/>
          <w:sz w:val="22"/>
          <w:rtl/>
        </w:rPr>
        <w:t>התובע טוען כי את אותו "דבר לחיזוק" ניתן למצוא באישום השני שבכתב האישום, המתבסס על העובדה כי כאשר נעצר הנאשם, נמצא בחזקתו אולר מתקפל, הוא המוצג ת/7, אשר נתפס כמפורט בדו"ח ת/6 של רס"ר סאלח גדיר. בכך יש, לדעתו, כדי לתמוך בגירסת המתלוננת במשטרה ולפיה נוהג הנאשם לאיים עליה ועל אמה כשהוא מצוייד בסכין.</w:t>
      </w:r>
      <w:r>
        <w:rPr>
          <w:color w:val="FFFFFF"/>
          <w:sz w:val="4"/>
          <w:szCs w:val="4"/>
          <w:rtl/>
        </w:rPr>
        <w:t>ו</w:t>
      </w:r>
    </w:p>
    <w:p w14:paraId="77C9F0F0" w14:textId="77777777" w:rsidR="006A2F1B" w:rsidRDefault="006A2F1B">
      <w:pPr>
        <w:spacing w:after="80" w:line="320" w:lineRule="exact"/>
        <w:ind w:firstLine="283"/>
        <w:rPr>
          <w:rFonts w:hint="cs"/>
          <w:sz w:val="22"/>
          <w:rtl/>
        </w:rPr>
      </w:pPr>
      <w:r>
        <w:rPr>
          <w:rFonts w:hint="cs"/>
          <w:sz w:val="22"/>
          <w:rtl/>
        </w:rPr>
        <w:t xml:space="preserve"> </w:t>
      </w:r>
    </w:p>
    <w:p w14:paraId="192D1F4D" w14:textId="77777777" w:rsidR="006A2F1B" w:rsidRDefault="006A2F1B">
      <w:pPr>
        <w:tabs>
          <w:tab w:val="num" w:pos="516"/>
        </w:tabs>
        <w:spacing w:after="80" w:line="320" w:lineRule="exact"/>
        <w:ind w:firstLine="283"/>
        <w:rPr>
          <w:sz w:val="22"/>
          <w:rtl/>
        </w:rPr>
      </w:pPr>
      <w:r>
        <w:rPr>
          <w:sz w:val="22"/>
          <w:rtl/>
        </w:rPr>
        <w:t>20.</w:t>
      </w:r>
      <w:r w:rsidR="00B106A3">
        <w:rPr>
          <w:sz w:val="22"/>
          <w:rtl/>
        </w:rPr>
        <w:t xml:space="preserve">    </w:t>
      </w:r>
      <w:r>
        <w:rPr>
          <w:sz w:val="22"/>
          <w:rtl/>
        </w:rPr>
        <w:t xml:space="preserve"> </w:t>
      </w:r>
      <w:r>
        <w:rPr>
          <w:rFonts w:hint="cs"/>
          <w:sz w:val="22"/>
          <w:rtl/>
        </w:rPr>
        <w:t>הנאשם אינו כופר בכך שנתפס אצלו סכין, אך לטענתו אין הוא נושא עמו סכין דרך קבע, ורק באותו יום נשא אותו במקרה, וגם זאת לצורך חיתוך עגבניות (ר' עמ' 1 לפרוטוקול מיום 30.7.03). לעומת זאת בהודעתו במשטרה ת/5 אמר כי מחזיק בסכין כדי לקלף תפוזים.</w:t>
      </w:r>
      <w:r>
        <w:rPr>
          <w:color w:val="FFFFFF"/>
          <w:sz w:val="4"/>
          <w:szCs w:val="4"/>
          <w:rtl/>
        </w:rPr>
        <w:t>נ</w:t>
      </w:r>
    </w:p>
    <w:p w14:paraId="7316870A" w14:textId="77777777" w:rsidR="006A2F1B" w:rsidRDefault="006A2F1B">
      <w:pPr>
        <w:spacing w:after="80" w:line="320" w:lineRule="exact"/>
        <w:ind w:firstLine="283"/>
        <w:rPr>
          <w:sz w:val="22"/>
          <w:rtl/>
        </w:rPr>
      </w:pPr>
      <w:r>
        <w:rPr>
          <w:rFonts w:hint="cs"/>
          <w:sz w:val="22"/>
          <w:rtl/>
        </w:rPr>
        <w:t>את החזקת הסכין בדרך כלל או השמעת איומים כשהוא אוחז בסכין מכחיש הנאשם מכל וכל הן בעדותו בבית המשפט והן בהודעתו במשטרה ת/5.</w:t>
      </w:r>
      <w:r>
        <w:rPr>
          <w:color w:val="FFFFFF"/>
          <w:sz w:val="4"/>
          <w:szCs w:val="4"/>
          <w:rtl/>
        </w:rPr>
        <w:t>ב</w:t>
      </w:r>
    </w:p>
    <w:p w14:paraId="42478212" w14:textId="77777777" w:rsidR="006A2F1B" w:rsidRDefault="006A2F1B">
      <w:pPr>
        <w:spacing w:after="80" w:line="320" w:lineRule="exact"/>
        <w:ind w:firstLine="283"/>
        <w:rPr>
          <w:rFonts w:hint="cs"/>
          <w:sz w:val="22"/>
          <w:rtl/>
        </w:rPr>
      </w:pPr>
    </w:p>
    <w:p w14:paraId="4C55B4B2" w14:textId="77777777" w:rsidR="006A2F1B" w:rsidRDefault="006A2F1B">
      <w:pPr>
        <w:tabs>
          <w:tab w:val="num" w:pos="516"/>
        </w:tabs>
        <w:spacing w:after="80" w:line="320" w:lineRule="exact"/>
        <w:ind w:firstLine="283"/>
        <w:rPr>
          <w:sz w:val="22"/>
          <w:rtl/>
        </w:rPr>
      </w:pPr>
      <w:r>
        <w:rPr>
          <w:sz w:val="22"/>
          <w:rtl/>
        </w:rPr>
        <w:t>21.</w:t>
      </w:r>
      <w:r w:rsidR="00B106A3">
        <w:rPr>
          <w:sz w:val="22"/>
          <w:rtl/>
        </w:rPr>
        <w:t xml:space="preserve">    </w:t>
      </w:r>
      <w:r>
        <w:rPr>
          <w:sz w:val="22"/>
          <w:rtl/>
        </w:rPr>
        <w:t xml:space="preserve"> </w:t>
      </w:r>
      <w:r>
        <w:rPr>
          <w:rFonts w:hint="cs"/>
          <w:sz w:val="22"/>
          <w:rtl/>
        </w:rPr>
        <w:t>המתלוננת שמסרה על האיומים שבוצעו בעת שהנאשם אוחז בסכין בידו, חזרה בה גם מדברים אלו בעדותה בבית המשפט, ומסרה כי הוא רק מחזיק בסכין כמו ילדים וכי זה סכין של פירות.</w:t>
      </w:r>
      <w:r>
        <w:rPr>
          <w:color w:val="FFFFFF"/>
          <w:sz w:val="4"/>
          <w:szCs w:val="4"/>
          <w:rtl/>
        </w:rPr>
        <w:t>ו</w:t>
      </w:r>
    </w:p>
    <w:p w14:paraId="0F01E76F" w14:textId="77777777" w:rsidR="006A2F1B" w:rsidRDefault="006A2F1B">
      <w:pPr>
        <w:spacing w:after="80" w:line="320" w:lineRule="exact"/>
        <w:ind w:firstLine="283"/>
        <w:rPr>
          <w:sz w:val="22"/>
          <w:rtl/>
        </w:rPr>
      </w:pPr>
    </w:p>
    <w:p w14:paraId="57184DD6" w14:textId="77777777" w:rsidR="006A2F1B" w:rsidRDefault="006A2F1B">
      <w:pPr>
        <w:tabs>
          <w:tab w:val="num" w:pos="516"/>
        </w:tabs>
        <w:spacing w:after="80" w:line="320" w:lineRule="exact"/>
        <w:ind w:firstLine="283"/>
        <w:rPr>
          <w:sz w:val="22"/>
          <w:rtl/>
        </w:rPr>
      </w:pPr>
      <w:r>
        <w:rPr>
          <w:sz w:val="22"/>
          <w:rtl/>
        </w:rPr>
        <w:t>22.</w:t>
      </w:r>
      <w:r w:rsidR="00B106A3">
        <w:rPr>
          <w:sz w:val="22"/>
          <w:rtl/>
        </w:rPr>
        <w:t xml:space="preserve">    </w:t>
      </w:r>
      <w:r>
        <w:rPr>
          <w:sz w:val="22"/>
          <w:rtl/>
        </w:rPr>
        <w:t xml:space="preserve"> </w:t>
      </w:r>
      <w:r>
        <w:rPr>
          <w:rFonts w:hint="cs"/>
          <w:sz w:val="22"/>
          <w:rtl/>
        </w:rPr>
        <w:t xml:space="preserve">אין ספק כי הסכין ת/7 עונה על הגדרת "סכין" כמשמעותה </w:t>
      </w:r>
      <w:hyperlink r:id="rId23" w:history="1">
        <w:r w:rsidR="00710CC6" w:rsidRPr="00710CC6">
          <w:rPr>
            <w:color w:val="0000FF"/>
            <w:sz w:val="22"/>
            <w:u w:val="single"/>
            <w:rtl/>
          </w:rPr>
          <w:t>בסעיף 184</w:t>
        </w:r>
      </w:hyperlink>
      <w:r>
        <w:rPr>
          <w:rFonts w:hint="cs"/>
          <w:sz w:val="22"/>
          <w:rtl/>
        </w:rPr>
        <w:t xml:space="preserve"> ל</w:t>
      </w:r>
      <w:hyperlink r:id="rId24" w:history="1">
        <w:r w:rsidR="00B106A3" w:rsidRPr="00B106A3">
          <w:rPr>
            <w:rStyle w:val="Hyperlink"/>
            <w:rFonts w:hint="eastAsia"/>
            <w:sz w:val="22"/>
            <w:rtl/>
          </w:rPr>
          <w:t>חוק</w:t>
        </w:r>
        <w:r w:rsidR="00B106A3" w:rsidRPr="00B106A3">
          <w:rPr>
            <w:rStyle w:val="Hyperlink"/>
            <w:sz w:val="22"/>
            <w:rtl/>
          </w:rPr>
          <w:t xml:space="preserve"> העונשין</w:t>
        </w:r>
      </w:hyperlink>
      <w:r>
        <w:rPr>
          <w:rFonts w:hint="cs"/>
          <w:sz w:val="22"/>
          <w:rtl/>
        </w:rPr>
        <w:t xml:space="preserve"> התשל"ז – 1977: "כלי בעל להב או כלי אחר שסוגל לדקור או לחתוך".</w:t>
      </w:r>
      <w:r>
        <w:rPr>
          <w:color w:val="FFFFFF"/>
          <w:sz w:val="4"/>
          <w:szCs w:val="4"/>
          <w:rtl/>
        </w:rPr>
        <w:t>נ</w:t>
      </w:r>
    </w:p>
    <w:p w14:paraId="5A6EF3A4" w14:textId="77777777" w:rsidR="006A2F1B" w:rsidRDefault="006A2F1B">
      <w:pPr>
        <w:spacing w:after="80" w:line="320" w:lineRule="exact"/>
        <w:ind w:firstLine="283"/>
        <w:rPr>
          <w:sz w:val="22"/>
          <w:rtl/>
        </w:rPr>
      </w:pPr>
      <w:r>
        <w:rPr>
          <w:rFonts w:hint="cs"/>
          <w:sz w:val="22"/>
          <w:rtl/>
        </w:rPr>
        <w:t xml:space="preserve">נטל הראיה להראות כי הסכין הוחזק למטרה כשרה הינו על הנאשם, וזאת מכוח האמור </w:t>
      </w:r>
      <w:hyperlink r:id="rId25" w:history="1">
        <w:r w:rsidR="00710CC6" w:rsidRPr="00710CC6">
          <w:rPr>
            <w:color w:val="0000FF"/>
            <w:sz w:val="22"/>
            <w:u w:val="single"/>
            <w:rtl/>
          </w:rPr>
          <w:t>בסעיף 186</w:t>
        </w:r>
      </w:hyperlink>
      <w:r>
        <w:rPr>
          <w:rFonts w:hint="cs"/>
          <w:sz w:val="22"/>
          <w:rtl/>
        </w:rPr>
        <w:t xml:space="preserve"> לחוק הנ"ל, ובנסיבות הענין לא הרים הנאשם נטל זה.</w:t>
      </w:r>
      <w:r>
        <w:rPr>
          <w:color w:val="FFFFFF"/>
          <w:sz w:val="4"/>
          <w:szCs w:val="4"/>
          <w:rtl/>
        </w:rPr>
        <w:t>ב</w:t>
      </w:r>
    </w:p>
    <w:p w14:paraId="6D85BFCE" w14:textId="77777777" w:rsidR="006A2F1B" w:rsidRDefault="006A2F1B">
      <w:pPr>
        <w:spacing w:after="80" w:line="320" w:lineRule="exact"/>
        <w:ind w:firstLine="283"/>
        <w:rPr>
          <w:rFonts w:hint="cs"/>
          <w:sz w:val="22"/>
          <w:rtl/>
        </w:rPr>
      </w:pPr>
    </w:p>
    <w:p w14:paraId="3F1C2AE3" w14:textId="77777777" w:rsidR="006A2F1B" w:rsidRDefault="006A2F1B">
      <w:pPr>
        <w:tabs>
          <w:tab w:val="num" w:pos="516"/>
        </w:tabs>
        <w:spacing w:after="80" w:line="320" w:lineRule="exact"/>
        <w:ind w:firstLine="283"/>
        <w:rPr>
          <w:sz w:val="22"/>
          <w:rtl/>
        </w:rPr>
      </w:pPr>
      <w:r>
        <w:rPr>
          <w:sz w:val="22"/>
          <w:rtl/>
        </w:rPr>
        <w:t>23.</w:t>
      </w:r>
      <w:r w:rsidR="00B106A3">
        <w:rPr>
          <w:sz w:val="22"/>
          <w:rtl/>
        </w:rPr>
        <w:t xml:space="preserve">    </w:t>
      </w:r>
      <w:r>
        <w:rPr>
          <w:sz w:val="22"/>
          <w:rtl/>
        </w:rPr>
        <w:t xml:space="preserve"> </w:t>
      </w:r>
      <w:r>
        <w:rPr>
          <w:rFonts w:hint="cs"/>
          <w:sz w:val="22"/>
          <w:rtl/>
        </w:rPr>
        <w:t>אינני מאמינה לטענת הנאשם כי החזיק בסכין לצורך חיתוך פירות. הנאשם סתר עצמו בהסברו להחזקת הסכין, וטען כי הוא מיועד לחיתוך עגבניות, דבר שמטבעו נעשה בבית ולא מחוצה לו, וגם המטרה השניה שאליה התייחס באמרה אחרת – קילוף תפוזים, היא תמוהה נוכח העובדה כי הנאשם אינו עובד, נמצא בבית מרבית זמנו, ומה לו כי ישא עמו סכין לקילוף תפוזים דווקא?</w:t>
      </w:r>
    </w:p>
    <w:p w14:paraId="36A6136B" w14:textId="77777777" w:rsidR="006A2F1B" w:rsidRDefault="006A2F1B">
      <w:pPr>
        <w:spacing w:after="80" w:line="320" w:lineRule="exact"/>
        <w:ind w:firstLine="283"/>
        <w:rPr>
          <w:sz w:val="22"/>
          <w:rtl/>
        </w:rPr>
      </w:pPr>
      <w:r>
        <w:rPr>
          <w:rFonts w:hint="cs"/>
          <w:sz w:val="22"/>
          <w:rtl/>
        </w:rPr>
        <w:t>הסכין ת/7 אינו סכין קילוף או סכין חיתוך פשוטה. מדובר באולר מתקפל בעל להב חד, ולא שוכנעתי מגירסתו של הנאשם כי הוחזק על ידו למטרה כשרה.</w:t>
      </w:r>
      <w:r>
        <w:rPr>
          <w:color w:val="FFFFFF"/>
          <w:sz w:val="4"/>
          <w:szCs w:val="4"/>
          <w:rtl/>
        </w:rPr>
        <w:t>ו</w:t>
      </w:r>
    </w:p>
    <w:p w14:paraId="1C43B841" w14:textId="77777777" w:rsidR="006A2F1B" w:rsidRDefault="006A2F1B">
      <w:pPr>
        <w:spacing w:after="80" w:line="320" w:lineRule="exact"/>
        <w:ind w:firstLine="283"/>
        <w:rPr>
          <w:sz w:val="22"/>
          <w:rtl/>
        </w:rPr>
      </w:pPr>
      <w:r>
        <w:rPr>
          <w:rFonts w:hint="cs"/>
          <w:sz w:val="22"/>
          <w:rtl/>
        </w:rPr>
        <w:t>נהפוך הוא: התרשמותי היא כי הסכין מוחזק על ידי הנאשם למטרות הקשורות בשימוש לרעה בו – אם בדרך של אלימות ואם בדרך של איומים או הפחדה בלבד.</w:t>
      </w:r>
      <w:r>
        <w:rPr>
          <w:color w:val="FFFFFF"/>
          <w:sz w:val="4"/>
          <w:szCs w:val="4"/>
          <w:rtl/>
        </w:rPr>
        <w:t>נ</w:t>
      </w:r>
    </w:p>
    <w:p w14:paraId="6D005AEB" w14:textId="77777777" w:rsidR="006A2F1B" w:rsidRDefault="006A2F1B">
      <w:pPr>
        <w:spacing w:after="80" w:line="320" w:lineRule="exact"/>
        <w:ind w:firstLine="283"/>
        <w:rPr>
          <w:rFonts w:hint="cs"/>
          <w:sz w:val="22"/>
          <w:rtl/>
        </w:rPr>
      </w:pPr>
    </w:p>
    <w:p w14:paraId="41ACEA3F" w14:textId="77777777" w:rsidR="006A2F1B" w:rsidRDefault="006A2F1B">
      <w:pPr>
        <w:tabs>
          <w:tab w:val="num" w:pos="516"/>
        </w:tabs>
        <w:spacing w:after="80" w:line="320" w:lineRule="exact"/>
        <w:ind w:firstLine="283"/>
        <w:rPr>
          <w:sz w:val="22"/>
          <w:rtl/>
        </w:rPr>
      </w:pPr>
      <w:r>
        <w:rPr>
          <w:sz w:val="22"/>
          <w:rtl/>
        </w:rPr>
        <w:t>24.</w:t>
      </w:r>
      <w:r w:rsidR="00B106A3">
        <w:rPr>
          <w:sz w:val="22"/>
          <w:rtl/>
        </w:rPr>
        <w:t xml:space="preserve">    </w:t>
      </w:r>
      <w:r>
        <w:rPr>
          <w:sz w:val="22"/>
          <w:rtl/>
        </w:rPr>
        <w:t xml:space="preserve"> </w:t>
      </w:r>
      <w:r>
        <w:rPr>
          <w:rFonts w:hint="cs"/>
          <w:sz w:val="22"/>
          <w:rtl/>
        </w:rPr>
        <w:t>מאחר ואני מאמינה לדבריה של המתלוננת באמרתה ת/2 ולפיה נוהג הנאשם לאיים עליה ועל אמה כשהוא מצוייד בסכין, עובדה שהנאשם כופר בה מכל וכל, סבורה אני כי ניתן לראות בתפיסת הסכין בחזקת הנאשם בנסיבות המתוארות לעיל חיזוק לאמרתה של המתלוננת בענין זה, וממילא לגירסתה כולה.</w:t>
      </w:r>
      <w:r>
        <w:rPr>
          <w:color w:val="FFFFFF"/>
          <w:sz w:val="4"/>
          <w:szCs w:val="4"/>
          <w:rtl/>
        </w:rPr>
        <w:t>ב</w:t>
      </w:r>
    </w:p>
    <w:p w14:paraId="21A35CEA" w14:textId="77777777" w:rsidR="006A2F1B" w:rsidRDefault="006A2F1B">
      <w:pPr>
        <w:spacing w:after="80" w:line="320" w:lineRule="exact"/>
        <w:ind w:firstLine="283"/>
        <w:rPr>
          <w:sz w:val="22"/>
          <w:rtl/>
        </w:rPr>
      </w:pPr>
    </w:p>
    <w:p w14:paraId="13303150" w14:textId="77777777" w:rsidR="006A2F1B" w:rsidRDefault="006A2F1B">
      <w:pPr>
        <w:tabs>
          <w:tab w:val="num" w:pos="516"/>
        </w:tabs>
        <w:spacing w:after="80" w:line="320" w:lineRule="exact"/>
        <w:ind w:firstLine="283"/>
        <w:rPr>
          <w:sz w:val="22"/>
          <w:rtl/>
        </w:rPr>
      </w:pPr>
      <w:r>
        <w:rPr>
          <w:sz w:val="22"/>
          <w:rtl/>
        </w:rPr>
        <w:t>25.</w:t>
      </w:r>
      <w:r w:rsidR="00B106A3">
        <w:rPr>
          <w:sz w:val="22"/>
          <w:rtl/>
        </w:rPr>
        <w:t xml:space="preserve">    </w:t>
      </w:r>
      <w:r>
        <w:rPr>
          <w:sz w:val="22"/>
          <w:rtl/>
        </w:rPr>
        <w:t xml:space="preserve"> </w:t>
      </w:r>
      <w:r>
        <w:rPr>
          <w:rFonts w:hint="cs"/>
          <w:sz w:val="22"/>
          <w:rtl/>
        </w:rPr>
        <w:t xml:space="preserve">ה"דבר לחיזוק" המתואר </w:t>
      </w:r>
      <w:hyperlink r:id="rId26" w:history="1">
        <w:r w:rsidR="00710CC6" w:rsidRPr="00710CC6">
          <w:rPr>
            <w:color w:val="0000FF"/>
            <w:sz w:val="22"/>
            <w:u w:val="single"/>
            <w:rtl/>
          </w:rPr>
          <w:t>בסעיף 10א(ד)</w:t>
        </w:r>
      </w:hyperlink>
      <w:r>
        <w:rPr>
          <w:rFonts w:hint="cs"/>
          <w:sz w:val="22"/>
          <w:rtl/>
        </w:rPr>
        <w:t xml:space="preserve"> לפקודה, פורש בפסיקת בית המשפט העליון כתוספת ראייתית "מאמתת" בלבד, שאינה עולה כדי "סיוע" על כל המרכיבים הבונים אותו, כגון: מקור עצמאי, סיבוך הנאשם עצמו והתייחסות ליריעת המחלוקת.</w:t>
      </w:r>
      <w:r>
        <w:rPr>
          <w:color w:val="FFFFFF"/>
          <w:sz w:val="4"/>
          <w:szCs w:val="4"/>
          <w:rtl/>
        </w:rPr>
        <w:t>ו</w:t>
      </w:r>
    </w:p>
    <w:p w14:paraId="3AE0754C" w14:textId="77777777" w:rsidR="006A2F1B" w:rsidRDefault="006A2F1B">
      <w:pPr>
        <w:spacing w:after="80" w:line="320" w:lineRule="exact"/>
        <w:ind w:firstLine="283"/>
        <w:rPr>
          <w:sz w:val="22"/>
          <w:rtl/>
        </w:rPr>
      </w:pPr>
      <w:r>
        <w:rPr>
          <w:rFonts w:hint="cs"/>
          <w:sz w:val="22"/>
          <w:rtl/>
        </w:rPr>
        <w:t>די, איפוא, בכך שבראיית החיזוק יש כדי להגביר את אמינות האמרה על ידי אישור פרט רלבנטי לעבירה באותה אמרה.</w:t>
      </w:r>
    </w:p>
    <w:p w14:paraId="5000B708" w14:textId="77777777" w:rsidR="006A2F1B" w:rsidRDefault="006A2F1B">
      <w:pPr>
        <w:spacing w:after="80" w:line="320" w:lineRule="exact"/>
        <w:ind w:firstLine="283"/>
        <w:rPr>
          <w:sz w:val="22"/>
          <w:rtl/>
        </w:rPr>
      </w:pPr>
      <w:r>
        <w:rPr>
          <w:rFonts w:hint="cs"/>
          <w:sz w:val="22"/>
          <w:rtl/>
        </w:rPr>
        <w:t>ר' בענין זה למשל את פסק דינה של כב' השופטת דורנר ב</w:t>
      </w:r>
      <w:hyperlink r:id="rId27" w:history="1">
        <w:r w:rsidR="00B106A3" w:rsidRPr="00B106A3">
          <w:rPr>
            <w:rStyle w:val="Hyperlink"/>
            <w:rFonts w:hint="eastAsia"/>
            <w:sz w:val="22"/>
            <w:rtl/>
          </w:rPr>
          <w:t>ע</w:t>
        </w:r>
        <w:r w:rsidR="00B106A3" w:rsidRPr="00B106A3">
          <w:rPr>
            <w:rStyle w:val="Hyperlink"/>
            <w:sz w:val="22"/>
            <w:rtl/>
          </w:rPr>
          <w:t>"פ 691/92 יוסי אהרן נגד מדינת ישראל, פד"י נ</w:t>
        </w:r>
      </w:hyperlink>
      <w:r>
        <w:rPr>
          <w:rFonts w:hint="cs"/>
          <w:sz w:val="22"/>
          <w:rtl/>
        </w:rPr>
        <w:t>(3), 675, את פסק דינו של כב' השופט ריבלין ב</w:t>
      </w:r>
      <w:hyperlink r:id="rId28" w:history="1">
        <w:r w:rsidR="00B106A3" w:rsidRPr="00B106A3">
          <w:rPr>
            <w:rStyle w:val="Hyperlink"/>
            <w:rFonts w:hint="eastAsia"/>
            <w:sz w:val="22"/>
            <w:rtl/>
          </w:rPr>
          <w:t>ע</w:t>
        </w:r>
        <w:r w:rsidR="00B106A3" w:rsidRPr="00B106A3">
          <w:rPr>
            <w:rStyle w:val="Hyperlink"/>
            <w:sz w:val="22"/>
            <w:rtl/>
          </w:rPr>
          <w:t>"פ 2949/99 פלוני נגד מדינת ישראל, פד"י נו</w:t>
        </w:r>
      </w:hyperlink>
      <w:r>
        <w:rPr>
          <w:rFonts w:hint="cs"/>
          <w:sz w:val="22"/>
          <w:rtl/>
        </w:rPr>
        <w:t>(1), 636 והפסיקה המאוזכרת שם.</w:t>
      </w:r>
    </w:p>
    <w:p w14:paraId="467A8041" w14:textId="77777777" w:rsidR="006A2F1B" w:rsidRDefault="006A2F1B">
      <w:pPr>
        <w:spacing w:after="80" w:line="320" w:lineRule="exact"/>
        <w:ind w:firstLine="283"/>
        <w:rPr>
          <w:rFonts w:hint="cs"/>
          <w:sz w:val="22"/>
          <w:rtl/>
        </w:rPr>
      </w:pPr>
    </w:p>
    <w:p w14:paraId="649708FD" w14:textId="77777777" w:rsidR="006A2F1B" w:rsidRDefault="006A2F1B">
      <w:pPr>
        <w:tabs>
          <w:tab w:val="num" w:pos="516"/>
        </w:tabs>
        <w:spacing w:after="80" w:line="320" w:lineRule="exact"/>
        <w:ind w:firstLine="283"/>
        <w:rPr>
          <w:sz w:val="22"/>
          <w:rtl/>
        </w:rPr>
      </w:pPr>
      <w:r>
        <w:rPr>
          <w:sz w:val="22"/>
          <w:rtl/>
        </w:rPr>
        <w:t>26.</w:t>
      </w:r>
      <w:r w:rsidR="00B106A3">
        <w:rPr>
          <w:sz w:val="22"/>
          <w:rtl/>
        </w:rPr>
        <w:t xml:space="preserve">    </w:t>
      </w:r>
      <w:r>
        <w:rPr>
          <w:sz w:val="22"/>
          <w:rtl/>
        </w:rPr>
        <w:t xml:space="preserve"> </w:t>
      </w:r>
      <w:r>
        <w:rPr>
          <w:rFonts w:hint="cs"/>
          <w:sz w:val="22"/>
          <w:rtl/>
        </w:rPr>
        <w:t xml:space="preserve">עוד מוסיפה כב' השופטת דורנר </w:t>
      </w:r>
      <w:r>
        <w:rPr>
          <w:rFonts w:hint="cs"/>
          <w:sz w:val="22"/>
          <w:u w:val="single"/>
          <w:rtl/>
        </w:rPr>
        <w:t>ב</w:t>
      </w:r>
      <w:hyperlink r:id="rId29" w:history="1">
        <w:r w:rsidR="00B106A3" w:rsidRPr="00B106A3">
          <w:rPr>
            <w:rStyle w:val="Hyperlink"/>
            <w:rFonts w:hint="eastAsia"/>
            <w:sz w:val="22"/>
            <w:rtl/>
          </w:rPr>
          <w:t>ע</w:t>
        </w:r>
        <w:r w:rsidR="00B106A3" w:rsidRPr="00B106A3">
          <w:rPr>
            <w:rStyle w:val="Hyperlink"/>
            <w:sz w:val="22"/>
            <w:rtl/>
          </w:rPr>
          <w:t>"פ 691/92</w:t>
        </w:r>
      </w:hyperlink>
      <w:r>
        <w:rPr>
          <w:rFonts w:hint="cs"/>
          <w:sz w:val="22"/>
          <w:rtl/>
        </w:rPr>
        <w:t xml:space="preserve"> הנ"ל, כי קיימת זיקה בין משקלה הפנימי של האמרה הטעונה חיזוק לבין עוצמתה של התוספת הראייתית הדרושה: ככל שרב משקלה של האמרה, כך תידרש תוספת ברמה מצומצמת יותר, ולהפך. אם האמרה עצמה אינה בעלת משקל פנימי מלא, עשויה התוספת הראייתית להגיע אף לדרגת סיוע ממש.</w:t>
      </w:r>
    </w:p>
    <w:p w14:paraId="1140C7C7" w14:textId="77777777" w:rsidR="006A2F1B" w:rsidRDefault="006A2F1B">
      <w:pPr>
        <w:spacing w:after="80" w:line="320" w:lineRule="exact"/>
        <w:ind w:firstLine="283"/>
        <w:rPr>
          <w:sz w:val="22"/>
          <w:rtl/>
        </w:rPr>
      </w:pPr>
      <w:r>
        <w:rPr>
          <w:rFonts w:hint="cs"/>
          <w:sz w:val="22"/>
          <w:rtl/>
        </w:rPr>
        <w:t xml:space="preserve">ר' בענין זה גם את </w:t>
      </w:r>
      <w:hyperlink r:id="rId30" w:history="1">
        <w:r w:rsidR="00B106A3" w:rsidRPr="00B106A3">
          <w:rPr>
            <w:rStyle w:val="Hyperlink"/>
            <w:rFonts w:hint="eastAsia"/>
            <w:sz w:val="22"/>
            <w:rtl/>
          </w:rPr>
          <w:t>ע</w:t>
        </w:r>
        <w:r w:rsidR="00B106A3" w:rsidRPr="00B106A3">
          <w:rPr>
            <w:rStyle w:val="Hyperlink"/>
            <w:sz w:val="22"/>
            <w:rtl/>
          </w:rPr>
          <w:t>"פ 209/87  מועד נאיף שחאדה נ' מדינת ישראל, פ"ד מא</w:t>
        </w:r>
      </w:hyperlink>
      <w:r>
        <w:rPr>
          <w:rFonts w:hint="cs"/>
          <w:sz w:val="22"/>
          <w:rtl/>
        </w:rPr>
        <w:t>(4), 594.</w:t>
      </w:r>
    </w:p>
    <w:p w14:paraId="7D3CC60D" w14:textId="77777777" w:rsidR="006A2F1B" w:rsidRDefault="006A2F1B">
      <w:pPr>
        <w:spacing w:after="80" w:line="320" w:lineRule="exact"/>
        <w:ind w:firstLine="283"/>
        <w:rPr>
          <w:rFonts w:hint="cs"/>
          <w:sz w:val="22"/>
          <w:rtl/>
        </w:rPr>
      </w:pPr>
    </w:p>
    <w:p w14:paraId="1F86D9BC" w14:textId="77777777" w:rsidR="006A2F1B" w:rsidRDefault="006A2F1B">
      <w:pPr>
        <w:tabs>
          <w:tab w:val="num" w:pos="516"/>
        </w:tabs>
        <w:spacing w:after="80" w:line="320" w:lineRule="exact"/>
        <w:ind w:firstLine="283"/>
        <w:rPr>
          <w:sz w:val="22"/>
          <w:rtl/>
        </w:rPr>
      </w:pPr>
      <w:r>
        <w:rPr>
          <w:sz w:val="22"/>
          <w:rtl/>
        </w:rPr>
        <w:t>27.</w:t>
      </w:r>
      <w:r w:rsidR="00B106A3">
        <w:rPr>
          <w:sz w:val="22"/>
          <w:rtl/>
        </w:rPr>
        <w:t xml:space="preserve">    </w:t>
      </w:r>
      <w:r>
        <w:rPr>
          <w:sz w:val="22"/>
          <w:rtl/>
        </w:rPr>
        <w:t xml:space="preserve"> </w:t>
      </w:r>
      <w:r>
        <w:rPr>
          <w:rFonts w:hint="cs"/>
          <w:sz w:val="22"/>
          <w:rtl/>
        </w:rPr>
        <w:t xml:space="preserve">אין גם צורך כי החיזוק יתייחס לכל אחד ואחד מיסודות העבירות שבהן מואשם הנאשם, וכאשר קיים קשר ממשי בין כל העבירות המיוחסות לנאשם, או כאשר העבירות מהוות פרשה עובדתית אחת, די בחיזוק לגבי אחת העבירות כדי לענות על דרישת הדבר לחיזוק </w:t>
      </w:r>
      <w:hyperlink r:id="rId31" w:history="1">
        <w:r w:rsidR="00710CC6" w:rsidRPr="00710CC6">
          <w:rPr>
            <w:color w:val="0000FF"/>
            <w:sz w:val="22"/>
            <w:u w:val="single"/>
            <w:rtl/>
          </w:rPr>
          <w:t>שבסעיף 10א(ד)</w:t>
        </w:r>
      </w:hyperlink>
      <w:r>
        <w:rPr>
          <w:rFonts w:hint="cs"/>
          <w:sz w:val="22"/>
          <w:rtl/>
        </w:rPr>
        <w:t xml:space="preserve"> הנ"ל.</w:t>
      </w:r>
    </w:p>
    <w:p w14:paraId="135BC243" w14:textId="77777777" w:rsidR="006A2F1B" w:rsidRDefault="006A2F1B">
      <w:pPr>
        <w:spacing w:after="80" w:line="320" w:lineRule="exact"/>
        <w:ind w:firstLine="283"/>
        <w:rPr>
          <w:sz w:val="22"/>
          <w:rtl/>
        </w:rPr>
      </w:pPr>
      <w:r>
        <w:rPr>
          <w:rFonts w:hint="cs"/>
          <w:sz w:val="22"/>
          <w:rtl/>
        </w:rPr>
        <w:t>ר' בענין זה את פסק דינו של כב' השופט גולדברג ב</w:t>
      </w:r>
      <w:hyperlink r:id="rId32" w:history="1">
        <w:r w:rsidR="00B106A3" w:rsidRPr="00B106A3">
          <w:rPr>
            <w:rStyle w:val="Hyperlink"/>
            <w:rFonts w:hint="eastAsia"/>
            <w:sz w:val="22"/>
            <w:rtl/>
          </w:rPr>
          <w:t>ע</w:t>
        </w:r>
        <w:r w:rsidR="00B106A3" w:rsidRPr="00B106A3">
          <w:rPr>
            <w:rStyle w:val="Hyperlink"/>
            <w:sz w:val="22"/>
            <w:rtl/>
          </w:rPr>
          <w:t>"פ 241/87  אורי כהן נ' מדינת ישראל , פ"ד מב</w:t>
        </w:r>
      </w:hyperlink>
      <w:r>
        <w:rPr>
          <w:rFonts w:hint="cs"/>
          <w:sz w:val="22"/>
          <w:rtl/>
        </w:rPr>
        <w:t xml:space="preserve">(1), 743 ,עמ' 744-745 ואת </w:t>
      </w:r>
      <w:r>
        <w:rPr>
          <w:rFonts w:hint="cs"/>
          <w:sz w:val="22"/>
          <w:u w:val="single"/>
          <w:rtl/>
        </w:rPr>
        <w:t xml:space="preserve">ע"פ </w:t>
      </w:r>
      <w:hyperlink r:id="rId33" w:history="1">
        <w:r w:rsidR="00133FD3" w:rsidRPr="00133FD3">
          <w:rPr>
            <w:color w:val="0000FF"/>
            <w:sz w:val="22"/>
            <w:u w:val="single"/>
            <w:rtl/>
          </w:rPr>
          <w:t xml:space="preserve">4209/94 </w:t>
        </w:r>
      </w:hyperlink>
      <w:r>
        <w:rPr>
          <w:rFonts w:hint="cs"/>
          <w:sz w:val="22"/>
          <w:u w:val="single"/>
          <w:rtl/>
        </w:rPr>
        <w:t xml:space="preserve"> רפאל פלישטייב נ' מדינת ישראל</w:t>
      </w:r>
      <w:r>
        <w:rPr>
          <w:rFonts w:hint="cs"/>
          <w:sz w:val="22"/>
          <w:rtl/>
        </w:rPr>
        <w:t>, תק-על 95(3), 2132 ,עמ' 2134,</w:t>
      </w:r>
    </w:p>
    <w:p w14:paraId="42384A53" w14:textId="77777777" w:rsidR="006A2F1B" w:rsidRDefault="006A2F1B">
      <w:pPr>
        <w:spacing w:after="80" w:line="320" w:lineRule="exact"/>
        <w:ind w:firstLine="283"/>
        <w:rPr>
          <w:rFonts w:hint="cs"/>
          <w:sz w:val="22"/>
          <w:rtl/>
        </w:rPr>
      </w:pPr>
    </w:p>
    <w:p w14:paraId="04881EA8" w14:textId="77777777" w:rsidR="006A2F1B" w:rsidRDefault="006A2F1B">
      <w:pPr>
        <w:tabs>
          <w:tab w:val="num" w:pos="516"/>
        </w:tabs>
        <w:spacing w:after="80" w:line="320" w:lineRule="exact"/>
        <w:ind w:firstLine="283"/>
        <w:rPr>
          <w:sz w:val="22"/>
          <w:rtl/>
        </w:rPr>
      </w:pPr>
      <w:r>
        <w:rPr>
          <w:sz w:val="22"/>
          <w:rtl/>
        </w:rPr>
        <w:t>28.</w:t>
      </w:r>
      <w:r w:rsidR="00B106A3">
        <w:rPr>
          <w:sz w:val="22"/>
          <w:rtl/>
        </w:rPr>
        <w:t xml:space="preserve">    </w:t>
      </w:r>
      <w:r>
        <w:rPr>
          <w:sz w:val="22"/>
          <w:rtl/>
        </w:rPr>
        <w:t xml:space="preserve"> </w:t>
      </w:r>
      <w:r>
        <w:rPr>
          <w:rFonts w:hint="cs"/>
          <w:sz w:val="22"/>
          <w:rtl/>
        </w:rPr>
        <w:t>כפי שהבהרתי כבר לעיל, שוכנעתי כי יש להעניק לאמרתה של המתלוננת ת/2 משקל מלא, באשר היא זו המשקפת את המציאות האמיתית, ולא העדות בבית המשפט שבאה על רקע חששותיה של המתלוננת והמצב המשפחתי המורכב בו היא נתונה, ולא נועדה לגלוי האמת אלא לחילוצו של הנאשם ממאסר.</w:t>
      </w:r>
    </w:p>
    <w:p w14:paraId="750CD7F6" w14:textId="77777777" w:rsidR="006A2F1B" w:rsidRDefault="006A2F1B">
      <w:pPr>
        <w:spacing w:after="80" w:line="320" w:lineRule="exact"/>
        <w:ind w:firstLine="283"/>
        <w:rPr>
          <w:sz w:val="22"/>
          <w:rtl/>
        </w:rPr>
      </w:pPr>
      <w:r>
        <w:rPr>
          <w:rFonts w:hint="cs"/>
          <w:sz w:val="22"/>
          <w:rtl/>
        </w:rPr>
        <w:t xml:space="preserve">בנסיבות אלו, נחה דעתי כי בתפיסת האולר המתקפל על גופו של הנאשם יש לא רק כדי לבסס את עבירת החזקת הסכין שבאישום השני, אלא גם כדי להוות "דבר לחיזוקה" של אמרת המתלוננת ת/2, כדרישת </w:t>
      </w:r>
      <w:hyperlink r:id="rId34" w:history="1">
        <w:r w:rsidR="00710CC6" w:rsidRPr="00710CC6">
          <w:rPr>
            <w:color w:val="0000FF"/>
            <w:sz w:val="22"/>
            <w:u w:val="single"/>
            <w:rtl/>
          </w:rPr>
          <w:t>סעיף 10א(ד)</w:t>
        </w:r>
      </w:hyperlink>
      <w:r>
        <w:rPr>
          <w:rFonts w:hint="cs"/>
          <w:sz w:val="22"/>
          <w:rtl/>
        </w:rPr>
        <w:t xml:space="preserve"> לפקודה.</w:t>
      </w:r>
    </w:p>
    <w:p w14:paraId="08C5FCC5" w14:textId="77777777" w:rsidR="006A2F1B" w:rsidRDefault="006A2F1B">
      <w:pPr>
        <w:spacing w:after="80" w:line="320" w:lineRule="exact"/>
        <w:ind w:firstLine="283"/>
        <w:rPr>
          <w:rFonts w:hint="cs"/>
          <w:sz w:val="22"/>
          <w:rtl/>
        </w:rPr>
      </w:pPr>
    </w:p>
    <w:p w14:paraId="2E7EC38C" w14:textId="77777777" w:rsidR="006A2F1B" w:rsidRDefault="006A2F1B">
      <w:pPr>
        <w:spacing w:after="80" w:line="320" w:lineRule="exact"/>
        <w:ind w:firstLine="283"/>
        <w:rPr>
          <w:sz w:val="22"/>
          <w:rtl/>
        </w:rPr>
      </w:pPr>
      <w:r>
        <w:rPr>
          <w:rFonts w:hint="cs"/>
          <w:sz w:val="22"/>
          <w:rtl/>
        </w:rPr>
        <w:t xml:space="preserve">לאור כל האמור לעיל, אני קובעת כי התביעה הרימה את נטל הראיה להוכחת שני האישומים שבכתב האישום ואני מרשיעה, איפוא, את הנאשם בעבירות שיוחסו לו: היזק בזדון  - עבירה לפי </w:t>
      </w:r>
      <w:hyperlink r:id="rId35" w:history="1">
        <w:r w:rsidR="00710CC6" w:rsidRPr="00710CC6">
          <w:rPr>
            <w:color w:val="0000FF"/>
            <w:sz w:val="22"/>
            <w:u w:val="single"/>
            <w:rtl/>
          </w:rPr>
          <w:t>סעיף 452</w:t>
        </w:r>
      </w:hyperlink>
      <w:r>
        <w:rPr>
          <w:rFonts w:hint="cs"/>
          <w:sz w:val="22"/>
          <w:rtl/>
        </w:rPr>
        <w:t xml:space="preserve"> ל</w:t>
      </w:r>
      <w:hyperlink r:id="rId36" w:history="1">
        <w:r w:rsidR="00B106A3" w:rsidRPr="00B106A3">
          <w:rPr>
            <w:rStyle w:val="Hyperlink"/>
            <w:rFonts w:hint="eastAsia"/>
            <w:sz w:val="22"/>
            <w:rtl/>
          </w:rPr>
          <w:t>חוק</w:t>
        </w:r>
        <w:r w:rsidR="00B106A3" w:rsidRPr="00B106A3">
          <w:rPr>
            <w:rStyle w:val="Hyperlink"/>
            <w:sz w:val="22"/>
            <w:rtl/>
          </w:rPr>
          <w:t xml:space="preserve"> העונשין</w:t>
        </w:r>
      </w:hyperlink>
      <w:r>
        <w:rPr>
          <w:rFonts w:hint="cs"/>
          <w:sz w:val="22"/>
          <w:rtl/>
        </w:rPr>
        <w:t xml:space="preserve"> תשל"ז – 1977, איומים – עבירה לפי </w:t>
      </w:r>
      <w:hyperlink r:id="rId37" w:history="1">
        <w:r w:rsidR="00710CC6" w:rsidRPr="00710CC6">
          <w:rPr>
            <w:color w:val="0000FF"/>
            <w:sz w:val="22"/>
            <w:u w:val="single"/>
            <w:rtl/>
          </w:rPr>
          <w:t>סעיף 192</w:t>
        </w:r>
      </w:hyperlink>
      <w:r>
        <w:rPr>
          <w:rFonts w:hint="cs"/>
          <w:sz w:val="22"/>
          <w:rtl/>
        </w:rPr>
        <w:t xml:space="preserve"> לחוק העונשין תשל"ז – 1977, תקיפה – עבירה לפי </w:t>
      </w:r>
      <w:hyperlink r:id="rId38" w:history="1">
        <w:r w:rsidR="00710CC6" w:rsidRPr="00710CC6">
          <w:rPr>
            <w:color w:val="0000FF"/>
            <w:sz w:val="22"/>
            <w:u w:val="single"/>
            <w:rtl/>
          </w:rPr>
          <w:t>סעיף 379</w:t>
        </w:r>
      </w:hyperlink>
      <w:r>
        <w:rPr>
          <w:rFonts w:hint="cs"/>
          <w:sz w:val="22"/>
          <w:rtl/>
        </w:rPr>
        <w:t xml:space="preserve"> לחוק העונשין תשל"ז – 1977, מעשה מגונה - עבירה לפי </w:t>
      </w:r>
      <w:hyperlink r:id="rId39" w:history="1">
        <w:r w:rsidR="00710CC6" w:rsidRPr="00710CC6">
          <w:rPr>
            <w:color w:val="0000FF"/>
            <w:sz w:val="22"/>
            <w:u w:val="single"/>
            <w:rtl/>
          </w:rPr>
          <w:t>סעיף 348(ג)</w:t>
        </w:r>
      </w:hyperlink>
      <w:r>
        <w:rPr>
          <w:rFonts w:hint="cs"/>
          <w:sz w:val="22"/>
          <w:rtl/>
        </w:rPr>
        <w:t xml:space="preserve">  לחוק העונשין תשל"ז – 1977 והחזקת סכין שלא כדין - עבירה לפי </w:t>
      </w:r>
      <w:hyperlink r:id="rId40" w:history="1">
        <w:r w:rsidR="00710CC6" w:rsidRPr="00710CC6">
          <w:rPr>
            <w:color w:val="0000FF"/>
            <w:sz w:val="22"/>
            <w:u w:val="single"/>
            <w:rtl/>
          </w:rPr>
          <w:t>סעיף 186(א)</w:t>
        </w:r>
      </w:hyperlink>
      <w:r>
        <w:rPr>
          <w:rFonts w:hint="cs"/>
          <w:sz w:val="22"/>
          <w:rtl/>
        </w:rPr>
        <w:t xml:space="preserve"> לחוק העונשין תשל"ז – 1977.</w:t>
      </w:r>
    </w:p>
    <w:p w14:paraId="50208B41" w14:textId="77777777" w:rsidR="006A2F1B" w:rsidRDefault="006A2F1B">
      <w:pPr>
        <w:spacing w:after="80" w:line="320" w:lineRule="exact"/>
        <w:ind w:firstLine="283"/>
        <w:rPr>
          <w:rFonts w:hint="cs"/>
          <w:b/>
          <w:bCs/>
          <w:sz w:val="22"/>
          <w:rtl/>
        </w:rPr>
      </w:pPr>
      <w:bookmarkStart w:id="11" w:name="Decision1"/>
    </w:p>
    <w:p w14:paraId="0B8B1BB3" w14:textId="77777777" w:rsidR="006A2F1B" w:rsidRDefault="006A2F1B">
      <w:pPr>
        <w:spacing w:after="80" w:line="320" w:lineRule="exact"/>
        <w:ind w:firstLine="283"/>
        <w:rPr>
          <w:rFonts w:hint="cs"/>
          <w:b/>
          <w:bCs/>
          <w:sz w:val="22"/>
          <w:rtl/>
        </w:rPr>
      </w:pPr>
      <w:r>
        <w:rPr>
          <w:rFonts w:hint="cs"/>
          <w:b/>
          <w:bCs/>
          <w:sz w:val="22"/>
          <w:rtl/>
        </w:rPr>
        <w:t>ניתנה היום ה' באלול, תשס"ג (2 בספטמבר 2003) במעמד הצדדים</w:t>
      </w:r>
    </w:p>
    <w:p w14:paraId="72B268C2" w14:textId="77777777" w:rsidR="006A2F1B" w:rsidRDefault="006A2F1B">
      <w:pPr>
        <w:spacing w:after="80" w:line="320" w:lineRule="exact"/>
        <w:ind w:firstLine="283"/>
        <w:rPr>
          <w:rFonts w:hint="cs"/>
          <w:sz w:val="22"/>
          <w:rtl/>
        </w:rPr>
      </w:pPr>
      <w:r>
        <w:rPr>
          <w:rFonts w:hint="cs"/>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6A2F1B" w14:paraId="11E93A23" w14:textId="77777777">
        <w:tc>
          <w:tcPr>
            <w:tcW w:w="2235" w:type="dxa"/>
            <w:tcBorders>
              <w:top w:val="single" w:sz="4" w:space="0" w:color="auto"/>
              <w:left w:val="nil"/>
              <w:bottom w:val="nil"/>
              <w:right w:val="nil"/>
            </w:tcBorders>
          </w:tcPr>
          <w:p w14:paraId="4169C64C" w14:textId="77777777" w:rsidR="006A2F1B" w:rsidRDefault="006A2F1B">
            <w:pPr>
              <w:spacing w:after="80" w:line="320" w:lineRule="exact"/>
              <w:rPr>
                <w:b/>
                <w:bCs/>
                <w:sz w:val="22"/>
              </w:rPr>
            </w:pPr>
            <w:r>
              <w:rPr>
                <w:rFonts w:hint="cs"/>
                <w:b/>
                <w:bCs/>
                <w:sz w:val="22"/>
                <w:rtl/>
              </w:rPr>
              <w:t>לילי יונג-גפר, שופטת</w:t>
            </w:r>
          </w:p>
        </w:tc>
      </w:tr>
      <w:bookmarkEnd w:id="11"/>
    </w:tbl>
    <w:p w14:paraId="3B68131A" w14:textId="77777777" w:rsidR="006A2F1B" w:rsidRDefault="006A2F1B">
      <w:pPr>
        <w:spacing w:after="80" w:line="320" w:lineRule="exact"/>
        <w:ind w:firstLine="283"/>
        <w:rPr>
          <w:rFonts w:hint="cs"/>
          <w:sz w:val="22"/>
          <w:rtl/>
        </w:rPr>
      </w:pPr>
    </w:p>
    <w:p w14:paraId="22B1A3BD" w14:textId="77777777" w:rsidR="006A2F1B" w:rsidRDefault="006A2F1B">
      <w:pPr>
        <w:spacing w:after="80" w:line="320" w:lineRule="exact"/>
        <w:ind w:firstLine="283"/>
        <w:rPr>
          <w:rFonts w:hint="cs"/>
          <w:sz w:val="22"/>
          <w:rtl/>
        </w:rPr>
      </w:pPr>
      <w:r>
        <w:rPr>
          <w:rFonts w:hint="cs"/>
          <w:b/>
          <w:bCs/>
          <w:sz w:val="22"/>
          <w:u w:val="single"/>
          <w:rtl/>
        </w:rPr>
        <w:t xml:space="preserve">הסניגורית: </w:t>
      </w:r>
      <w:r>
        <w:rPr>
          <w:rFonts w:hint="cs"/>
          <w:sz w:val="22"/>
          <w:rtl/>
        </w:rPr>
        <w:t>אבקש שבית המשפט יורה על קבלת תסקיר משירות המבחן בטרם הטיעון לעונש.</w:t>
      </w:r>
    </w:p>
    <w:p w14:paraId="13E35497" w14:textId="77777777" w:rsidR="006A2F1B" w:rsidRDefault="006A2F1B">
      <w:pPr>
        <w:spacing w:after="80" w:line="320" w:lineRule="exact"/>
        <w:ind w:firstLine="283"/>
        <w:rPr>
          <w:rFonts w:hint="cs"/>
          <w:sz w:val="22"/>
          <w:rtl/>
        </w:rPr>
      </w:pPr>
    </w:p>
    <w:p w14:paraId="1330F0E9" w14:textId="77777777" w:rsidR="006A2F1B" w:rsidRDefault="006A2F1B">
      <w:pPr>
        <w:spacing w:after="80" w:line="320" w:lineRule="exact"/>
        <w:ind w:firstLine="283"/>
        <w:rPr>
          <w:rFonts w:hint="cs"/>
          <w:sz w:val="22"/>
          <w:rtl/>
        </w:rPr>
      </w:pPr>
      <w:r>
        <w:rPr>
          <w:rFonts w:hint="cs"/>
          <w:b/>
          <w:bCs/>
          <w:sz w:val="22"/>
          <w:u w:val="single"/>
          <w:rtl/>
        </w:rPr>
        <w:t xml:space="preserve">התובעת: </w:t>
      </w:r>
      <w:r>
        <w:rPr>
          <w:rFonts w:hint="cs"/>
          <w:sz w:val="22"/>
          <w:rtl/>
        </w:rPr>
        <w:t xml:space="preserve">אין התנגדות. </w:t>
      </w:r>
    </w:p>
    <w:p w14:paraId="5796DC21" w14:textId="77777777" w:rsidR="006A2F1B" w:rsidRDefault="006A2F1B">
      <w:pPr>
        <w:pStyle w:val="Heading1"/>
        <w:spacing w:after="80" w:line="320" w:lineRule="exact"/>
        <w:ind w:firstLine="283"/>
        <w:jc w:val="both"/>
        <w:rPr>
          <w:rFonts w:hint="cs"/>
          <w:sz w:val="22"/>
          <w:szCs w:val="24"/>
          <w:rtl/>
        </w:rPr>
      </w:pPr>
      <w:bookmarkStart w:id="12" w:name="Decision2"/>
    </w:p>
    <w:p w14:paraId="5187D4C0" w14:textId="77777777" w:rsidR="006A2F1B" w:rsidRDefault="006A2F1B">
      <w:pPr>
        <w:pStyle w:val="Heading1"/>
        <w:spacing w:after="80" w:line="320" w:lineRule="exact"/>
        <w:ind w:firstLine="283"/>
        <w:jc w:val="both"/>
        <w:rPr>
          <w:rFonts w:hint="cs"/>
          <w:sz w:val="22"/>
          <w:szCs w:val="24"/>
          <w:rtl/>
        </w:rPr>
      </w:pPr>
      <w:r>
        <w:rPr>
          <w:rFonts w:hint="cs"/>
          <w:sz w:val="22"/>
          <w:szCs w:val="24"/>
          <w:rtl/>
        </w:rPr>
        <w:t>החלטה</w:t>
      </w:r>
    </w:p>
    <w:p w14:paraId="62F99FC4" w14:textId="77777777" w:rsidR="006A2F1B" w:rsidRDefault="006A2F1B">
      <w:pPr>
        <w:spacing w:after="80" w:line="320" w:lineRule="exact"/>
        <w:ind w:firstLine="283"/>
        <w:rPr>
          <w:rFonts w:hint="cs"/>
          <w:sz w:val="22"/>
          <w:rtl/>
        </w:rPr>
      </w:pPr>
    </w:p>
    <w:p w14:paraId="1D731020" w14:textId="77777777" w:rsidR="006A2F1B" w:rsidRDefault="006A2F1B">
      <w:pPr>
        <w:spacing w:after="80" w:line="320" w:lineRule="exact"/>
        <w:ind w:firstLine="283"/>
        <w:rPr>
          <w:rFonts w:hint="cs"/>
          <w:sz w:val="22"/>
          <w:rtl/>
        </w:rPr>
      </w:pPr>
      <w:r>
        <w:rPr>
          <w:rFonts w:hint="cs"/>
          <w:sz w:val="22"/>
          <w:rtl/>
        </w:rPr>
        <w:t>אני דוחה את מועד הטיעון לעונש לתאריך 8.10.2003 שעה 09.30.</w:t>
      </w:r>
    </w:p>
    <w:p w14:paraId="623E6102" w14:textId="77777777" w:rsidR="006A2F1B" w:rsidRDefault="006A2F1B">
      <w:pPr>
        <w:spacing w:after="80" w:line="320" w:lineRule="exact"/>
        <w:ind w:firstLine="283"/>
        <w:rPr>
          <w:rFonts w:hint="cs"/>
          <w:sz w:val="22"/>
          <w:rtl/>
        </w:rPr>
      </w:pPr>
    </w:p>
    <w:p w14:paraId="0E1C6B36" w14:textId="77777777" w:rsidR="006A2F1B" w:rsidRDefault="006A2F1B">
      <w:pPr>
        <w:spacing w:after="80" w:line="320" w:lineRule="exact"/>
        <w:ind w:firstLine="283"/>
        <w:rPr>
          <w:rFonts w:hint="cs"/>
          <w:sz w:val="22"/>
          <w:rtl/>
        </w:rPr>
      </w:pPr>
      <w:r>
        <w:rPr>
          <w:rFonts w:hint="cs"/>
          <w:sz w:val="22"/>
          <w:rtl/>
        </w:rPr>
        <w:t>עד למועד זה יגיש שירות המבחן תסקיר בעניינו של הנאשם.</w:t>
      </w:r>
    </w:p>
    <w:p w14:paraId="7349B627" w14:textId="77777777" w:rsidR="006A2F1B" w:rsidRDefault="006A2F1B">
      <w:pPr>
        <w:spacing w:after="80" w:line="320" w:lineRule="exact"/>
        <w:ind w:firstLine="283"/>
        <w:rPr>
          <w:rFonts w:hint="cs"/>
          <w:sz w:val="22"/>
          <w:rtl/>
        </w:rPr>
      </w:pPr>
      <w:r>
        <w:rPr>
          <w:rFonts w:hint="cs"/>
          <w:b/>
          <w:bCs/>
          <w:sz w:val="22"/>
          <w:rtl/>
        </w:rPr>
        <w:t>לאור העובדה כי הנאשם נמצא במעצר מתבקש שירות המבחן, חרף העומס המוטל עליו, לעשות מאמץ ולהגיש את התסקיר במועד שנקבע.</w:t>
      </w:r>
    </w:p>
    <w:p w14:paraId="6DDDF791" w14:textId="77777777" w:rsidR="006A2F1B" w:rsidRDefault="006A2F1B">
      <w:pPr>
        <w:spacing w:after="80" w:line="320" w:lineRule="exact"/>
        <w:ind w:firstLine="283"/>
        <w:rPr>
          <w:b/>
          <w:bCs/>
          <w:sz w:val="22"/>
          <w:rtl/>
        </w:rPr>
      </w:pPr>
      <w:r>
        <w:rPr>
          <w:rFonts w:hint="cs"/>
          <w:b/>
          <w:bCs/>
          <w:sz w:val="22"/>
          <w:rtl/>
        </w:rPr>
        <w:t>תשומת לב שירות המבחן מופנית לעובדה כי הוגש תסקיר מעצר אודות הנאשם.</w:t>
      </w:r>
    </w:p>
    <w:p w14:paraId="776F6A30" w14:textId="77777777" w:rsidR="006A2F1B" w:rsidRDefault="006A2F1B">
      <w:pPr>
        <w:spacing w:after="80" w:line="320" w:lineRule="exact"/>
        <w:ind w:firstLine="283"/>
        <w:rPr>
          <w:rFonts w:hint="cs"/>
          <w:b/>
          <w:bCs/>
          <w:sz w:val="22"/>
          <w:rtl/>
        </w:rPr>
      </w:pPr>
      <w:r>
        <w:rPr>
          <w:rFonts w:hint="cs"/>
          <w:b/>
          <w:bCs/>
          <w:sz w:val="22"/>
          <w:rtl/>
        </w:rPr>
        <w:t xml:space="preserve">הנאשם יוזמן באמצעות ליווי עמקים. </w:t>
      </w:r>
    </w:p>
    <w:p w14:paraId="08499EAA" w14:textId="77777777" w:rsidR="006A2F1B" w:rsidRDefault="006A2F1B">
      <w:pPr>
        <w:spacing w:after="80" w:line="320" w:lineRule="exact"/>
        <w:ind w:firstLine="283"/>
        <w:rPr>
          <w:rFonts w:hint="cs"/>
          <w:b/>
          <w:bCs/>
          <w:sz w:val="22"/>
          <w:rtl/>
        </w:rPr>
      </w:pPr>
    </w:p>
    <w:p w14:paraId="0B58908A" w14:textId="77777777" w:rsidR="006A2F1B" w:rsidRDefault="006A2F1B">
      <w:pPr>
        <w:spacing w:after="80" w:line="320" w:lineRule="exact"/>
        <w:ind w:firstLine="283"/>
        <w:rPr>
          <w:rFonts w:hint="cs"/>
          <w:b/>
          <w:bCs/>
          <w:sz w:val="22"/>
          <w:rtl/>
        </w:rPr>
      </w:pPr>
      <w:r>
        <w:rPr>
          <w:rFonts w:hint="cs"/>
          <w:b/>
          <w:bCs/>
          <w:sz w:val="22"/>
          <w:rtl/>
        </w:rPr>
        <w:t>ניתנה היום ה' באלול, תשס"ג (2 בספטמבר 2003) במעמד הצדדים</w:t>
      </w:r>
    </w:p>
    <w:p w14:paraId="5FADBB1F" w14:textId="77777777" w:rsidR="006A2F1B" w:rsidRDefault="006A2F1B">
      <w:pPr>
        <w:spacing w:after="80" w:line="320" w:lineRule="exact"/>
        <w:ind w:firstLine="283"/>
        <w:rPr>
          <w:rFonts w:hint="cs"/>
          <w:sz w:val="22"/>
          <w:rtl/>
        </w:rPr>
      </w:pPr>
    </w:p>
    <w:p w14:paraId="26F08EEC" w14:textId="77777777" w:rsidR="006A2F1B" w:rsidRDefault="006A2F1B">
      <w:pPr>
        <w:spacing w:after="80" w:line="320" w:lineRule="exact"/>
        <w:ind w:firstLine="283"/>
        <w:rPr>
          <w:rFonts w:hint="cs"/>
          <w:sz w:val="22"/>
          <w:rtl/>
        </w:rPr>
      </w:pPr>
      <w:r>
        <w:rPr>
          <w:rFonts w:hint="cs"/>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6A2F1B" w14:paraId="3DC35D66" w14:textId="77777777">
        <w:tc>
          <w:tcPr>
            <w:tcW w:w="2235" w:type="dxa"/>
            <w:tcBorders>
              <w:top w:val="single" w:sz="4" w:space="0" w:color="auto"/>
              <w:left w:val="nil"/>
              <w:bottom w:val="nil"/>
              <w:right w:val="nil"/>
            </w:tcBorders>
          </w:tcPr>
          <w:p w14:paraId="75A7B478" w14:textId="77777777" w:rsidR="006A2F1B" w:rsidRDefault="006A2F1B">
            <w:pPr>
              <w:spacing w:after="80" w:line="320" w:lineRule="exact"/>
              <w:rPr>
                <w:b/>
                <w:bCs/>
                <w:sz w:val="22"/>
              </w:rPr>
            </w:pPr>
            <w:r>
              <w:rPr>
                <w:rFonts w:hint="cs"/>
                <w:b/>
                <w:bCs/>
                <w:sz w:val="22"/>
                <w:rtl/>
              </w:rPr>
              <w:t>לילי יונג-גפר, שופטת</w:t>
            </w:r>
          </w:p>
        </w:tc>
      </w:tr>
    </w:tbl>
    <w:p w14:paraId="0AE2EB00" w14:textId="77777777" w:rsidR="006A2F1B" w:rsidRDefault="006A2F1B">
      <w:pPr>
        <w:spacing w:after="80" w:line="320" w:lineRule="exact"/>
        <w:ind w:firstLine="283"/>
        <w:rPr>
          <w:rFonts w:hint="cs"/>
          <w:b/>
          <w:bCs/>
          <w:color w:val="FF0000"/>
          <w:sz w:val="22"/>
          <w:rtl/>
        </w:rPr>
      </w:pPr>
    </w:p>
    <w:bookmarkEnd w:id="12"/>
    <w:p w14:paraId="3E5E036A" w14:textId="77777777" w:rsidR="006A2F1B" w:rsidRDefault="006A2F1B">
      <w:pPr>
        <w:spacing w:after="80" w:line="320" w:lineRule="exact"/>
        <w:ind w:firstLine="283"/>
        <w:rPr>
          <w:sz w:val="22"/>
          <w:rtl/>
        </w:rPr>
      </w:pPr>
    </w:p>
    <w:p w14:paraId="37B5DDFD" w14:textId="77777777" w:rsidR="006A2F1B" w:rsidRDefault="006A2F1B">
      <w:pPr>
        <w:spacing w:after="80" w:line="320" w:lineRule="exact"/>
        <w:ind w:firstLine="283"/>
        <w:rPr>
          <w:sz w:val="22"/>
          <w:rtl/>
        </w:rPr>
      </w:pPr>
    </w:p>
    <w:p w14:paraId="5711FCA3" w14:textId="77777777" w:rsidR="006A2F1B" w:rsidRDefault="006A2F1B">
      <w:pPr>
        <w:spacing w:after="80" w:line="320" w:lineRule="exact"/>
        <w:ind w:firstLine="283"/>
        <w:rPr>
          <w:sz w:val="22"/>
          <w:rtl/>
        </w:rPr>
      </w:pPr>
      <w:r>
        <w:rPr>
          <w:sz w:val="22"/>
          <w:rtl/>
        </w:rPr>
        <w:t>נוסח זה כפוף לשינויי עריכה וניסוח</w:t>
      </w:r>
    </w:p>
    <w:sectPr w:rsidR="006A2F1B">
      <w:headerReference w:type="even" r:id="rId41"/>
      <w:headerReference w:type="default" r:id="rId42"/>
      <w:footerReference w:type="even" r:id="rId43"/>
      <w:footerReference w:type="default" r:id="rId44"/>
      <w:pgSz w:w="11906" w:h="16838"/>
      <w:pgMar w:top="1134" w:right="1701" w:bottom="1134" w:left="1134" w:header="850"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91DE" w14:textId="77777777" w:rsidR="008D0A44" w:rsidRDefault="008D0A44">
      <w:r>
        <w:separator/>
      </w:r>
    </w:p>
  </w:endnote>
  <w:endnote w:type="continuationSeparator" w:id="0">
    <w:p w14:paraId="26303EB1" w14:textId="77777777" w:rsidR="008D0A44" w:rsidRDefault="008D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89AB" w14:textId="77777777" w:rsidR="00C45945" w:rsidRDefault="00C4594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05D44914" w14:textId="77777777" w:rsidR="00C45945" w:rsidRDefault="00C4594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044395" w14:textId="77777777" w:rsidR="00C45945" w:rsidRDefault="00C4594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M:\000-shay\03-09-11\14\OutDoc\s032659.doc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F1C7" w14:textId="77777777" w:rsidR="00C45945" w:rsidRDefault="00C4594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60BB1">
      <w:rPr>
        <w:rFonts w:hAnsi="FrankRuehl" w:cs="FrankRuehl"/>
        <w:noProof/>
        <w:sz w:val="24"/>
        <w:rtl/>
      </w:rPr>
      <w:t>1</w:t>
    </w:r>
    <w:r>
      <w:rPr>
        <w:rFonts w:hAnsi="FrankRuehl" w:cs="FrankRuehl"/>
        <w:sz w:val="24"/>
        <w:rtl/>
      </w:rPr>
      <w:fldChar w:fldCharType="end"/>
    </w:r>
  </w:p>
  <w:p w14:paraId="30824259" w14:textId="77777777" w:rsidR="00C45945" w:rsidRDefault="00C4594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382F45" w14:textId="77777777" w:rsidR="00C45945" w:rsidRDefault="00C4594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M:\000-shay\03-09-11\14\OutDoc\s032659.doc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EF3A" w14:textId="77777777" w:rsidR="008D0A44" w:rsidRDefault="008D0A44">
      <w:r>
        <w:separator/>
      </w:r>
    </w:p>
  </w:footnote>
  <w:footnote w:type="continuationSeparator" w:id="0">
    <w:p w14:paraId="60A61FC1" w14:textId="77777777" w:rsidR="008D0A44" w:rsidRDefault="008D0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D437" w14:textId="77777777" w:rsidR="00C45945" w:rsidRDefault="00C4594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(נצ') 2659/03</w:t>
    </w:r>
    <w:r>
      <w:rPr>
        <w:rFonts w:hAnsi="David"/>
        <w:color w:val="000000"/>
        <w:sz w:val="22"/>
        <w:szCs w:val="22"/>
        <w:rtl/>
      </w:rPr>
      <w:tab/>
      <w:t xml:space="preserve"> מדינת ישראל נ' טאהא טלאל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DFE4" w14:textId="77777777" w:rsidR="00C45945" w:rsidRDefault="00C4594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(נצ') 2659/03</w:t>
    </w:r>
    <w:r>
      <w:rPr>
        <w:rFonts w:hAnsi="David"/>
        <w:color w:val="000000"/>
        <w:sz w:val="22"/>
        <w:szCs w:val="22"/>
        <w:rtl/>
      </w:rPr>
      <w:tab/>
      <w:t xml:space="preserve"> מדינת ישראל נ' טאהא טלאל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A2F1B"/>
    <w:rsid w:val="00133FD3"/>
    <w:rsid w:val="00197ADD"/>
    <w:rsid w:val="00246E99"/>
    <w:rsid w:val="006A2F1B"/>
    <w:rsid w:val="00710CC6"/>
    <w:rsid w:val="008D0A44"/>
    <w:rsid w:val="009938E8"/>
    <w:rsid w:val="00B106A3"/>
    <w:rsid w:val="00C45945"/>
    <w:rsid w:val="00F60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5FA5B6"/>
  <w15:chartTrackingRefBased/>
  <w15:docId w15:val="{591DCA83-A545-4E81-AC4A-E179070C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left="516"/>
    </w:pPr>
  </w:style>
  <w:style w:type="paragraph" w:styleId="BodyTextIndent2">
    <w:name w:val="Body Text Indent 2"/>
    <w:basedOn w:val="Normal"/>
    <w:pPr>
      <w:ind w:left="516"/>
    </w:pPr>
  </w:style>
  <w:style w:type="paragraph" w:styleId="BodyTextIndent3">
    <w:name w:val="Body Text Indent 3"/>
    <w:basedOn w:val="Normal"/>
    <w:pPr>
      <w:ind w:left="516"/>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B106A3"/>
    <w:rPr>
      <w:color w:val="0000FF"/>
      <w:u w:val="single"/>
    </w:rPr>
  </w:style>
  <w:style w:type="character" w:customStyle="1" w:styleId="a2">
    <w:name w:val="אזכור לא מזוהה"/>
    <w:uiPriority w:val="99"/>
    <w:semiHidden/>
    <w:unhideWhenUsed/>
    <w:rsid w:val="00710C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98569/10a" TargetMode="External"/><Relationship Id="rId26" Type="http://schemas.openxmlformats.org/officeDocument/2006/relationships/hyperlink" Target="http://www.nevo.co.il/law/98569/10a.d" TargetMode="External"/><Relationship Id="rId39" Type="http://schemas.openxmlformats.org/officeDocument/2006/relationships/hyperlink" Target="http://www.nevo.co.il/law/70301/348.c" TargetMode="External"/><Relationship Id="rId21" Type="http://schemas.openxmlformats.org/officeDocument/2006/relationships/hyperlink" Target="http://www.nevo.co.il/law/98569" TargetMode="External"/><Relationship Id="rId34" Type="http://schemas.openxmlformats.org/officeDocument/2006/relationships/hyperlink" Target="http://www.nevo.co.il/law/98569/10a.d" TargetMode="External"/><Relationship Id="rId42" Type="http://schemas.openxmlformats.org/officeDocument/2006/relationships/header" Target="header2.xml"/><Relationship Id="rId7" Type="http://schemas.openxmlformats.org/officeDocument/2006/relationships/hyperlink" Target="http://www.nevo.co.il/law/98569/10a" TargetMode="External"/><Relationship Id="rId2" Type="http://schemas.openxmlformats.org/officeDocument/2006/relationships/settings" Target="settings.xml"/><Relationship Id="rId16" Type="http://schemas.openxmlformats.org/officeDocument/2006/relationships/hyperlink" Target="http://www.nevo.co.il/law/70301/379" TargetMode="External"/><Relationship Id="rId29" Type="http://schemas.openxmlformats.org/officeDocument/2006/relationships/hyperlink" Target="http://www.nevo.co.il/case/17930302" TargetMode="Externa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70301/184"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45282" TargetMode="External"/><Relationship Id="rId37" Type="http://schemas.openxmlformats.org/officeDocument/2006/relationships/hyperlink" Target="http://www.nevo.co.il/law/70301/192" TargetMode="External"/><Relationship Id="rId40" Type="http://schemas.openxmlformats.org/officeDocument/2006/relationships/hyperlink" Target="http://www.nevo.co.il/law/70301/186.a"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aw/70301/184" TargetMode="External"/><Relationship Id="rId28" Type="http://schemas.openxmlformats.org/officeDocument/2006/relationships/hyperlink" Target="http://www.nevo.co.il/case/586650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98569" TargetMode="External"/><Relationship Id="rId31" Type="http://schemas.openxmlformats.org/officeDocument/2006/relationships/hyperlink" Target="http://www.nevo.co.il/law/98569/10a.d"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98569/10a.d"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98569/10a.d" TargetMode="External"/><Relationship Id="rId27" Type="http://schemas.openxmlformats.org/officeDocument/2006/relationships/hyperlink" Target="http://www.nevo.co.il/case/17930302" TargetMode="External"/><Relationship Id="rId30" Type="http://schemas.openxmlformats.org/officeDocument/2006/relationships/hyperlink" Target="http://www.nevo.co.il/case/17938367" TargetMode="External"/><Relationship Id="rId35" Type="http://schemas.openxmlformats.org/officeDocument/2006/relationships/hyperlink" Target="http://www.nevo.co.il/law/70301/452" TargetMode="External"/><Relationship Id="rId43" Type="http://schemas.openxmlformats.org/officeDocument/2006/relationships/footer" Target="footer1.xml"/><Relationship Id="rId8" Type="http://schemas.openxmlformats.org/officeDocument/2006/relationships/hyperlink" Target="http://www.nevo.co.il/law/98569/10a.a" TargetMode="External"/><Relationship Id="rId3" Type="http://schemas.openxmlformats.org/officeDocument/2006/relationships/webSettings" Target="webSettings.xml"/><Relationship Id="rId12" Type="http://schemas.openxmlformats.org/officeDocument/2006/relationships/hyperlink" Target="http://www.nevo.co.il/law/70301/186"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186" TargetMode="External"/><Relationship Id="rId33" Type="http://schemas.openxmlformats.org/officeDocument/2006/relationships/hyperlink" Target="http://www.nevo.co.il/case/22282366" TargetMode="External"/><Relationship Id="rId38" Type="http://schemas.openxmlformats.org/officeDocument/2006/relationships/hyperlink" Target="http://www.nevo.co.il/law/70301/379" TargetMode="External"/><Relationship Id="rId46" Type="http://schemas.openxmlformats.org/officeDocument/2006/relationships/theme" Target="theme/theme1.xml"/><Relationship Id="rId20" Type="http://schemas.openxmlformats.org/officeDocument/2006/relationships/hyperlink" Target="http://www.nevo.co.il/law/98569/10a.a"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2196</Words>
  <Characters>12522</Characters>
  <Application>Microsoft Office Word</Application>
  <DocSecurity>0</DocSecurity>
  <Lines>104</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14689</CharactersWithSpaces>
  <SharedDoc>false</SharedDoc>
  <HLinks>
    <vt:vector size="210" baseType="variant">
      <vt:variant>
        <vt:i4>4390994</vt:i4>
      </vt:variant>
      <vt:variant>
        <vt:i4>102</vt:i4>
      </vt:variant>
      <vt:variant>
        <vt:i4>0</vt:i4>
      </vt:variant>
      <vt:variant>
        <vt:i4>5</vt:i4>
      </vt:variant>
      <vt:variant>
        <vt:lpwstr>http://www.nevo.co.il/law/70301/186.a</vt:lpwstr>
      </vt:variant>
      <vt:variant>
        <vt:lpwstr/>
      </vt:variant>
      <vt:variant>
        <vt:i4>5177438</vt:i4>
      </vt:variant>
      <vt:variant>
        <vt:i4>99</vt:i4>
      </vt:variant>
      <vt:variant>
        <vt:i4>0</vt:i4>
      </vt:variant>
      <vt:variant>
        <vt:i4>5</vt:i4>
      </vt:variant>
      <vt:variant>
        <vt:lpwstr>http://www.nevo.co.il/law/70301/348.c</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7995492</vt:i4>
      </vt:variant>
      <vt:variant>
        <vt:i4>90</vt:i4>
      </vt:variant>
      <vt:variant>
        <vt:i4>0</vt:i4>
      </vt:variant>
      <vt:variant>
        <vt:i4>5</vt:i4>
      </vt:variant>
      <vt:variant>
        <vt:lpwstr>http://www.nevo.co.il/law/70301</vt:lpwstr>
      </vt:variant>
      <vt:variant>
        <vt:lpwstr/>
      </vt:variant>
      <vt:variant>
        <vt:i4>6291553</vt:i4>
      </vt:variant>
      <vt:variant>
        <vt:i4>87</vt:i4>
      </vt:variant>
      <vt:variant>
        <vt:i4>0</vt:i4>
      </vt:variant>
      <vt:variant>
        <vt:i4>5</vt:i4>
      </vt:variant>
      <vt:variant>
        <vt:lpwstr>http://www.nevo.co.il/law/70301/452</vt:lpwstr>
      </vt:variant>
      <vt:variant>
        <vt:lpwstr/>
      </vt:variant>
      <vt:variant>
        <vt:i4>4521989</vt:i4>
      </vt:variant>
      <vt:variant>
        <vt:i4>84</vt:i4>
      </vt:variant>
      <vt:variant>
        <vt:i4>0</vt:i4>
      </vt:variant>
      <vt:variant>
        <vt:i4>5</vt:i4>
      </vt:variant>
      <vt:variant>
        <vt:lpwstr>http://www.nevo.co.il/law/98569/10a.d</vt:lpwstr>
      </vt:variant>
      <vt:variant>
        <vt:lpwstr/>
      </vt:variant>
      <vt:variant>
        <vt:i4>3407997</vt:i4>
      </vt:variant>
      <vt:variant>
        <vt:i4>81</vt:i4>
      </vt:variant>
      <vt:variant>
        <vt:i4>0</vt:i4>
      </vt:variant>
      <vt:variant>
        <vt:i4>5</vt:i4>
      </vt:variant>
      <vt:variant>
        <vt:lpwstr>http://www.nevo.co.il/case/22282366</vt:lpwstr>
      </vt:variant>
      <vt:variant>
        <vt:lpwstr/>
      </vt:variant>
      <vt:variant>
        <vt:i4>3473525</vt:i4>
      </vt:variant>
      <vt:variant>
        <vt:i4>78</vt:i4>
      </vt:variant>
      <vt:variant>
        <vt:i4>0</vt:i4>
      </vt:variant>
      <vt:variant>
        <vt:i4>5</vt:i4>
      </vt:variant>
      <vt:variant>
        <vt:lpwstr>http://www.nevo.co.il/case/17945282</vt:lpwstr>
      </vt:variant>
      <vt:variant>
        <vt:lpwstr/>
      </vt:variant>
      <vt:variant>
        <vt:i4>4521989</vt:i4>
      </vt:variant>
      <vt:variant>
        <vt:i4>75</vt:i4>
      </vt:variant>
      <vt:variant>
        <vt:i4>0</vt:i4>
      </vt:variant>
      <vt:variant>
        <vt:i4>5</vt:i4>
      </vt:variant>
      <vt:variant>
        <vt:lpwstr>http://www.nevo.co.il/law/98569/10a.d</vt:lpwstr>
      </vt:variant>
      <vt:variant>
        <vt:lpwstr/>
      </vt:variant>
      <vt:variant>
        <vt:i4>3539059</vt:i4>
      </vt:variant>
      <vt:variant>
        <vt:i4>72</vt:i4>
      </vt:variant>
      <vt:variant>
        <vt:i4>0</vt:i4>
      </vt:variant>
      <vt:variant>
        <vt:i4>5</vt:i4>
      </vt:variant>
      <vt:variant>
        <vt:lpwstr>http://www.nevo.co.il/case/17938367</vt:lpwstr>
      </vt:variant>
      <vt:variant>
        <vt:lpwstr/>
      </vt:variant>
      <vt:variant>
        <vt:i4>3670131</vt:i4>
      </vt:variant>
      <vt:variant>
        <vt:i4>69</vt:i4>
      </vt:variant>
      <vt:variant>
        <vt:i4>0</vt:i4>
      </vt:variant>
      <vt:variant>
        <vt:i4>5</vt:i4>
      </vt:variant>
      <vt:variant>
        <vt:lpwstr>http://www.nevo.co.il/case/17930302</vt:lpwstr>
      </vt:variant>
      <vt:variant>
        <vt:lpwstr/>
      </vt:variant>
      <vt:variant>
        <vt:i4>3211386</vt:i4>
      </vt:variant>
      <vt:variant>
        <vt:i4>66</vt:i4>
      </vt:variant>
      <vt:variant>
        <vt:i4>0</vt:i4>
      </vt:variant>
      <vt:variant>
        <vt:i4>5</vt:i4>
      </vt:variant>
      <vt:variant>
        <vt:lpwstr>http://www.nevo.co.il/case/5866507</vt:lpwstr>
      </vt:variant>
      <vt:variant>
        <vt:lpwstr/>
      </vt:variant>
      <vt:variant>
        <vt:i4>3670131</vt:i4>
      </vt:variant>
      <vt:variant>
        <vt:i4>63</vt:i4>
      </vt:variant>
      <vt:variant>
        <vt:i4>0</vt:i4>
      </vt:variant>
      <vt:variant>
        <vt:i4>5</vt:i4>
      </vt:variant>
      <vt:variant>
        <vt:lpwstr>http://www.nevo.co.il/case/17930302</vt:lpwstr>
      </vt:variant>
      <vt:variant>
        <vt:lpwstr/>
      </vt:variant>
      <vt:variant>
        <vt:i4>4521989</vt:i4>
      </vt:variant>
      <vt:variant>
        <vt:i4>60</vt:i4>
      </vt:variant>
      <vt:variant>
        <vt:i4>0</vt:i4>
      </vt:variant>
      <vt:variant>
        <vt:i4>5</vt:i4>
      </vt:variant>
      <vt:variant>
        <vt:lpwstr>http://www.nevo.co.il/law/98569/10a.d</vt:lpwstr>
      </vt:variant>
      <vt:variant>
        <vt:lpwstr/>
      </vt:variant>
      <vt:variant>
        <vt:i4>7143524</vt:i4>
      </vt:variant>
      <vt:variant>
        <vt:i4>57</vt:i4>
      </vt:variant>
      <vt:variant>
        <vt:i4>0</vt:i4>
      </vt:variant>
      <vt:variant>
        <vt:i4>5</vt:i4>
      </vt:variant>
      <vt:variant>
        <vt:lpwstr>http://www.nevo.co.il/law/70301/186</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7143524</vt:i4>
      </vt:variant>
      <vt:variant>
        <vt:i4>51</vt:i4>
      </vt:variant>
      <vt:variant>
        <vt:i4>0</vt:i4>
      </vt:variant>
      <vt:variant>
        <vt:i4>5</vt:i4>
      </vt:variant>
      <vt:variant>
        <vt:lpwstr>http://www.nevo.co.il/law/70301/184</vt:lpwstr>
      </vt:variant>
      <vt:variant>
        <vt:lpwstr/>
      </vt:variant>
      <vt:variant>
        <vt:i4>4521989</vt:i4>
      </vt:variant>
      <vt:variant>
        <vt:i4>48</vt:i4>
      </vt:variant>
      <vt:variant>
        <vt:i4>0</vt:i4>
      </vt:variant>
      <vt:variant>
        <vt:i4>5</vt:i4>
      </vt:variant>
      <vt:variant>
        <vt:lpwstr>http://www.nevo.co.il/law/98569/10a.d</vt:lpwstr>
      </vt:variant>
      <vt:variant>
        <vt:lpwstr/>
      </vt:variant>
      <vt:variant>
        <vt:i4>7602284</vt:i4>
      </vt:variant>
      <vt:variant>
        <vt:i4>45</vt:i4>
      </vt:variant>
      <vt:variant>
        <vt:i4>0</vt:i4>
      </vt:variant>
      <vt:variant>
        <vt:i4>5</vt:i4>
      </vt:variant>
      <vt:variant>
        <vt:lpwstr>http://www.nevo.co.il/law/98569</vt:lpwstr>
      </vt:variant>
      <vt:variant>
        <vt:lpwstr/>
      </vt:variant>
      <vt:variant>
        <vt:i4>4521989</vt:i4>
      </vt:variant>
      <vt:variant>
        <vt:i4>42</vt:i4>
      </vt:variant>
      <vt:variant>
        <vt:i4>0</vt:i4>
      </vt:variant>
      <vt:variant>
        <vt:i4>5</vt:i4>
      </vt:variant>
      <vt:variant>
        <vt:lpwstr>http://www.nevo.co.il/law/98569/10a.a</vt:lpwstr>
      </vt:variant>
      <vt:variant>
        <vt:lpwstr/>
      </vt:variant>
      <vt:variant>
        <vt:i4>7602284</vt:i4>
      </vt:variant>
      <vt:variant>
        <vt:i4>39</vt:i4>
      </vt:variant>
      <vt:variant>
        <vt:i4>0</vt:i4>
      </vt:variant>
      <vt:variant>
        <vt:i4>5</vt:i4>
      </vt:variant>
      <vt:variant>
        <vt:lpwstr>http://www.nevo.co.il/law/98569</vt:lpwstr>
      </vt:variant>
      <vt:variant>
        <vt:lpwstr/>
      </vt:variant>
      <vt:variant>
        <vt:i4>7012452</vt:i4>
      </vt:variant>
      <vt:variant>
        <vt:i4>36</vt:i4>
      </vt:variant>
      <vt:variant>
        <vt:i4>0</vt:i4>
      </vt:variant>
      <vt:variant>
        <vt:i4>5</vt:i4>
      </vt:variant>
      <vt:variant>
        <vt:lpwstr>http://www.nevo.co.il/law/98569/10a</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7143524</vt:i4>
      </vt:variant>
      <vt:variant>
        <vt:i4>18</vt:i4>
      </vt:variant>
      <vt:variant>
        <vt:i4>0</vt:i4>
      </vt:variant>
      <vt:variant>
        <vt:i4>5</vt:i4>
      </vt:variant>
      <vt:variant>
        <vt:lpwstr>http://www.nevo.co.il/law/70301/186</vt:lpwstr>
      </vt:variant>
      <vt:variant>
        <vt:lpwstr/>
      </vt:variant>
      <vt:variant>
        <vt:i4>7143524</vt:i4>
      </vt:variant>
      <vt:variant>
        <vt:i4>15</vt:i4>
      </vt:variant>
      <vt:variant>
        <vt:i4>0</vt:i4>
      </vt:variant>
      <vt:variant>
        <vt:i4>5</vt:i4>
      </vt:variant>
      <vt:variant>
        <vt:lpwstr>http://www.nevo.co.il/law/70301/184</vt:lpwstr>
      </vt:variant>
      <vt:variant>
        <vt:lpwstr/>
      </vt:variant>
      <vt:variant>
        <vt:i4>7995492</vt:i4>
      </vt:variant>
      <vt:variant>
        <vt:i4>12</vt:i4>
      </vt:variant>
      <vt:variant>
        <vt:i4>0</vt:i4>
      </vt:variant>
      <vt:variant>
        <vt:i4>5</vt:i4>
      </vt:variant>
      <vt:variant>
        <vt:lpwstr>http://www.nevo.co.il/law/70301</vt:lpwstr>
      </vt:variant>
      <vt:variant>
        <vt:lpwstr/>
      </vt:variant>
      <vt:variant>
        <vt:i4>4521989</vt:i4>
      </vt:variant>
      <vt:variant>
        <vt:i4>9</vt:i4>
      </vt:variant>
      <vt:variant>
        <vt:i4>0</vt:i4>
      </vt:variant>
      <vt:variant>
        <vt:i4>5</vt:i4>
      </vt:variant>
      <vt:variant>
        <vt:lpwstr>http://www.nevo.co.il/law/98569/10a.d</vt:lpwstr>
      </vt:variant>
      <vt:variant>
        <vt:lpwstr/>
      </vt:variant>
      <vt:variant>
        <vt:i4>4521989</vt:i4>
      </vt:variant>
      <vt:variant>
        <vt:i4>6</vt:i4>
      </vt:variant>
      <vt:variant>
        <vt:i4>0</vt:i4>
      </vt:variant>
      <vt:variant>
        <vt:i4>5</vt:i4>
      </vt:variant>
      <vt:variant>
        <vt:lpwstr>http://www.nevo.co.il/law/98569/10a.a</vt:lpwstr>
      </vt:variant>
      <vt:variant>
        <vt:lpwstr/>
      </vt:variant>
      <vt:variant>
        <vt:i4>7012452</vt:i4>
      </vt:variant>
      <vt:variant>
        <vt:i4>3</vt:i4>
      </vt:variant>
      <vt:variant>
        <vt:i4>0</vt:i4>
      </vt:variant>
      <vt:variant>
        <vt:i4>5</vt:i4>
      </vt:variant>
      <vt:variant>
        <vt:lpwstr>http://www.nevo.co.il/law/98569/10a</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2003-09-02T09:58:00Z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2659</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טאהא טלאל</vt:lpwstr>
  </property>
  <property fmtid="{D5CDD505-2E9C-101B-9397-08002B2CF9AE}" pid="9" name="LAWYER">
    <vt:lpwstr>מירב וסרקרוג;יונס מראם </vt:lpwstr>
  </property>
  <property fmtid="{D5CDD505-2E9C-101B-9397-08002B2CF9AE}" pid="10" name="JUDGE">
    <vt:lpwstr>לילי יונג-גפר</vt:lpwstr>
  </property>
  <property fmtid="{D5CDD505-2E9C-101B-9397-08002B2CF9AE}" pid="11" name="CITY">
    <vt:lpwstr>נצ'</vt:lpwstr>
  </property>
  <property fmtid="{D5CDD505-2E9C-101B-9397-08002B2CF9AE}" pid="12" name="DATE">
    <vt:lpwstr>20030902</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17930302:2;5866507;17938367;17945282;22282366</vt:lpwstr>
  </property>
  <property fmtid="{D5CDD505-2E9C-101B-9397-08002B2CF9AE}" pid="35" name="LAWLISTTMP1">
    <vt:lpwstr>98569/010a;010a.a;010a.d:4</vt:lpwstr>
  </property>
  <property fmtid="{D5CDD505-2E9C-101B-9397-08002B2CF9AE}" pid="36" name="LAWLISTTMP2">
    <vt:lpwstr>70301/184;186;452;192;379;348.c;186.a</vt:lpwstr>
  </property>
</Properties>
</file>