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BB202" w14:textId="77777777" w:rsidR="00534AA2" w:rsidRDefault="00534AA2">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580"/>
        <w:gridCol w:w="1134"/>
        <w:gridCol w:w="1808"/>
      </w:tblGrid>
      <w:tr w:rsidR="00534AA2" w14:paraId="04F2010E" w14:textId="77777777">
        <w:trPr>
          <w:trHeight w:val="195"/>
        </w:trPr>
        <w:tc>
          <w:tcPr>
            <w:tcW w:w="5586" w:type="dxa"/>
            <w:tcBorders>
              <w:top w:val="single" w:sz="4" w:space="0" w:color="auto"/>
              <w:left w:val="single" w:sz="4" w:space="0" w:color="auto"/>
              <w:bottom w:val="single" w:sz="4" w:space="0" w:color="auto"/>
              <w:right w:val="single" w:sz="4" w:space="0" w:color="auto"/>
            </w:tcBorders>
          </w:tcPr>
          <w:p w14:paraId="4108B43E" w14:textId="77777777" w:rsidR="00534AA2" w:rsidRDefault="00534AA2">
            <w:pPr>
              <w:pStyle w:val="Heading1"/>
              <w:rPr>
                <w:rFonts w:hint="cs"/>
                <w:u w:val="none"/>
                <w:rtl/>
              </w:rPr>
            </w:pPr>
            <w:r>
              <w:rPr>
                <w:rFonts w:hint="cs"/>
                <w:u w:val="none"/>
                <w:rtl/>
              </w:rPr>
              <w:t>בית משפט השלום בכפר סבא</w:t>
            </w:r>
          </w:p>
        </w:tc>
        <w:tc>
          <w:tcPr>
            <w:tcW w:w="2943" w:type="dxa"/>
            <w:gridSpan w:val="2"/>
            <w:tcBorders>
              <w:top w:val="single" w:sz="4" w:space="0" w:color="auto"/>
              <w:left w:val="single" w:sz="4" w:space="0" w:color="auto"/>
              <w:bottom w:val="single" w:sz="4" w:space="0" w:color="auto"/>
              <w:right w:val="single" w:sz="4" w:space="0" w:color="auto"/>
            </w:tcBorders>
          </w:tcPr>
          <w:p w14:paraId="05F78D3D" w14:textId="77777777" w:rsidR="00534AA2" w:rsidRDefault="00534AA2">
            <w:pPr>
              <w:rPr>
                <w:sz w:val="28"/>
                <w:szCs w:val="28"/>
              </w:rPr>
            </w:pPr>
            <w:r>
              <w:rPr>
                <w:rFonts w:hint="cs"/>
                <w:sz w:val="28"/>
                <w:szCs w:val="28"/>
                <w:rtl/>
              </w:rPr>
              <w:t>פ  001627/04</w:t>
            </w:r>
          </w:p>
        </w:tc>
      </w:tr>
      <w:tr w:rsidR="00534AA2" w14:paraId="383EBC9C" w14:textId="77777777">
        <w:trPr>
          <w:trHeight w:val="286"/>
        </w:trPr>
        <w:tc>
          <w:tcPr>
            <w:tcW w:w="5586" w:type="dxa"/>
            <w:tcBorders>
              <w:top w:val="single" w:sz="4" w:space="0" w:color="auto"/>
              <w:left w:val="single" w:sz="4" w:space="0" w:color="auto"/>
              <w:bottom w:val="single" w:sz="4" w:space="0" w:color="auto"/>
              <w:right w:val="single" w:sz="4" w:space="0" w:color="auto"/>
            </w:tcBorders>
          </w:tcPr>
          <w:p w14:paraId="531F29C9" w14:textId="77777777" w:rsidR="00534AA2" w:rsidRDefault="00534AA2">
            <w:pPr>
              <w:rPr>
                <w:b/>
                <w:bCs/>
                <w:sz w:val="28"/>
                <w:szCs w:val="28"/>
              </w:rPr>
            </w:pPr>
          </w:p>
        </w:tc>
        <w:tc>
          <w:tcPr>
            <w:tcW w:w="2943" w:type="dxa"/>
            <w:gridSpan w:val="2"/>
            <w:tcBorders>
              <w:top w:val="single" w:sz="4" w:space="0" w:color="auto"/>
              <w:left w:val="single" w:sz="4" w:space="0" w:color="auto"/>
              <w:bottom w:val="single" w:sz="4" w:space="0" w:color="auto"/>
              <w:right w:val="single" w:sz="4" w:space="0" w:color="auto"/>
            </w:tcBorders>
          </w:tcPr>
          <w:p w14:paraId="6D92EA98" w14:textId="77777777" w:rsidR="00534AA2" w:rsidRDefault="00534AA2">
            <w:pPr>
              <w:rPr>
                <w:b/>
                <w:bCs/>
                <w:sz w:val="28"/>
                <w:szCs w:val="28"/>
              </w:rPr>
            </w:pPr>
          </w:p>
        </w:tc>
      </w:tr>
      <w:tr w:rsidR="00534AA2" w14:paraId="64B157C5" w14:textId="77777777">
        <w:trPr>
          <w:trHeight w:val="286"/>
        </w:trPr>
        <w:tc>
          <w:tcPr>
            <w:tcW w:w="5586" w:type="dxa"/>
            <w:tcBorders>
              <w:top w:val="single" w:sz="4" w:space="0" w:color="auto"/>
              <w:left w:val="single" w:sz="4" w:space="0" w:color="auto"/>
              <w:bottom w:val="single" w:sz="4" w:space="0" w:color="auto"/>
              <w:right w:val="single" w:sz="4" w:space="0" w:color="auto"/>
            </w:tcBorders>
          </w:tcPr>
          <w:p w14:paraId="59D67C05" w14:textId="77777777" w:rsidR="00534AA2" w:rsidRDefault="00534AA2">
            <w:pPr>
              <w:rPr>
                <w:b/>
                <w:bCs/>
                <w:sz w:val="36"/>
                <w:szCs w:val="28"/>
              </w:rPr>
            </w:pPr>
            <w:r>
              <w:rPr>
                <w:b/>
                <w:bCs/>
                <w:sz w:val="36"/>
                <w:szCs w:val="28"/>
              </w:rPr>
              <w:t xml:space="preserve">         </w:t>
            </w:r>
            <w:r>
              <w:rPr>
                <w:rFonts w:hint="cs"/>
                <w:b/>
                <w:bCs/>
                <w:sz w:val="36"/>
                <w:szCs w:val="28"/>
                <w:rtl/>
              </w:rPr>
              <w:t>בפני כב' השופטת ק. רג'יניאנו</w:t>
            </w:r>
          </w:p>
        </w:tc>
        <w:tc>
          <w:tcPr>
            <w:tcW w:w="1134" w:type="dxa"/>
            <w:tcBorders>
              <w:top w:val="single" w:sz="4" w:space="0" w:color="auto"/>
              <w:left w:val="single" w:sz="4" w:space="0" w:color="auto"/>
              <w:bottom w:val="single" w:sz="4" w:space="0" w:color="auto"/>
              <w:right w:val="single" w:sz="4" w:space="0" w:color="auto"/>
            </w:tcBorders>
          </w:tcPr>
          <w:p w14:paraId="1460B35F" w14:textId="77777777" w:rsidR="00534AA2" w:rsidRDefault="00534AA2">
            <w:pPr>
              <w:rPr>
                <w:b/>
                <w:bCs/>
                <w:sz w:val="28"/>
                <w:szCs w:val="28"/>
              </w:rPr>
            </w:pPr>
            <w:r>
              <w:rPr>
                <w:rFonts w:hint="cs"/>
                <w:b/>
                <w:bCs/>
                <w:sz w:val="28"/>
                <w:szCs w:val="28"/>
                <w:rtl/>
              </w:rPr>
              <w:t xml:space="preserve"> תאריך:</w:t>
            </w:r>
          </w:p>
        </w:tc>
        <w:tc>
          <w:tcPr>
            <w:tcW w:w="1809" w:type="dxa"/>
            <w:tcBorders>
              <w:top w:val="single" w:sz="4" w:space="0" w:color="auto"/>
              <w:left w:val="single" w:sz="4" w:space="0" w:color="auto"/>
              <w:bottom w:val="single" w:sz="4" w:space="0" w:color="auto"/>
              <w:right w:val="single" w:sz="4" w:space="0" w:color="auto"/>
            </w:tcBorders>
          </w:tcPr>
          <w:p w14:paraId="5CCDF809" w14:textId="77777777" w:rsidR="00534AA2" w:rsidRDefault="00534AA2">
            <w:pPr>
              <w:rPr>
                <w:b/>
                <w:bCs/>
                <w:sz w:val="28"/>
                <w:szCs w:val="28"/>
              </w:rPr>
            </w:pPr>
            <w:r>
              <w:rPr>
                <w:rFonts w:hint="cs"/>
                <w:b/>
                <w:bCs/>
                <w:sz w:val="28"/>
                <w:szCs w:val="28"/>
                <w:rtl/>
              </w:rPr>
              <w:t>02/12/2004</w:t>
            </w:r>
          </w:p>
        </w:tc>
      </w:tr>
    </w:tbl>
    <w:p w14:paraId="02810CFE" w14:textId="77777777" w:rsidR="00534AA2" w:rsidRDefault="00534AA2">
      <w:pPr>
        <w:rPr>
          <w:rFonts w:hint="cs"/>
          <w:rtl/>
        </w:rPr>
      </w:pPr>
    </w:p>
    <w:p w14:paraId="2BDC1962" w14:textId="77777777" w:rsidR="00534AA2" w:rsidRDefault="00534AA2">
      <w:pPr>
        <w:rPr>
          <w:rFonts w:hint="cs"/>
          <w:rtl/>
        </w:rPr>
      </w:pPr>
    </w:p>
    <w:tbl>
      <w:tblPr>
        <w:bidiVisual/>
        <w:tblW w:w="8647" w:type="dxa"/>
        <w:tblCellMar>
          <w:left w:w="107" w:type="dxa"/>
          <w:right w:w="107" w:type="dxa"/>
        </w:tblCellMar>
        <w:tblLook w:val="0000" w:firstRow="0" w:lastRow="0" w:firstColumn="0" w:lastColumn="0" w:noHBand="0" w:noVBand="0"/>
      </w:tblPr>
      <w:tblGrid>
        <w:gridCol w:w="1474"/>
        <w:gridCol w:w="4764"/>
        <w:gridCol w:w="2409"/>
      </w:tblGrid>
      <w:tr w:rsidR="00534AA2" w14:paraId="62D9F484" w14:textId="77777777">
        <w:tc>
          <w:tcPr>
            <w:tcW w:w="1474" w:type="dxa"/>
          </w:tcPr>
          <w:p w14:paraId="35C6856B" w14:textId="77777777" w:rsidR="00534AA2" w:rsidRDefault="00534AA2">
            <w:pPr>
              <w:bidi w:val="0"/>
              <w:rPr>
                <w:b/>
                <w:bCs/>
                <w:sz w:val="24"/>
                <w:szCs w:val="24"/>
              </w:rPr>
            </w:pPr>
            <w:bookmarkStart w:id="1" w:name="FirstAppellant"/>
            <w:r>
              <w:rPr>
                <w:rFonts w:hint="cs"/>
                <w:b/>
                <w:bCs/>
                <w:sz w:val="24"/>
                <w:szCs w:val="24"/>
                <w:rtl/>
              </w:rPr>
              <w:t>המאשימה:</w:t>
            </w:r>
          </w:p>
        </w:tc>
        <w:tc>
          <w:tcPr>
            <w:tcW w:w="4764" w:type="dxa"/>
          </w:tcPr>
          <w:p w14:paraId="1BF928EC" w14:textId="77777777" w:rsidR="00534AA2" w:rsidRDefault="00534AA2">
            <w:pPr>
              <w:rPr>
                <w:b/>
                <w:bCs/>
                <w:sz w:val="24"/>
                <w:szCs w:val="24"/>
              </w:rPr>
            </w:pPr>
            <w:r>
              <w:rPr>
                <w:rFonts w:hint="cs"/>
                <w:b/>
                <w:bCs/>
                <w:sz w:val="24"/>
                <w:szCs w:val="24"/>
                <w:rtl/>
              </w:rPr>
              <w:t xml:space="preserve">מדינת ישראל  </w:t>
            </w:r>
          </w:p>
        </w:tc>
        <w:tc>
          <w:tcPr>
            <w:tcW w:w="2409" w:type="dxa"/>
          </w:tcPr>
          <w:p w14:paraId="40A3B16A" w14:textId="77777777" w:rsidR="00534AA2" w:rsidRDefault="00534AA2"/>
        </w:tc>
      </w:tr>
      <w:bookmarkEnd w:id="1"/>
      <w:tr w:rsidR="00534AA2" w14:paraId="54855068" w14:textId="77777777">
        <w:tc>
          <w:tcPr>
            <w:tcW w:w="1474" w:type="dxa"/>
          </w:tcPr>
          <w:p w14:paraId="5E8650F4" w14:textId="77777777" w:rsidR="00534AA2" w:rsidRDefault="00534AA2">
            <w:pPr>
              <w:rPr>
                <w:b/>
                <w:bCs/>
                <w:sz w:val="24"/>
                <w:szCs w:val="24"/>
              </w:rPr>
            </w:pPr>
          </w:p>
        </w:tc>
        <w:tc>
          <w:tcPr>
            <w:tcW w:w="4764" w:type="dxa"/>
          </w:tcPr>
          <w:p w14:paraId="61DC9B26" w14:textId="77777777" w:rsidR="00534AA2" w:rsidRDefault="00534AA2">
            <w:pPr>
              <w:jc w:val="center"/>
            </w:pPr>
            <w:r>
              <w:rPr>
                <w:rFonts w:hint="cs"/>
                <w:rtl/>
              </w:rPr>
              <w:t>נגד</w:t>
            </w:r>
          </w:p>
          <w:p w14:paraId="6738D9F8" w14:textId="77777777" w:rsidR="00534AA2" w:rsidRDefault="00534AA2"/>
        </w:tc>
        <w:tc>
          <w:tcPr>
            <w:tcW w:w="2409" w:type="dxa"/>
          </w:tcPr>
          <w:p w14:paraId="0B0EDEC8" w14:textId="77777777" w:rsidR="00534AA2" w:rsidRDefault="00534AA2"/>
        </w:tc>
      </w:tr>
      <w:tr w:rsidR="00534AA2" w14:paraId="3204B0F8" w14:textId="77777777">
        <w:tc>
          <w:tcPr>
            <w:tcW w:w="1474" w:type="dxa"/>
          </w:tcPr>
          <w:p w14:paraId="196A9700" w14:textId="77777777" w:rsidR="00534AA2" w:rsidRDefault="00534AA2">
            <w:pPr>
              <w:rPr>
                <w:b/>
                <w:bCs/>
                <w:sz w:val="24"/>
                <w:szCs w:val="24"/>
              </w:rPr>
            </w:pPr>
            <w:r>
              <w:rPr>
                <w:rFonts w:hint="cs"/>
                <w:b/>
                <w:bCs/>
                <w:sz w:val="24"/>
                <w:szCs w:val="24"/>
                <w:rtl/>
              </w:rPr>
              <w:t>הנאשם:</w:t>
            </w:r>
          </w:p>
        </w:tc>
        <w:tc>
          <w:tcPr>
            <w:tcW w:w="4764" w:type="dxa"/>
          </w:tcPr>
          <w:p w14:paraId="292FA016" w14:textId="77777777" w:rsidR="00534AA2" w:rsidRDefault="00534AA2">
            <w:pPr>
              <w:rPr>
                <w:sz w:val="24"/>
                <w:szCs w:val="24"/>
              </w:rPr>
            </w:pPr>
            <w:r>
              <w:rPr>
                <w:rFonts w:hint="cs"/>
                <w:b/>
                <w:bCs/>
                <w:sz w:val="24"/>
                <w:szCs w:val="24"/>
                <w:rtl/>
              </w:rPr>
              <w:t xml:space="preserve">תנעמי אלי </w:t>
            </w:r>
            <w:bookmarkStart w:id="2" w:name="שם_ב"/>
            <w:bookmarkEnd w:id="2"/>
            <w:r>
              <w:rPr>
                <w:rFonts w:hint="cs"/>
                <w:b/>
                <w:bCs/>
                <w:sz w:val="24"/>
                <w:szCs w:val="24"/>
                <w:rtl/>
              </w:rPr>
              <w:t>( 051297885)</w:t>
            </w:r>
          </w:p>
        </w:tc>
        <w:tc>
          <w:tcPr>
            <w:tcW w:w="2409" w:type="dxa"/>
          </w:tcPr>
          <w:p w14:paraId="231D319A" w14:textId="77777777" w:rsidR="00534AA2" w:rsidRDefault="00534AA2"/>
        </w:tc>
      </w:tr>
    </w:tbl>
    <w:p w14:paraId="7905F3A1" w14:textId="77777777" w:rsidR="009468DF" w:rsidRDefault="009468DF">
      <w:pPr>
        <w:rPr>
          <w:rtl/>
        </w:rPr>
      </w:pPr>
      <w:bookmarkStart w:id="3" w:name="LawTable"/>
      <w:bookmarkEnd w:id="3"/>
    </w:p>
    <w:p w14:paraId="74606A03" w14:textId="77777777" w:rsidR="009468DF" w:rsidRPr="009468DF" w:rsidRDefault="009468DF" w:rsidP="009468DF">
      <w:pPr>
        <w:spacing w:after="120" w:line="240" w:lineRule="exact"/>
        <w:ind w:left="283" w:hanging="283"/>
        <w:jc w:val="both"/>
        <w:rPr>
          <w:rFonts w:ascii="FrankRuehl" w:hAnsi="FrankRuehl" w:cs="FrankRuehl"/>
          <w:sz w:val="24"/>
          <w:szCs w:val="24"/>
          <w:rtl/>
        </w:rPr>
      </w:pPr>
    </w:p>
    <w:p w14:paraId="31CFDF1D" w14:textId="77777777" w:rsidR="009468DF" w:rsidRPr="009468DF" w:rsidRDefault="009468DF" w:rsidP="009468DF">
      <w:pPr>
        <w:spacing w:after="120" w:line="240" w:lineRule="exact"/>
        <w:ind w:left="283" w:hanging="283"/>
        <w:jc w:val="both"/>
        <w:rPr>
          <w:rFonts w:ascii="FrankRuehl" w:hAnsi="FrankRuehl" w:cs="FrankRuehl"/>
          <w:sz w:val="24"/>
          <w:szCs w:val="24"/>
          <w:rtl/>
        </w:rPr>
      </w:pPr>
      <w:r w:rsidRPr="009468DF">
        <w:rPr>
          <w:rFonts w:ascii="FrankRuehl" w:hAnsi="FrankRuehl" w:cs="FrankRuehl"/>
          <w:sz w:val="24"/>
          <w:szCs w:val="24"/>
          <w:rtl/>
        </w:rPr>
        <w:t xml:space="preserve">חקיקה שאוזכרה: </w:t>
      </w:r>
    </w:p>
    <w:p w14:paraId="0EAF3647" w14:textId="77777777" w:rsidR="009468DF" w:rsidRPr="009468DF" w:rsidRDefault="009468DF" w:rsidP="009468DF">
      <w:pPr>
        <w:spacing w:after="120" w:line="240" w:lineRule="exact"/>
        <w:ind w:left="283" w:hanging="283"/>
        <w:jc w:val="both"/>
        <w:rPr>
          <w:rFonts w:ascii="FrankRuehl" w:hAnsi="FrankRuehl" w:cs="FrankRuehl"/>
          <w:sz w:val="24"/>
          <w:szCs w:val="24"/>
          <w:rtl/>
        </w:rPr>
      </w:pPr>
      <w:hyperlink r:id="rId6" w:history="1">
        <w:r w:rsidRPr="009468DF">
          <w:rPr>
            <w:rFonts w:ascii="FrankRuehl" w:hAnsi="FrankRuehl" w:cs="FrankRuehl"/>
            <w:color w:val="0000FF"/>
            <w:sz w:val="24"/>
            <w:szCs w:val="24"/>
            <w:u w:val="single"/>
            <w:rtl/>
          </w:rPr>
          <w:t>חוק לתיקון דיני הראיות (הגנת ילדים), תשט"ו-1955</w:t>
        </w:r>
      </w:hyperlink>
      <w:r w:rsidRPr="009468DF">
        <w:rPr>
          <w:rFonts w:ascii="FrankRuehl" w:hAnsi="FrankRuehl" w:cs="FrankRuehl"/>
          <w:sz w:val="24"/>
          <w:szCs w:val="24"/>
          <w:rtl/>
        </w:rPr>
        <w:t xml:space="preserve">: סע'  </w:t>
      </w:r>
      <w:hyperlink r:id="rId7" w:history="1">
        <w:r w:rsidRPr="009468DF">
          <w:rPr>
            <w:rFonts w:ascii="FrankRuehl" w:hAnsi="FrankRuehl" w:cs="FrankRuehl"/>
            <w:color w:val="0000FF"/>
            <w:sz w:val="24"/>
            <w:szCs w:val="24"/>
            <w:u w:val="single"/>
            <w:rtl/>
          </w:rPr>
          <w:t>11</w:t>
        </w:r>
      </w:hyperlink>
    </w:p>
    <w:p w14:paraId="72C1F3FE" w14:textId="77777777" w:rsidR="009468DF" w:rsidRPr="009468DF" w:rsidRDefault="009468DF" w:rsidP="009468DF">
      <w:pPr>
        <w:spacing w:after="120" w:line="240" w:lineRule="exact"/>
        <w:ind w:left="283" w:hanging="283"/>
        <w:jc w:val="both"/>
        <w:rPr>
          <w:rFonts w:ascii="FrankRuehl" w:hAnsi="FrankRuehl" w:cs="FrankRuehl"/>
          <w:sz w:val="24"/>
          <w:szCs w:val="24"/>
          <w:rtl/>
        </w:rPr>
      </w:pPr>
      <w:hyperlink r:id="rId8" w:history="1">
        <w:r w:rsidRPr="009468DF">
          <w:rPr>
            <w:rFonts w:ascii="FrankRuehl" w:hAnsi="FrankRuehl" w:cs="FrankRuehl"/>
            <w:color w:val="0000FF"/>
            <w:sz w:val="24"/>
            <w:szCs w:val="24"/>
            <w:u w:val="single"/>
            <w:rtl/>
          </w:rPr>
          <w:t>חוק העונשין, תשל"ז-1977</w:t>
        </w:r>
      </w:hyperlink>
      <w:r w:rsidRPr="009468DF">
        <w:rPr>
          <w:rFonts w:ascii="FrankRuehl" w:hAnsi="FrankRuehl" w:cs="FrankRuehl"/>
          <w:sz w:val="24"/>
          <w:szCs w:val="24"/>
          <w:rtl/>
        </w:rPr>
        <w:t xml:space="preserve">: סע'  </w:t>
      </w:r>
      <w:hyperlink r:id="rId9" w:history="1">
        <w:r w:rsidRPr="009468DF">
          <w:rPr>
            <w:rFonts w:ascii="FrankRuehl" w:hAnsi="FrankRuehl" w:cs="FrankRuehl"/>
            <w:color w:val="0000FF"/>
            <w:sz w:val="24"/>
            <w:szCs w:val="24"/>
            <w:u w:val="single"/>
            <w:rtl/>
          </w:rPr>
          <w:t>345 (א) (3) (א)</w:t>
        </w:r>
      </w:hyperlink>
      <w:r w:rsidRPr="009468DF">
        <w:rPr>
          <w:rFonts w:ascii="FrankRuehl" w:hAnsi="FrankRuehl" w:cs="FrankRuehl"/>
          <w:sz w:val="24"/>
          <w:szCs w:val="24"/>
          <w:rtl/>
        </w:rPr>
        <w:t xml:space="preserve">, </w:t>
      </w:r>
      <w:hyperlink r:id="rId10" w:history="1">
        <w:r w:rsidRPr="009468DF">
          <w:rPr>
            <w:rFonts w:ascii="FrankRuehl" w:hAnsi="FrankRuehl" w:cs="FrankRuehl"/>
            <w:color w:val="0000FF"/>
            <w:sz w:val="24"/>
            <w:szCs w:val="24"/>
            <w:u w:val="single"/>
            <w:rtl/>
          </w:rPr>
          <w:t>348 (א)</w:t>
        </w:r>
      </w:hyperlink>
      <w:r w:rsidRPr="009468DF">
        <w:rPr>
          <w:rFonts w:ascii="FrankRuehl" w:hAnsi="FrankRuehl" w:cs="FrankRuehl"/>
          <w:sz w:val="24"/>
          <w:szCs w:val="24"/>
          <w:rtl/>
        </w:rPr>
        <w:t xml:space="preserve">, </w:t>
      </w:r>
      <w:hyperlink r:id="rId11" w:history="1">
        <w:r w:rsidRPr="009468DF">
          <w:rPr>
            <w:rFonts w:ascii="FrankRuehl" w:hAnsi="FrankRuehl" w:cs="FrankRuehl"/>
            <w:color w:val="0000FF"/>
            <w:sz w:val="24"/>
            <w:szCs w:val="24"/>
            <w:u w:val="single"/>
            <w:rtl/>
          </w:rPr>
          <w:t>348 (ו)</w:t>
        </w:r>
      </w:hyperlink>
    </w:p>
    <w:p w14:paraId="15BA4BF1" w14:textId="77777777" w:rsidR="009468DF" w:rsidRDefault="009468DF" w:rsidP="009468DF">
      <w:pPr>
        <w:spacing w:after="120" w:line="240" w:lineRule="exact"/>
        <w:ind w:left="283" w:hanging="283"/>
        <w:jc w:val="both"/>
        <w:rPr>
          <w:rFonts w:ascii="FrankRuehl" w:hAnsi="FrankRuehl" w:cs="FrankRuehl"/>
          <w:sz w:val="24"/>
          <w:szCs w:val="24"/>
          <w:rtl/>
        </w:rPr>
      </w:pPr>
    </w:p>
    <w:p w14:paraId="270008FC" w14:textId="77777777" w:rsidR="009468DF" w:rsidRPr="009468DF" w:rsidRDefault="009468DF" w:rsidP="009468DF">
      <w:pPr>
        <w:spacing w:after="120" w:line="240" w:lineRule="exact"/>
        <w:ind w:left="283" w:hanging="283"/>
        <w:jc w:val="both"/>
        <w:rPr>
          <w:rFonts w:ascii="FrankRuehl" w:hAnsi="FrankRuehl" w:cs="FrankRuehl"/>
          <w:sz w:val="24"/>
          <w:szCs w:val="24"/>
          <w:rtl/>
        </w:rPr>
      </w:pPr>
    </w:p>
    <w:p w14:paraId="47657A5F" w14:textId="77777777" w:rsidR="00534AA2" w:rsidRDefault="00534AA2">
      <w:pPr>
        <w:jc w:val="center"/>
        <w:rPr>
          <w:b/>
          <w:bCs/>
          <w:sz w:val="30"/>
          <w:szCs w:val="30"/>
          <w:u w:val="single"/>
          <w:rtl/>
        </w:rPr>
      </w:pPr>
      <w:bookmarkStart w:id="4" w:name="LawTable_End"/>
      <w:bookmarkStart w:id="5" w:name="סוג_מסמך"/>
      <w:bookmarkStart w:id="6" w:name="PsakDin"/>
      <w:bookmarkEnd w:id="0"/>
      <w:bookmarkEnd w:id="4"/>
      <w:bookmarkEnd w:id="5"/>
      <w:r>
        <w:rPr>
          <w:b/>
          <w:bCs/>
          <w:sz w:val="30"/>
          <w:szCs w:val="30"/>
          <w:u w:val="single"/>
          <w:rtl/>
        </w:rPr>
        <w:t>הכרעת - דין</w:t>
      </w:r>
    </w:p>
    <w:bookmarkEnd w:id="6"/>
    <w:p w14:paraId="1B146BA6" w14:textId="77777777" w:rsidR="00534AA2" w:rsidRDefault="00534AA2">
      <w:pPr>
        <w:jc w:val="both"/>
        <w:rPr>
          <w:rFonts w:hint="cs"/>
          <w:rtl/>
        </w:rPr>
      </w:pPr>
    </w:p>
    <w:p w14:paraId="797290AC" w14:textId="77777777" w:rsidR="00534AA2" w:rsidRDefault="00534AA2">
      <w:pPr>
        <w:ind w:left="720" w:hanging="720"/>
        <w:jc w:val="both"/>
        <w:rPr>
          <w:rFonts w:hint="cs"/>
          <w:sz w:val="26"/>
          <w:rtl/>
        </w:rPr>
      </w:pPr>
      <w:r>
        <w:rPr>
          <w:rFonts w:hint="cs"/>
          <w:sz w:val="26"/>
          <w:rtl/>
        </w:rPr>
        <w:t>1.</w:t>
      </w:r>
      <w:r>
        <w:rPr>
          <w:rFonts w:hint="cs"/>
          <w:sz w:val="26"/>
          <w:rtl/>
        </w:rPr>
        <w:tab/>
        <w:t>כתב האישום אוחז ארבעה אישומים של מעשים מגונים ואיומים שביצע הנאשם על פי הטענה בחודשים מרץ ואפריל 2004.</w:t>
      </w:r>
    </w:p>
    <w:p w14:paraId="3B2520BA" w14:textId="77777777" w:rsidR="00534AA2" w:rsidRDefault="00534AA2">
      <w:pPr>
        <w:ind w:left="720"/>
        <w:jc w:val="both"/>
        <w:rPr>
          <w:rFonts w:hint="cs"/>
          <w:sz w:val="26"/>
          <w:rtl/>
        </w:rPr>
      </w:pPr>
      <w:r>
        <w:rPr>
          <w:rFonts w:hint="cs"/>
          <w:sz w:val="26"/>
          <w:rtl/>
        </w:rPr>
        <w:t xml:space="preserve">בתשובה לכתב האישום, כפר הנאשם בעובדות כתב האישום ובעבירות המיוחסות </w:t>
      </w:r>
    </w:p>
    <w:p w14:paraId="1A655E5B" w14:textId="77777777" w:rsidR="00534AA2" w:rsidRDefault="00534AA2">
      <w:pPr>
        <w:ind w:left="720"/>
        <w:jc w:val="both"/>
        <w:rPr>
          <w:rFonts w:hint="cs"/>
          <w:sz w:val="26"/>
          <w:rtl/>
        </w:rPr>
      </w:pPr>
      <w:r>
        <w:rPr>
          <w:rFonts w:hint="cs"/>
          <w:sz w:val="26"/>
          <w:rtl/>
        </w:rPr>
        <w:t>לו.</w:t>
      </w:r>
    </w:p>
    <w:p w14:paraId="3DE19A48" w14:textId="77777777" w:rsidR="00534AA2" w:rsidRDefault="00534AA2">
      <w:pPr>
        <w:ind w:left="720"/>
        <w:jc w:val="both"/>
        <w:rPr>
          <w:rFonts w:hint="cs"/>
          <w:color w:val="FFFFFF"/>
          <w:sz w:val="4"/>
          <w:szCs w:val="4"/>
          <w:rtl/>
        </w:rPr>
      </w:pPr>
    </w:p>
    <w:p w14:paraId="12E8921A" w14:textId="77777777" w:rsidR="00534AA2" w:rsidRDefault="00534AA2">
      <w:pPr>
        <w:ind w:left="720"/>
        <w:jc w:val="both"/>
        <w:rPr>
          <w:rFonts w:hint="cs"/>
          <w:sz w:val="26"/>
          <w:rtl/>
        </w:rPr>
      </w:pPr>
      <w:r>
        <w:rPr>
          <w:color w:val="FFFFFF"/>
          <w:sz w:val="4"/>
          <w:szCs w:val="4"/>
          <w:rtl/>
        </w:rPr>
        <w:t>5129371</w:t>
      </w:r>
      <w:r>
        <w:rPr>
          <w:rFonts w:hint="cs"/>
          <w:sz w:val="26"/>
          <w:rtl/>
        </w:rPr>
        <w:t>התביעה זימנה חמישה עדי תביעה ואלה התייחסו לאישומים השני והשלישי בלבד.</w:t>
      </w:r>
      <w:r>
        <w:rPr>
          <w:color w:val="FFFFFF"/>
          <w:sz w:val="4"/>
          <w:szCs w:val="4"/>
          <w:rtl/>
        </w:rPr>
        <w:t>נ</w:t>
      </w:r>
    </w:p>
    <w:p w14:paraId="7F39B008" w14:textId="77777777" w:rsidR="00534AA2" w:rsidRDefault="00534AA2">
      <w:pPr>
        <w:ind w:left="720"/>
        <w:jc w:val="both"/>
        <w:rPr>
          <w:rFonts w:hint="cs"/>
          <w:sz w:val="26"/>
          <w:rtl/>
        </w:rPr>
      </w:pPr>
      <w:r>
        <w:rPr>
          <w:rFonts w:hint="cs"/>
          <w:sz w:val="26"/>
          <w:rtl/>
        </w:rPr>
        <w:t>לא הובאו עדויות ביחס לאישומים הראשון והרביעי. ב"כ התביעה הודיעה בתום שמיעת הראיות כי היא חוזרת בה מהאישומים הראשון והרביעי.</w:t>
      </w:r>
      <w:r>
        <w:rPr>
          <w:color w:val="FFFFFF"/>
          <w:sz w:val="4"/>
          <w:szCs w:val="4"/>
          <w:rtl/>
        </w:rPr>
        <w:t>ב</w:t>
      </w:r>
    </w:p>
    <w:p w14:paraId="632312C6" w14:textId="77777777" w:rsidR="00534AA2" w:rsidRDefault="00534AA2">
      <w:pPr>
        <w:ind w:left="720"/>
        <w:jc w:val="both"/>
        <w:rPr>
          <w:rFonts w:hint="cs"/>
          <w:sz w:val="26"/>
          <w:rtl/>
        </w:rPr>
      </w:pPr>
    </w:p>
    <w:p w14:paraId="5394171C" w14:textId="77777777" w:rsidR="00534AA2" w:rsidRDefault="00534AA2">
      <w:pPr>
        <w:ind w:left="720"/>
        <w:jc w:val="both"/>
        <w:rPr>
          <w:rFonts w:hint="cs"/>
          <w:sz w:val="26"/>
          <w:rtl/>
        </w:rPr>
      </w:pPr>
      <w:r>
        <w:rPr>
          <w:rFonts w:hint="cs"/>
          <w:sz w:val="26"/>
          <w:rtl/>
        </w:rPr>
        <w:t xml:space="preserve">לאחר שמיעת הסיכומים ובטרם מתן הכרעת הדין, הודיעה ב"כ התביעה בכתב כי היא חוזרת בה מהעבירה של מעשה מגונה בפומבי (הסיפא של האישום השני) לאחר שלא הוכח יסוד הפומביות הנדרש על פי הסעיף. </w:t>
      </w:r>
    </w:p>
    <w:p w14:paraId="73477D90" w14:textId="77777777" w:rsidR="00534AA2" w:rsidRDefault="00534AA2">
      <w:pPr>
        <w:ind w:left="720"/>
        <w:jc w:val="both"/>
        <w:rPr>
          <w:rFonts w:hint="cs"/>
          <w:sz w:val="26"/>
          <w:rtl/>
        </w:rPr>
      </w:pPr>
      <w:r>
        <w:rPr>
          <w:rFonts w:hint="cs"/>
          <w:sz w:val="26"/>
          <w:rtl/>
        </w:rPr>
        <w:t>מאחר וכך, ניתוח הראיות ייתחס לאישומים השני והשלישי בלבד כאשר באישום השני אתייחס רק לעבירת המעשה המגונה בקטינה.</w:t>
      </w:r>
      <w:r>
        <w:rPr>
          <w:color w:val="FFFFFF"/>
          <w:sz w:val="4"/>
          <w:szCs w:val="4"/>
          <w:rtl/>
        </w:rPr>
        <w:t>ו</w:t>
      </w:r>
    </w:p>
    <w:p w14:paraId="18A8E8D6" w14:textId="77777777" w:rsidR="00534AA2" w:rsidRDefault="00534AA2">
      <w:pPr>
        <w:ind w:left="720"/>
        <w:jc w:val="both"/>
        <w:rPr>
          <w:rFonts w:hint="cs"/>
          <w:sz w:val="26"/>
          <w:rtl/>
        </w:rPr>
      </w:pPr>
    </w:p>
    <w:p w14:paraId="22F92665" w14:textId="77777777" w:rsidR="00534AA2" w:rsidRDefault="00534AA2">
      <w:pPr>
        <w:pStyle w:val="BodyText"/>
        <w:rPr>
          <w:rFonts w:hint="cs"/>
          <w:rtl/>
        </w:rPr>
      </w:pPr>
      <w:r>
        <w:rPr>
          <w:rFonts w:hint="cs"/>
          <w:rtl/>
        </w:rPr>
        <w:lastRenderedPageBreak/>
        <w:t>2.</w:t>
      </w:r>
      <w:r>
        <w:rPr>
          <w:rFonts w:hint="cs"/>
          <w:rtl/>
        </w:rPr>
        <w:tab/>
      </w:r>
      <w:r>
        <w:rPr>
          <w:rFonts w:hint="cs"/>
          <w:b/>
          <w:bCs/>
          <w:rtl/>
        </w:rPr>
        <w:t>כתב האישום</w:t>
      </w:r>
      <w:r>
        <w:rPr>
          <w:rFonts w:hint="cs"/>
          <w:rtl/>
        </w:rPr>
        <w:t>:</w:t>
      </w:r>
    </w:p>
    <w:p w14:paraId="4B42C390" w14:textId="77777777" w:rsidR="00534AA2" w:rsidRDefault="00534AA2">
      <w:pPr>
        <w:pStyle w:val="BodyText"/>
        <w:rPr>
          <w:rFonts w:hint="cs"/>
          <w:rtl/>
        </w:rPr>
      </w:pPr>
      <w:r>
        <w:rPr>
          <w:rFonts w:hint="cs"/>
          <w:rtl/>
        </w:rPr>
        <w:tab/>
        <w:t>הנאשם גר בשכנות לביתם של הקטינים ברח' טירת צבי בכפר סבא.</w:t>
      </w:r>
      <w:r>
        <w:rPr>
          <w:color w:val="FFFFFF"/>
          <w:sz w:val="4"/>
          <w:szCs w:val="4"/>
          <w:rtl/>
        </w:rPr>
        <w:t>נ</w:t>
      </w:r>
    </w:p>
    <w:p w14:paraId="5B55411B" w14:textId="77777777" w:rsidR="00534AA2" w:rsidRDefault="00534AA2">
      <w:pPr>
        <w:jc w:val="both"/>
        <w:rPr>
          <w:rFonts w:hint="cs"/>
          <w:sz w:val="26"/>
          <w:rtl/>
        </w:rPr>
      </w:pPr>
    </w:p>
    <w:p w14:paraId="70AF81D2" w14:textId="77777777" w:rsidR="00534AA2" w:rsidRDefault="00534AA2">
      <w:pPr>
        <w:jc w:val="both"/>
        <w:rPr>
          <w:rFonts w:hint="cs"/>
          <w:sz w:val="26"/>
          <w:rtl/>
        </w:rPr>
      </w:pPr>
      <w:r>
        <w:rPr>
          <w:rFonts w:hint="cs"/>
          <w:sz w:val="26"/>
          <w:rtl/>
        </w:rPr>
        <w:tab/>
        <w:t>אישום שני</w:t>
      </w:r>
    </w:p>
    <w:p w14:paraId="18144D67" w14:textId="77777777" w:rsidR="00534AA2" w:rsidRDefault="00534AA2">
      <w:pPr>
        <w:ind w:left="720"/>
        <w:jc w:val="both"/>
        <w:rPr>
          <w:rFonts w:hint="cs"/>
          <w:sz w:val="26"/>
          <w:rtl/>
        </w:rPr>
      </w:pPr>
      <w:r>
        <w:rPr>
          <w:rFonts w:hint="cs"/>
          <w:sz w:val="26"/>
          <w:rtl/>
        </w:rPr>
        <w:t>נטען כי בראשית חודש אפריל 2004, הלכה הקטינה מ.א. ילידת מרץ 1992 (להלן: "הקטינה") ברח' טירת צבי בכפר סבא בסמוך לבית הנאשם כשהיא בדרכה לבית סבתה כשהיא אוחזת בסיר עם ביצים. משהבחין בה הנאשם, הלך בעקבותיה עד שהגיעה לבית סבתה, שם נצמד אליה וחיבק אותה מאחור בידיו כשהוא נצמד לגופה. בהמשך נטען כי הנאשם נכנס לבית הסבתא והחל לשבור את הביצים שהיו בסיר, הפשיל את מכנסיו ורץ בעקבותיה כשהוא חושף את ישבנו.</w:t>
      </w:r>
      <w:r>
        <w:rPr>
          <w:color w:val="FFFFFF"/>
          <w:sz w:val="4"/>
          <w:szCs w:val="4"/>
          <w:rtl/>
        </w:rPr>
        <w:t>ב</w:t>
      </w:r>
    </w:p>
    <w:p w14:paraId="5DEA227C" w14:textId="77777777" w:rsidR="00534AA2" w:rsidRDefault="00534AA2">
      <w:pPr>
        <w:ind w:left="720"/>
        <w:jc w:val="both"/>
        <w:rPr>
          <w:rFonts w:hint="cs"/>
          <w:sz w:val="26"/>
          <w:rtl/>
        </w:rPr>
      </w:pPr>
      <w:r>
        <w:rPr>
          <w:rFonts w:hint="cs"/>
          <w:sz w:val="26"/>
          <w:rtl/>
        </w:rPr>
        <w:t>במעשים המתוארים לעיל שעל פי הנטען ביצע הנאשם כלפי הקטינה, מייחסת התביעה לנאשם מעשה מגונה לשם גירוי וסיפוק מיני בקטינה שטרם מלאו לה 14 שנים.</w:t>
      </w:r>
      <w:r>
        <w:rPr>
          <w:color w:val="FFFFFF"/>
          <w:sz w:val="4"/>
          <w:szCs w:val="4"/>
          <w:rtl/>
        </w:rPr>
        <w:t>ו</w:t>
      </w:r>
    </w:p>
    <w:p w14:paraId="7A39E67B" w14:textId="77777777" w:rsidR="00534AA2" w:rsidRDefault="00534AA2">
      <w:pPr>
        <w:ind w:left="720"/>
        <w:jc w:val="both"/>
        <w:rPr>
          <w:rFonts w:hint="cs"/>
          <w:sz w:val="26"/>
          <w:rtl/>
        </w:rPr>
      </w:pPr>
    </w:p>
    <w:p w14:paraId="1A4BEB0E" w14:textId="77777777" w:rsidR="00534AA2" w:rsidRDefault="00534AA2">
      <w:pPr>
        <w:pStyle w:val="Heading6"/>
        <w:rPr>
          <w:rFonts w:hint="cs"/>
          <w:b w:val="0"/>
          <w:bCs w:val="0"/>
          <w:rtl/>
        </w:rPr>
      </w:pPr>
      <w:r>
        <w:rPr>
          <w:rFonts w:hint="cs"/>
          <w:b w:val="0"/>
          <w:bCs w:val="0"/>
          <w:rtl/>
        </w:rPr>
        <w:t>אישום שלישי</w:t>
      </w:r>
    </w:p>
    <w:p w14:paraId="6D8540FD" w14:textId="77777777" w:rsidR="00534AA2" w:rsidRDefault="00534AA2">
      <w:pPr>
        <w:ind w:left="720"/>
        <w:jc w:val="both"/>
        <w:rPr>
          <w:rFonts w:hint="cs"/>
          <w:sz w:val="26"/>
          <w:rtl/>
        </w:rPr>
      </w:pPr>
      <w:r>
        <w:rPr>
          <w:rFonts w:hint="cs"/>
          <w:sz w:val="26"/>
          <w:rtl/>
        </w:rPr>
        <w:t>נטען כי בתאריך 08/04/04 הלך ד.א. יליד מאי 1993 (להלן: "הקטין") ברח' טירת צבי בכפר סבא ופגש בנאשם שהיה מוכר לו כשכן.</w:t>
      </w:r>
      <w:r>
        <w:rPr>
          <w:color w:val="FFFFFF"/>
          <w:sz w:val="4"/>
          <w:szCs w:val="4"/>
          <w:rtl/>
        </w:rPr>
        <w:t>נ</w:t>
      </w:r>
    </w:p>
    <w:p w14:paraId="2C1B2000" w14:textId="77777777" w:rsidR="00534AA2" w:rsidRDefault="00534AA2">
      <w:pPr>
        <w:ind w:left="720"/>
        <w:jc w:val="both"/>
        <w:rPr>
          <w:rFonts w:hint="cs"/>
          <w:sz w:val="26"/>
          <w:rtl/>
        </w:rPr>
      </w:pPr>
      <w:r>
        <w:rPr>
          <w:rFonts w:hint="cs"/>
          <w:sz w:val="26"/>
          <w:rtl/>
        </w:rPr>
        <w:t>הקטין נלווה לנאשם ולאחר שנכנס לביתו נעל הנאשם את דלת הבית, הוריד את מכנסיו וחשף את איבר מינו והורה לקטין לשבת עליו. משסירב הקטין, הושיבו הנאשם עליו בכוח וחיכך את איבר מינו בישבנו של הקטין.</w:t>
      </w:r>
      <w:r>
        <w:rPr>
          <w:color w:val="FFFFFF"/>
          <w:sz w:val="4"/>
          <w:szCs w:val="4"/>
          <w:rtl/>
        </w:rPr>
        <w:t>ב</w:t>
      </w:r>
    </w:p>
    <w:p w14:paraId="27A75DAB" w14:textId="77777777" w:rsidR="00534AA2" w:rsidRDefault="00534AA2">
      <w:pPr>
        <w:ind w:left="720"/>
        <w:jc w:val="both"/>
        <w:rPr>
          <w:rFonts w:hint="cs"/>
          <w:sz w:val="26"/>
          <w:rtl/>
        </w:rPr>
      </w:pPr>
      <w:r>
        <w:rPr>
          <w:rFonts w:hint="cs"/>
          <w:sz w:val="26"/>
          <w:rtl/>
        </w:rPr>
        <w:t>הנאשם התיר לקטין לצאת מהבית, לכיוון הגינה רק לאחר שהקטין החל לבכות ולצרוח.</w:t>
      </w:r>
      <w:r>
        <w:rPr>
          <w:color w:val="FFFFFF"/>
          <w:sz w:val="4"/>
          <w:szCs w:val="4"/>
          <w:rtl/>
        </w:rPr>
        <w:t>ו</w:t>
      </w:r>
    </w:p>
    <w:p w14:paraId="5AC12F67" w14:textId="77777777" w:rsidR="00534AA2" w:rsidRDefault="00534AA2">
      <w:pPr>
        <w:ind w:left="720"/>
        <w:jc w:val="both"/>
        <w:rPr>
          <w:rFonts w:hint="cs"/>
          <w:sz w:val="26"/>
          <w:rtl/>
        </w:rPr>
      </w:pPr>
      <w:r>
        <w:rPr>
          <w:rFonts w:hint="cs"/>
          <w:sz w:val="26"/>
          <w:rtl/>
        </w:rPr>
        <w:t>בגין מעשים אלה, מואשם הנאשם בעבירה של מעשה מגונה בקטין שטרם מלאו לו 14 שנים.</w:t>
      </w:r>
      <w:r>
        <w:rPr>
          <w:color w:val="FFFFFF"/>
          <w:sz w:val="4"/>
          <w:szCs w:val="4"/>
          <w:rtl/>
        </w:rPr>
        <w:t>נ</w:t>
      </w:r>
    </w:p>
    <w:p w14:paraId="40446ACB" w14:textId="77777777" w:rsidR="00534AA2" w:rsidRDefault="00534AA2">
      <w:pPr>
        <w:ind w:left="720"/>
        <w:jc w:val="both"/>
        <w:rPr>
          <w:rFonts w:hint="cs"/>
          <w:sz w:val="26"/>
          <w:rtl/>
        </w:rPr>
      </w:pPr>
    </w:p>
    <w:p w14:paraId="1BC1C890" w14:textId="77777777" w:rsidR="00534AA2" w:rsidRDefault="00534AA2">
      <w:pPr>
        <w:rPr>
          <w:rFonts w:hint="cs"/>
          <w:b/>
          <w:bCs/>
          <w:sz w:val="26"/>
          <w:rtl/>
        </w:rPr>
      </w:pPr>
      <w:r>
        <w:rPr>
          <w:rFonts w:hint="cs"/>
          <w:sz w:val="26"/>
          <w:rtl/>
        </w:rPr>
        <w:t>3.</w:t>
      </w:r>
      <w:r>
        <w:rPr>
          <w:rFonts w:hint="cs"/>
          <w:sz w:val="26"/>
          <w:rtl/>
        </w:rPr>
        <w:tab/>
      </w:r>
      <w:r>
        <w:rPr>
          <w:rFonts w:hint="cs"/>
          <w:b/>
          <w:bCs/>
          <w:sz w:val="26"/>
          <w:rtl/>
        </w:rPr>
        <w:t>ראיות התביעה</w:t>
      </w:r>
    </w:p>
    <w:p w14:paraId="7437F57B" w14:textId="77777777" w:rsidR="00534AA2" w:rsidRDefault="00534AA2">
      <w:pPr>
        <w:ind w:left="720"/>
        <w:jc w:val="both"/>
        <w:rPr>
          <w:rFonts w:hint="cs"/>
          <w:sz w:val="26"/>
          <w:rtl/>
        </w:rPr>
      </w:pPr>
      <w:r>
        <w:rPr>
          <w:rFonts w:hint="cs"/>
          <w:sz w:val="26"/>
          <w:rtl/>
        </w:rPr>
        <w:t>מטעם התביעה העיד חוקר הילדים ארז עמית שחקר את שני הקטינים, אמם של הקטינים, הסבתא ושני אנשי משטרה.</w:t>
      </w:r>
      <w:r>
        <w:rPr>
          <w:color w:val="FFFFFF"/>
          <w:sz w:val="4"/>
          <w:szCs w:val="4"/>
          <w:rtl/>
        </w:rPr>
        <w:t>ב</w:t>
      </w:r>
    </w:p>
    <w:p w14:paraId="21D1603A" w14:textId="77777777" w:rsidR="00534AA2" w:rsidRDefault="00534AA2">
      <w:pPr>
        <w:ind w:left="720"/>
        <w:jc w:val="both"/>
        <w:rPr>
          <w:rFonts w:hint="cs"/>
          <w:sz w:val="26"/>
          <w:rtl/>
        </w:rPr>
      </w:pPr>
      <w:r>
        <w:rPr>
          <w:rFonts w:hint="cs"/>
          <w:sz w:val="26"/>
          <w:rtl/>
        </w:rPr>
        <w:t>אף לא אחד מהעדים היה עד למעשים שביצע הנאשם על פי הטענה בקטינים. בשל גילם הצעיר של הקטינים, הם נחקרו על ידי חוקר הילדים עמית ארז. החקירות הוקלטו בווידאו ותומללו.</w:t>
      </w:r>
      <w:r>
        <w:rPr>
          <w:color w:val="FFFFFF"/>
          <w:sz w:val="4"/>
          <w:szCs w:val="4"/>
          <w:rtl/>
        </w:rPr>
        <w:t>ו</w:t>
      </w:r>
    </w:p>
    <w:p w14:paraId="78656450" w14:textId="77777777" w:rsidR="00534AA2" w:rsidRDefault="00534AA2">
      <w:pPr>
        <w:ind w:left="720"/>
        <w:jc w:val="both"/>
        <w:rPr>
          <w:rFonts w:hint="cs"/>
          <w:sz w:val="26"/>
          <w:rtl/>
        </w:rPr>
      </w:pPr>
      <w:r>
        <w:rPr>
          <w:rFonts w:hint="cs"/>
          <w:sz w:val="26"/>
          <w:rtl/>
        </w:rPr>
        <w:t>חוקר הילדים אסר העדתם של הקטינים בבית המשפט וזאת נוכח הנזק הנפשי העלול להיגרם להם.</w:t>
      </w:r>
      <w:r>
        <w:rPr>
          <w:color w:val="FFFFFF"/>
          <w:sz w:val="4"/>
          <w:szCs w:val="4"/>
          <w:rtl/>
        </w:rPr>
        <w:t>נ</w:t>
      </w:r>
    </w:p>
    <w:p w14:paraId="64C649B2" w14:textId="77777777" w:rsidR="00534AA2" w:rsidRDefault="00534AA2">
      <w:pPr>
        <w:ind w:left="720"/>
        <w:jc w:val="both"/>
        <w:rPr>
          <w:rFonts w:hint="cs"/>
          <w:sz w:val="26"/>
          <w:rtl/>
        </w:rPr>
      </w:pPr>
      <w:r>
        <w:rPr>
          <w:rFonts w:hint="cs"/>
          <w:sz w:val="26"/>
          <w:rtl/>
        </w:rPr>
        <w:t>הקטינה הביעה הסכמה להעיד ולמרות זאת נאסרה העדתה על ידי חוקר הילדים נוכח התנגדותה של האם.</w:t>
      </w:r>
      <w:r>
        <w:rPr>
          <w:color w:val="FFFFFF"/>
          <w:sz w:val="4"/>
          <w:szCs w:val="4"/>
          <w:rtl/>
        </w:rPr>
        <w:t>ב</w:t>
      </w:r>
    </w:p>
    <w:p w14:paraId="26061C97" w14:textId="77777777" w:rsidR="00534AA2" w:rsidRDefault="00534AA2">
      <w:pPr>
        <w:rPr>
          <w:rFonts w:hint="cs"/>
          <w:b/>
          <w:bCs/>
          <w:rtl/>
        </w:rPr>
      </w:pPr>
      <w:r>
        <w:rPr>
          <w:rFonts w:hint="cs"/>
          <w:sz w:val="26"/>
          <w:rtl/>
        </w:rPr>
        <w:lastRenderedPageBreak/>
        <w:t>4.</w:t>
      </w:r>
      <w:r>
        <w:rPr>
          <w:rFonts w:hint="cs"/>
          <w:sz w:val="26"/>
          <w:rtl/>
        </w:rPr>
        <w:tab/>
      </w:r>
      <w:r>
        <w:rPr>
          <w:rFonts w:hint="cs"/>
          <w:b/>
          <w:bCs/>
          <w:rtl/>
        </w:rPr>
        <w:t>עדות האם</w:t>
      </w:r>
    </w:p>
    <w:p w14:paraId="5383880C" w14:textId="77777777" w:rsidR="00534AA2" w:rsidRDefault="00534AA2">
      <w:pPr>
        <w:pStyle w:val="BodyTextIndent"/>
        <w:rPr>
          <w:rFonts w:hint="cs"/>
          <w:rtl/>
        </w:rPr>
      </w:pPr>
      <w:r>
        <w:rPr>
          <w:rFonts w:hint="cs"/>
          <w:rtl/>
        </w:rPr>
        <w:t>החקירה נפתחה ביום 09/04/04 על פי תלונה שנתקבלה מפי אמם של הקטינים, עת/3.</w:t>
      </w:r>
      <w:r>
        <w:rPr>
          <w:color w:val="FFFFFF"/>
          <w:sz w:val="4"/>
          <w:szCs w:val="4"/>
          <w:rtl/>
        </w:rPr>
        <w:t>ו</w:t>
      </w:r>
    </w:p>
    <w:p w14:paraId="7807213A" w14:textId="77777777" w:rsidR="00534AA2" w:rsidRDefault="00534AA2">
      <w:pPr>
        <w:ind w:left="720"/>
        <w:jc w:val="both"/>
        <w:rPr>
          <w:rFonts w:hint="cs"/>
          <w:sz w:val="26"/>
          <w:rtl/>
        </w:rPr>
      </w:pPr>
      <w:r>
        <w:rPr>
          <w:rFonts w:hint="cs"/>
          <w:sz w:val="26"/>
          <w:rtl/>
        </w:rPr>
        <w:t>היא הגיעה לתחנת המשטרה עם הקטינים, לאחר שיום קודם לכן, שמעה מהם על המעשים שביצע בגופם הנאשם. היא העידה כי ב-08/04/03 הייתה בטיול עם בני משפחה בטבריה.</w:t>
      </w:r>
      <w:r>
        <w:rPr>
          <w:color w:val="FFFFFF"/>
          <w:sz w:val="4"/>
          <w:szCs w:val="4"/>
          <w:rtl/>
        </w:rPr>
        <w:t>נ</w:t>
      </w:r>
    </w:p>
    <w:p w14:paraId="4492AB5A" w14:textId="77777777" w:rsidR="00534AA2" w:rsidRDefault="00534AA2">
      <w:pPr>
        <w:ind w:left="720"/>
        <w:jc w:val="both"/>
        <w:rPr>
          <w:rFonts w:hint="cs"/>
          <w:sz w:val="26"/>
          <w:rtl/>
        </w:rPr>
      </w:pPr>
      <w:r>
        <w:rPr>
          <w:rFonts w:hint="cs"/>
          <w:sz w:val="26"/>
          <w:rtl/>
        </w:rPr>
        <w:t>אחד הבנים התקשר אליה אחה"צ וסיפר לה שהנאשם תפס את אחיו (הקטין), הכניס אותו אליו הביתה וכשהיא תחזור הוא יספר לה מה שקרה. כשחזרה בערב סיפר לה הקטין כי כשהיה בדרכו לבית הסבתא, הנאשם הכניס אותו לבית, נעל את הדלת, שכב על המיטה, הוריד את המכנסיים והושיב אותו עליו בכוח ורק לאחר שהוא צעק נתן לו לצאת מהדירה.</w:t>
      </w:r>
      <w:r>
        <w:rPr>
          <w:color w:val="FFFFFF"/>
          <w:sz w:val="4"/>
          <w:szCs w:val="4"/>
          <w:rtl/>
        </w:rPr>
        <w:t>ב</w:t>
      </w:r>
    </w:p>
    <w:p w14:paraId="49C46A25" w14:textId="77777777" w:rsidR="00534AA2" w:rsidRDefault="00534AA2">
      <w:pPr>
        <w:ind w:left="720"/>
        <w:jc w:val="both"/>
        <w:rPr>
          <w:rFonts w:hint="cs"/>
          <w:sz w:val="26"/>
          <w:rtl/>
        </w:rPr>
      </w:pPr>
      <w:r>
        <w:rPr>
          <w:rFonts w:hint="cs"/>
          <w:sz w:val="26"/>
          <w:rtl/>
        </w:rPr>
        <w:t>האם העידה כי כאשר הקטינה שמעה שהקטין מספר, היא סיפרה לה שכאשר הייתה בדרכה לסבתא עם סיר ביצים, הנאשם בא אחריה במדרגות ולפת אותה מאחורנית בשתי הידיים והיא נאלצה להשאיר את הסיר ולברוח לגינה.</w:t>
      </w:r>
      <w:r>
        <w:rPr>
          <w:color w:val="FFFFFF"/>
          <w:sz w:val="4"/>
          <w:szCs w:val="4"/>
          <w:rtl/>
        </w:rPr>
        <w:t>ו</w:t>
      </w:r>
    </w:p>
    <w:p w14:paraId="0F28EE1A" w14:textId="77777777" w:rsidR="00534AA2" w:rsidRDefault="00534AA2">
      <w:pPr>
        <w:ind w:left="720"/>
        <w:jc w:val="both"/>
        <w:rPr>
          <w:rFonts w:hint="cs"/>
          <w:sz w:val="26"/>
          <w:rtl/>
        </w:rPr>
      </w:pPr>
      <w:r>
        <w:rPr>
          <w:rFonts w:hint="cs"/>
          <w:sz w:val="26"/>
          <w:rtl/>
        </w:rPr>
        <w:t>האם אישרה בעדותה כי כאשר הגיעה בערב הביתה הייתה המולה בבית אבל השיחות שקיימה עם כל אחד מהילדים (הקטין והקטינה) התנהלו עם כל אחד בנפרד.</w:t>
      </w:r>
      <w:r>
        <w:rPr>
          <w:color w:val="FFFFFF"/>
          <w:sz w:val="4"/>
          <w:szCs w:val="4"/>
          <w:rtl/>
        </w:rPr>
        <w:t>נ</w:t>
      </w:r>
    </w:p>
    <w:p w14:paraId="30431B10" w14:textId="77777777" w:rsidR="00534AA2" w:rsidRDefault="00534AA2">
      <w:pPr>
        <w:ind w:left="720"/>
        <w:jc w:val="both"/>
        <w:rPr>
          <w:rFonts w:hint="cs"/>
          <w:sz w:val="26"/>
          <w:rtl/>
        </w:rPr>
      </w:pPr>
      <w:r>
        <w:rPr>
          <w:rFonts w:hint="cs"/>
          <w:sz w:val="26"/>
          <w:rtl/>
        </w:rPr>
        <w:t>היא אישרה כי סירבה לבקשת המשטרה לחקור ילדים נוספים מהמשפחה וזאת מאחר והיא סבורה שהנזק שייגרם להם כתוצאה מהחקירה יהיה חמור יותר מזה שנגרם להם מהנאשם.</w:t>
      </w:r>
      <w:r>
        <w:rPr>
          <w:color w:val="FFFFFF"/>
          <w:sz w:val="4"/>
          <w:szCs w:val="4"/>
          <w:rtl/>
        </w:rPr>
        <w:t>ב</w:t>
      </w:r>
    </w:p>
    <w:p w14:paraId="1971F075" w14:textId="77777777" w:rsidR="00534AA2" w:rsidRDefault="00534AA2">
      <w:pPr>
        <w:ind w:left="720"/>
        <w:jc w:val="both"/>
        <w:rPr>
          <w:rFonts w:hint="cs"/>
          <w:sz w:val="26"/>
          <w:rtl/>
        </w:rPr>
      </w:pPr>
      <w:r>
        <w:rPr>
          <w:rFonts w:hint="cs"/>
          <w:sz w:val="26"/>
          <w:rtl/>
        </w:rPr>
        <w:t xml:space="preserve">האם לא הייתה כמובן עדה לאירועים ועדותה על מה ששמעה מהקטינים היא עדות שמיעה. </w:t>
      </w:r>
    </w:p>
    <w:p w14:paraId="43228275" w14:textId="77777777" w:rsidR="00534AA2" w:rsidRDefault="00534AA2">
      <w:pPr>
        <w:ind w:left="720"/>
        <w:jc w:val="both"/>
        <w:rPr>
          <w:rFonts w:hint="cs"/>
          <w:sz w:val="26"/>
          <w:rtl/>
        </w:rPr>
      </w:pPr>
      <w:r>
        <w:rPr>
          <w:rFonts w:hint="cs"/>
          <w:sz w:val="26"/>
          <w:rtl/>
        </w:rPr>
        <w:t>הקטע הרלוונטי בעדותה הוא התיאור שהיא נותנת לגבי מצבם הנפשי של הקטינים בעת שספרו לה מה שארע להם.</w:t>
      </w:r>
      <w:r>
        <w:rPr>
          <w:color w:val="FFFFFF"/>
          <w:sz w:val="4"/>
          <w:szCs w:val="4"/>
          <w:rtl/>
        </w:rPr>
        <w:t>ו</w:t>
      </w:r>
    </w:p>
    <w:p w14:paraId="1DF3A70F" w14:textId="77777777" w:rsidR="00534AA2" w:rsidRDefault="00534AA2">
      <w:pPr>
        <w:ind w:left="720"/>
        <w:jc w:val="both"/>
        <w:rPr>
          <w:rFonts w:hint="cs"/>
          <w:sz w:val="26"/>
          <w:rtl/>
        </w:rPr>
      </w:pPr>
      <w:r>
        <w:rPr>
          <w:rFonts w:hint="cs"/>
          <w:sz w:val="26"/>
          <w:rtl/>
        </w:rPr>
        <w:t>היא העידה כי הקטין "</w:t>
      </w:r>
      <w:r>
        <w:rPr>
          <w:rFonts w:hint="cs"/>
          <w:b/>
          <w:bCs/>
          <w:sz w:val="26"/>
          <w:rtl/>
        </w:rPr>
        <w:t>היה מבוהל, רועד, מדבר מהר, היה בלחץ</w:t>
      </w:r>
      <w:r>
        <w:rPr>
          <w:rFonts w:hint="cs"/>
          <w:sz w:val="26"/>
          <w:rtl/>
        </w:rPr>
        <w:t>" והיא נסתה להרגיע אותו שלא ידאג והוא יקבל עונש (עמ' 8, ש' 3-1).</w:t>
      </w:r>
    </w:p>
    <w:p w14:paraId="275CBB26" w14:textId="77777777" w:rsidR="00534AA2" w:rsidRDefault="00534AA2">
      <w:pPr>
        <w:ind w:left="720"/>
        <w:jc w:val="both"/>
        <w:rPr>
          <w:rFonts w:hint="cs"/>
          <w:sz w:val="26"/>
          <w:rtl/>
        </w:rPr>
      </w:pPr>
      <w:r>
        <w:rPr>
          <w:rFonts w:hint="cs"/>
          <w:sz w:val="26"/>
          <w:rtl/>
        </w:rPr>
        <w:t>לגבי הקטינה היא העידה כי כאשר סיפרה לה הקטינה את מה שעשה הנאשם "</w:t>
      </w:r>
      <w:r>
        <w:rPr>
          <w:rFonts w:hint="cs"/>
          <w:b/>
          <w:bCs/>
          <w:sz w:val="26"/>
          <w:rtl/>
        </w:rPr>
        <w:t>היא הייתה רועדת, היא ילדה סגורה ופחדנית, היא רעדה כולה</w:t>
      </w:r>
      <w:r>
        <w:rPr>
          <w:rFonts w:hint="cs"/>
          <w:sz w:val="26"/>
          <w:rtl/>
        </w:rPr>
        <w:t>" (עמ' 8, ש' 10 -9).</w:t>
      </w:r>
    </w:p>
    <w:p w14:paraId="2B846C55" w14:textId="77777777" w:rsidR="00534AA2" w:rsidRDefault="00534AA2">
      <w:pPr>
        <w:ind w:left="720"/>
        <w:jc w:val="both"/>
        <w:rPr>
          <w:rFonts w:hint="cs"/>
          <w:sz w:val="26"/>
          <w:rtl/>
        </w:rPr>
      </w:pPr>
      <w:r>
        <w:rPr>
          <w:rFonts w:hint="cs"/>
          <w:sz w:val="26"/>
          <w:rtl/>
        </w:rPr>
        <w:t>היא מוסיפה כי גם למחרת כשהלכה איתם לתחנת המשטרה הם היו מאוד לחוצים.</w:t>
      </w:r>
    </w:p>
    <w:p w14:paraId="123CD651" w14:textId="77777777" w:rsidR="00534AA2" w:rsidRDefault="00534AA2">
      <w:pPr>
        <w:ind w:left="720"/>
        <w:jc w:val="both"/>
        <w:rPr>
          <w:rFonts w:hint="cs"/>
          <w:sz w:val="26"/>
          <w:rtl/>
        </w:rPr>
      </w:pPr>
    </w:p>
    <w:p w14:paraId="42F6A84F" w14:textId="77777777" w:rsidR="00534AA2" w:rsidRDefault="00534AA2">
      <w:pPr>
        <w:jc w:val="both"/>
        <w:rPr>
          <w:rFonts w:hint="cs"/>
          <w:sz w:val="26"/>
          <w:rtl/>
        </w:rPr>
      </w:pPr>
      <w:r>
        <w:rPr>
          <w:rFonts w:hint="cs"/>
          <w:sz w:val="26"/>
          <w:rtl/>
        </w:rPr>
        <w:t>5.</w:t>
      </w:r>
      <w:r>
        <w:rPr>
          <w:rFonts w:hint="cs"/>
          <w:sz w:val="26"/>
          <w:rtl/>
        </w:rPr>
        <w:tab/>
        <w:t>עדותה של הקטינה (אישום שני).</w:t>
      </w:r>
    </w:p>
    <w:p w14:paraId="0BA3B219" w14:textId="77777777" w:rsidR="00534AA2" w:rsidRDefault="00534AA2">
      <w:pPr>
        <w:ind w:left="720" w:hanging="720"/>
        <w:jc w:val="both"/>
        <w:rPr>
          <w:rFonts w:hint="cs"/>
          <w:sz w:val="26"/>
          <w:rtl/>
        </w:rPr>
      </w:pPr>
      <w:r>
        <w:rPr>
          <w:rFonts w:hint="cs"/>
          <w:sz w:val="26"/>
          <w:rtl/>
        </w:rPr>
        <w:tab/>
        <w:t xml:space="preserve">הקטינה (בת 12) נחקרה על ידי חוקר הילדים. עדותה הוקלטה (ת/5) ותומללה </w:t>
      </w:r>
    </w:p>
    <w:p w14:paraId="21F422EE" w14:textId="77777777" w:rsidR="00534AA2" w:rsidRDefault="00534AA2">
      <w:pPr>
        <w:ind w:left="720"/>
        <w:jc w:val="both"/>
        <w:rPr>
          <w:rFonts w:hint="cs"/>
          <w:sz w:val="26"/>
          <w:rtl/>
        </w:rPr>
      </w:pPr>
      <w:r>
        <w:rPr>
          <w:rFonts w:hint="cs"/>
          <w:sz w:val="26"/>
          <w:rtl/>
        </w:rPr>
        <w:lastRenderedPageBreak/>
        <w:t>(ת/6). חקירתה בוצעה ב-20/04/04. הקטינה אישרה בעדותה כי מדובר באירוע חד פעמי שקרה לפני כשבועיים.</w:t>
      </w:r>
    </w:p>
    <w:p w14:paraId="2DECC0A1" w14:textId="77777777" w:rsidR="00534AA2" w:rsidRDefault="00534AA2">
      <w:pPr>
        <w:ind w:left="720"/>
        <w:jc w:val="both"/>
        <w:rPr>
          <w:rFonts w:hint="cs"/>
          <w:sz w:val="26"/>
          <w:rtl/>
        </w:rPr>
      </w:pPr>
      <w:r>
        <w:rPr>
          <w:rFonts w:hint="cs"/>
          <w:sz w:val="26"/>
          <w:rtl/>
        </w:rPr>
        <w:t>היא העידה כי החזיקה בידה סיר עם ביצים והייתה בדרכה לבית הסבתא. בדרך פגשה את הנאשם, שהוא שכן שלהם. הוא התחיל לדבר איתה, היא לא הבינה מה הוא רוצה ממנה, אמר לה משהו על צנון לסבתא שלה. היא המשיכה ללכת וכשהגיעה למדרגות בבניין של הסבתא, הוא עמד מאחוריה וחיבק אותה עם שתי הידיים. היא המשיכה לעלות וכשהגיעה לדלת הוא נצמד אליה בכל הגוף ולא נתן לה לעבור. היא אמרה לו שהיא רוצה לרדת לשנייה. היא השאירה את הסיר עם הביצים על כסא ליד הדלת וברחה מהמקום והתחבאה בגינה ואחרי כמה דקות, ברחה הביתה.</w:t>
      </w:r>
    </w:p>
    <w:p w14:paraId="6EA6B4DB" w14:textId="77777777" w:rsidR="00534AA2" w:rsidRDefault="00534AA2">
      <w:pPr>
        <w:ind w:left="720"/>
        <w:jc w:val="both"/>
        <w:rPr>
          <w:rFonts w:hint="cs"/>
          <w:sz w:val="26"/>
          <w:rtl/>
        </w:rPr>
      </w:pPr>
      <w:r>
        <w:rPr>
          <w:rFonts w:hint="cs"/>
          <w:sz w:val="26"/>
          <w:rtl/>
        </w:rPr>
        <w:t>הקטינה הדגימה בעדותה כיצד הנאשם חיבק אותה בשתי הפעמים עם שתי ידיו מסביב לכל גופה (במדרגות וליד הדלת). היא מציינת בחקירתה שסיפרה על כך לאחותה ולבת דודתה וסיפרה גם לאמה בנוכחות אחיה י.</w:t>
      </w:r>
    </w:p>
    <w:p w14:paraId="0C7523A2" w14:textId="77777777" w:rsidR="00534AA2" w:rsidRDefault="00534AA2">
      <w:pPr>
        <w:ind w:left="720"/>
        <w:jc w:val="both"/>
        <w:rPr>
          <w:rFonts w:hint="cs"/>
          <w:sz w:val="26"/>
          <w:rtl/>
        </w:rPr>
      </w:pPr>
      <w:r>
        <w:rPr>
          <w:rFonts w:hint="cs"/>
          <w:sz w:val="26"/>
          <w:rtl/>
        </w:rPr>
        <w:t>עוד היא מוסרת לחוקר הילדים כי שמעה גם מאחיה הקטין מה שהנאשם עשה לו והיא חוזרת בפני חוקר הילדים על מה ששמעה.</w:t>
      </w:r>
    </w:p>
    <w:p w14:paraId="04E4AAE3" w14:textId="77777777" w:rsidR="00534AA2" w:rsidRDefault="00534AA2">
      <w:pPr>
        <w:ind w:left="720"/>
        <w:jc w:val="both"/>
        <w:rPr>
          <w:rFonts w:hint="cs"/>
          <w:sz w:val="26"/>
          <w:rtl/>
        </w:rPr>
      </w:pPr>
    </w:p>
    <w:p w14:paraId="537C804F" w14:textId="77777777" w:rsidR="00534AA2" w:rsidRDefault="00534AA2">
      <w:pPr>
        <w:rPr>
          <w:rFonts w:hint="cs"/>
          <w:sz w:val="26"/>
          <w:rtl/>
        </w:rPr>
      </w:pPr>
      <w:r>
        <w:rPr>
          <w:rFonts w:hint="cs"/>
          <w:sz w:val="26"/>
          <w:rtl/>
        </w:rPr>
        <w:t>6.</w:t>
      </w:r>
      <w:r>
        <w:rPr>
          <w:rFonts w:hint="cs"/>
          <w:sz w:val="26"/>
          <w:rtl/>
        </w:rPr>
        <w:tab/>
        <w:t>עדותו של הקטין (אישום שלישי)</w:t>
      </w:r>
    </w:p>
    <w:p w14:paraId="6A53393A" w14:textId="77777777" w:rsidR="00534AA2" w:rsidRDefault="00534AA2">
      <w:pPr>
        <w:ind w:left="720"/>
        <w:jc w:val="both"/>
        <w:rPr>
          <w:rFonts w:hint="cs"/>
          <w:sz w:val="26"/>
          <w:rtl/>
        </w:rPr>
      </w:pPr>
      <w:r>
        <w:rPr>
          <w:rFonts w:hint="cs"/>
          <w:sz w:val="26"/>
          <w:rtl/>
        </w:rPr>
        <w:t>הקטין סיפר לחוקר כי זה קרה לפני כשבועיים בצהריים. הוא היה בדרכו לבקר את הסבתא. בדרך פגש את הנאשם כשהוא יושב על הספסל ואיתו כלב. הוא פנה לנאשם ואמר לו שהכלב שלו חמוד ואז הנאשם הכניס אותו לביתו ונעל את הדלת. הנאשם התיישב על המיטה, הוריד קצת את המכנסיים שלו, הבולבול שלו יצא ועמד והוא אמר לו לשבת על הבולבול שלו. בהתחלה הוא לא ראה את זה והוא ישב ואחרי זה הוא הושיב אותו בכוח. בחדר היה אורגן והנאשם שאל אותו אם הוא יודע לנגן, הוא השיב בחיוב. הנאשם עבר לשבת על הכסא והוא סירב לשבת לידו. הנאשם משך אותו והושיב אותו בכוח על הברכיים שלו תוך כדי כך שהוא מחבק אותו עם הידיים.</w:t>
      </w:r>
    </w:p>
    <w:p w14:paraId="15C760CE" w14:textId="77777777" w:rsidR="00534AA2" w:rsidRDefault="00534AA2">
      <w:pPr>
        <w:ind w:left="720"/>
        <w:jc w:val="both"/>
        <w:rPr>
          <w:rFonts w:hint="cs"/>
          <w:sz w:val="26"/>
          <w:rtl/>
        </w:rPr>
      </w:pPr>
      <w:r>
        <w:rPr>
          <w:rFonts w:hint="cs"/>
          <w:sz w:val="26"/>
          <w:rtl/>
        </w:rPr>
        <w:t>הקטין מספר כי הוא נשאר לבוש עם הבגדים שלו, כרגיל, והבולבול של הנאשם נגע בו מעל הבגדים, זה כאב לו בישבן והוא הרגיש שהבולבול עוקץ אותו. הוא התחיל לפחד, הנאשם אמר לו לקום והוא עבר לשבת על כסא שחור מסתובב וביקש ממנו שישב לו כי "</w:t>
      </w:r>
      <w:r>
        <w:rPr>
          <w:rFonts w:hint="cs"/>
          <w:b/>
          <w:bCs/>
          <w:sz w:val="26"/>
          <w:rtl/>
        </w:rPr>
        <w:t>זה יהיה לי יותר נוח ואני ארגיש ככה יותר טוב"</w:t>
      </w:r>
      <w:r>
        <w:rPr>
          <w:rFonts w:hint="cs"/>
          <w:sz w:val="26"/>
          <w:rtl/>
        </w:rPr>
        <w:t>. הבולבול של הנאשם עמד ונגע במכנסיים שלו.</w:t>
      </w:r>
    </w:p>
    <w:p w14:paraId="1CD9868B" w14:textId="77777777" w:rsidR="00534AA2" w:rsidRDefault="00534AA2">
      <w:pPr>
        <w:ind w:left="720"/>
        <w:jc w:val="both"/>
        <w:rPr>
          <w:rFonts w:hint="cs"/>
          <w:sz w:val="26"/>
          <w:rtl/>
        </w:rPr>
      </w:pPr>
      <w:r>
        <w:rPr>
          <w:rFonts w:hint="cs"/>
          <w:sz w:val="26"/>
          <w:rtl/>
        </w:rPr>
        <w:t>הקטין מספר כי הוא החל לבכות, הנאשם ניסה לפתוח את הדלת אבל היא הייתה נעולה והוא אמר לו שלא יצא מהבית עד שלא ינגן שיר אחד. הוא השיב שניגן כבר ודפק על הדלת ואז הנאשם פתח את הדלת הפונה לכיוון הגינה, הקטין יצא לגינה, שם היו אותה עת כלבים וברח.</w:t>
      </w:r>
    </w:p>
    <w:p w14:paraId="600B55D1" w14:textId="77777777" w:rsidR="00534AA2" w:rsidRDefault="00534AA2">
      <w:pPr>
        <w:ind w:left="720"/>
        <w:jc w:val="both"/>
        <w:rPr>
          <w:rFonts w:hint="cs"/>
          <w:sz w:val="26"/>
          <w:rtl/>
        </w:rPr>
      </w:pPr>
      <w:r>
        <w:rPr>
          <w:rFonts w:hint="cs"/>
          <w:sz w:val="26"/>
          <w:rtl/>
        </w:rPr>
        <w:t>הקטין מציין כי הוא מכיר את הנאשם, הוא שכן שלהם. במהלך העדות הוא קורא לו בשמו, הוא מתאר את הבית בו מתגורר הנאשם, מציין כי בבית יש אורגן. הקטין מתאר את איבר המין של הנאשם "</w:t>
      </w:r>
      <w:r>
        <w:rPr>
          <w:rFonts w:hint="cs"/>
          <w:b/>
          <w:bCs/>
          <w:sz w:val="26"/>
          <w:rtl/>
        </w:rPr>
        <w:t>גדול עם חור" "מלא שערות</w:t>
      </w:r>
      <w:r>
        <w:rPr>
          <w:rFonts w:hint="cs"/>
          <w:sz w:val="26"/>
          <w:rtl/>
        </w:rPr>
        <w:t>".</w:t>
      </w:r>
    </w:p>
    <w:p w14:paraId="2DE80C2B" w14:textId="77777777" w:rsidR="00534AA2" w:rsidRDefault="00534AA2">
      <w:pPr>
        <w:ind w:left="720"/>
        <w:jc w:val="both"/>
        <w:rPr>
          <w:rFonts w:hint="cs"/>
          <w:sz w:val="26"/>
          <w:rtl/>
        </w:rPr>
      </w:pPr>
      <w:r>
        <w:rPr>
          <w:rFonts w:hint="cs"/>
          <w:sz w:val="26"/>
          <w:rtl/>
        </w:rPr>
        <w:t>הקטין מספר לחוקר הילדים שהנאשם פגע בעוד ילדים, הוא לא ראה אבל הם סיפרו לו על כך.</w:t>
      </w:r>
    </w:p>
    <w:p w14:paraId="3A278DE9" w14:textId="77777777" w:rsidR="00534AA2" w:rsidRDefault="00534AA2">
      <w:pPr>
        <w:ind w:left="720"/>
        <w:jc w:val="both"/>
        <w:rPr>
          <w:rFonts w:hint="cs"/>
          <w:sz w:val="26"/>
          <w:rtl/>
        </w:rPr>
      </w:pPr>
    </w:p>
    <w:p w14:paraId="1A7BF7A4" w14:textId="77777777" w:rsidR="00534AA2" w:rsidRDefault="00534AA2">
      <w:pPr>
        <w:rPr>
          <w:rFonts w:hint="cs"/>
          <w:sz w:val="26"/>
          <w:rtl/>
        </w:rPr>
      </w:pPr>
      <w:r>
        <w:rPr>
          <w:rFonts w:hint="cs"/>
          <w:sz w:val="26"/>
          <w:rtl/>
        </w:rPr>
        <w:t>6.</w:t>
      </w:r>
      <w:r>
        <w:rPr>
          <w:rFonts w:hint="cs"/>
          <w:sz w:val="26"/>
          <w:rtl/>
        </w:rPr>
        <w:tab/>
        <w:t>עדותה של הסבתא (עת/4)</w:t>
      </w:r>
    </w:p>
    <w:p w14:paraId="20D819CF" w14:textId="77777777" w:rsidR="00534AA2" w:rsidRDefault="00534AA2">
      <w:pPr>
        <w:pStyle w:val="BodyText"/>
        <w:ind w:left="720"/>
        <w:rPr>
          <w:rFonts w:hint="cs"/>
          <w:rtl/>
        </w:rPr>
      </w:pPr>
      <w:r>
        <w:rPr>
          <w:rFonts w:hint="cs"/>
          <w:rtl/>
        </w:rPr>
        <w:t>עדותה של הסבתא התייחסה בעיקרה לגבי האירוע שהתרחש בביתה. עדותה לגבי אירוע זה הפכה להיות לא רלוונטית לאחר שהתביעה חזרה מהאישום של מעשה מגונה בפומבי וטוב שעשתה כך.</w:t>
      </w:r>
    </w:p>
    <w:p w14:paraId="1D62DBC4" w14:textId="77777777" w:rsidR="00534AA2" w:rsidRDefault="00534AA2">
      <w:pPr>
        <w:pStyle w:val="BodyText"/>
        <w:ind w:left="720"/>
        <w:rPr>
          <w:rFonts w:hint="cs"/>
          <w:rtl/>
        </w:rPr>
      </w:pPr>
      <w:r>
        <w:rPr>
          <w:rFonts w:hint="cs"/>
          <w:rtl/>
        </w:rPr>
        <w:t>הסבתא לא ראתה את האירוע עם הקטינה. הרלוונטיות בעדותה היא כשהיא מעידה שהנאשם נכנס לבדו עם סיר הביצים לביתה. זה תומך לכאורה בטענת הקטינה שהשאירה את סיר הביצים ליד הדלת ונמלטה ומפריך את טענת הנאשם כי לא אירע דבר עם הקטינה כאשר לדבריו, הוא נכנס עם הקטינה לבית הסבתא.</w:t>
      </w:r>
    </w:p>
    <w:p w14:paraId="74959F34" w14:textId="77777777" w:rsidR="00534AA2" w:rsidRDefault="00534AA2">
      <w:pPr>
        <w:pStyle w:val="BodyText"/>
        <w:ind w:left="720"/>
        <w:rPr>
          <w:rFonts w:hint="cs"/>
          <w:rtl/>
        </w:rPr>
      </w:pPr>
    </w:p>
    <w:p w14:paraId="2B098627" w14:textId="77777777" w:rsidR="00534AA2" w:rsidRDefault="00534AA2">
      <w:pPr>
        <w:pStyle w:val="BodyText"/>
        <w:rPr>
          <w:rFonts w:hint="cs"/>
          <w:rtl/>
        </w:rPr>
      </w:pPr>
      <w:r>
        <w:rPr>
          <w:rFonts w:hint="cs"/>
          <w:rtl/>
        </w:rPr>
        <w:t>7.</w:t>
      </w:r>
      <w:r>
        <w:rPr>
          <w:rFonts w:hint="cs"/>
          <w:rtl/>
        </w:rPr>
        <w:tab/>
        <w:t>גירסת הנאשם.</w:t>
      </w:r>
    </w:p>
    <w:p w14:paraId="276C4E2D" w14:textId="77777777" w:rsidR="00534AA2" w:rsidRDefault="00534AA2">
      <w:pPr>
        <w:pStyle w:val="BodyText"/>
        <w:ind w:left="720"/>
        <w:rPr>
          <w:rFonts w:hint="cs"/>
          <w:rtl/>
        </w:rPr>
      </w:pPr>
      <w:r>
        <w:rPr>
          <w:rFonts w:hint="cs"/>
          <w:rtl/>
        </w:rPr>
        <w:t>בפתח עדותו מאשר הנאשם כי הגירסה שמסר במשטרה היא מדוייקת. בהתייחסו לאישום השלישי הוא מעיד כי פגש בקטין וזה שאל אותו אם הוא יכול לנגן באורגן שלו, הוא השיב לו בחיוב והכניס אותו לביתו. הוא מעיד כי הקטין התחיל לנגן והוא התלהב ממנו, הרים אותו והושיב אותו על הברך השמאלית וחיבק אותו ביד השמאלית. הקטין התחיל לבכות והוא מיד אמר לו "</w:t>
      </w:r>
      <w:r>
        <w:rPr>
          <w:rFonts w:hint="cs"/>
          <w:b/>
          <w:bCs/>
          <w:rtl/>
        </w:rPr>
        <w:t>אצלי לא בוכים, אתה יכול ללכת הביתה</w:t>
      </w:r>
      <w:r>
        <w:rPr>
          <w:rFonts w:hint="cs"/>
          <w:rtl/>
        </w:rPr>
        <w:t>". הוא מתאר את הקטין כילד אהוב בשכונה כאשר כל בן אדם בשכונה אוהב אותו. הוא מאשר כי הרבה ילדים מהשכונה באים לשחק אצלו בבית.</w:t>
      </w:r>
    </w:p>
    <w:p w14:paraId="00FFDD2F" w14:textId="77777777" w:rsidR="00534AA2" w:rsidRDefault="00534AA2">
      <w:pPr>
        <w:pStyle w:val="BodyText"/>
        <w:ind w:left="720"/>
        <w:rPr>
          <w:rFonts w:hint="cs"/>
          <w:rtl/>
        </w:rPr>
      </w:pPr>
      <w:r>
        <w:rPr>
          <w:rFonts w:hint="cs"/>
          <w:rtl/>
        </w:rPr>
        <w:t>הוא שלל את הטענה שהוריד את המכנסים והושיב את הקטין על איבר מינו. לשאלה, למה הקטין בכה, הוא משיב שהוא נזכר כנראה בהצקות שהיו עושים לו בבית הכנסת של השכונה. הוא מעריך שמישהו במשפחה "חיבר" לו את הסיפור שסיפר במשטרה.</w:t>
      </w:r>
    </w:p>
    <w:p w14:paraId="72D4F677" w14:textId="77777777" w:rsidR="00534AA2" w:rsidRDefault="00534AA2">
      <w:pPr>
        <w:pStyle w:val="BodyText"/>
        <w:ind w:left="720"/>
        <w:rPr>
          <w:rFonts w:hint="cs"/>
          <w:rtl/>
        </w:rPr>
      </w:pPr>
      <w:r>
        <w:rPr>
          <w:rFonts w:hint="cs"/>
          <w:rtl/>
        </w:rPr>
        <w:t>באשר לאישום השני, הוא מודה שפגש בקטינה כשהיא מחזיקה בסיר עם "קובנה". הוא התלהב מהקובנה ורץ אחריה. היא עלתה למדרגות ונכנסה לבית הסבתא עם הסיר והוא אחריה אבל לא חיבק אותה ולא נגע בה. הוא מציין כי יתכן שהוריד את מכנסיו בבית הסבתא כי היה מסומם.</w:t>
      </w:r>
    </w:p>
    <w:p w14:paraId="6F001B61" w14:textId="77777777" w:rsidR="00534AA2" w:rsidRDefault="00534AA2">
      <w:pPr>
        <w:pStyle w:val="BodyText"/>
        <w:ind w:left="720"/>
        <w:rPr>
          <w:rFonts w:hint="cs"/>
          <w:rtl/>
        </w:rPr>
      </w:pPr>
    </w:p>
    <w:p w14:paraId="7227500C" w14:textId="77777777" w:rsidR="00534AA2" w:rsidRDefault="00534AA2">
      <w:pPr>
        <w:pStyle w:val="BodyText"/>
        <w:ind w:left="720"/>
        <w:rPr>
          <w:rFonts w:hint="cs"/>
          <w:rtl/>
        </w:rPr>
      </w:pPr>
      <w:r>
        <w:rPr>
          <w:rFonts w:hint="cs"/>
          <w:rtl/>
        </w:rPr>
        <w:t xml:space="preserve">במהלך חקירתו הראשית חזר מספר רב של פעמים וביקש לזמן לעדות את יוסף </w:t>
      </w:r>
      <w:r>
        <w:rPr>
          <w:rFonts w:hint="cs"/>
          <w:b/>
          <w:bCs/>
          <w:rtl/>
        </w:rPr>
        <w:t xml:space="preserve">"זה שעבד עליו עם סמים וסימם אותו כל התקופה האחרונה... ומביא לו וודקה 95%...". </w:t>
      </w:r>
      <w:r>
        <w:rPr>
          <w:rFonts w:hint="cs"/>
          <w:rtl/>
        </w:rPr>
        <w:t>לדבריו, יוסף זה השכן שלו שהיה עובד עליו בעיניים והיה מסמם אותו וממסטל אותו.</w:t>
      </w:r>
    </w:p>
    <w:p w14:paraId="6936C748" w14:textId="77777777" w:rsidR="00534AA2" w:rsidRDefault="00534AA2">
      <w:pPr>
        <w:pStyle w:val="BodyText"/>
        <w:ind w:left="720"/>
        <w:rPr>
          <w:rFonts w:hint="cs"/>
          <w:rtl/>
        </w:rPr>
      </w:pPr>
    </w:p>
    <w:p w14:paraId="7587F6C9" w14:textId="77777777" w:rsidR="00534AA2" w:rsidRDefault="00534AA2">
      <w:pPr>
        <w:pStyle w:val="BodyText"/>
        <w:ind w:left="720"/>
        <w:rPr>
          <w:rFonts w:hint="cs"/>
          <w:rtl/>
        </w:rPr>
      </w:pPr>
      <w:r>
        <w:rPr>
          <w:rFonts w:hint="cs"/>
          <w:rtl/>
        </w:rPr>
        <w:t xml:space="preserve">בחקירה נגדית הוא חוזר ומתייחס ליוסף, זה האדם לדבריו, כמי ששיכר אותו עם משקאות. הוא לא שולל את האפשרות שהפשיל את מכנסיו בבית הסבתא וחשף בפניה את ישבנו ואיבר מינו. הוא מאשר כי כאשר היה בביתה, הרגיש שהוא מגורה (במהלך הדברים הנאשם מניח פעם אחר פעם את ידו על איבר מינו. באחת הפעמים שפשף ידו על איבר המין). </w:t>
      </w:r>
    </w:p>
    <w:p w14:paraId="7C1370DB" w14:textId="77777777" w:rsidR="00534AA2" w:rsidRDefault="00534AA2">
      <w:pPr>
        <w:pStyle w:val="BodyText"/>
        <w:ind w:left="720"/>
        <w:rPr>
          <w:rFonts w:hint="cs"/>
          <w:rtl/>
        </w:rPr>
      </w:pPr>
      <w:r>
        <w:rPr>
          <w:rFonts w:hint="cs"/>
          <w:rtl/>
        </w:rPr>
        <w:t>כשהוא נשאל על ידי התובעת, אם הרגיש מגורה גם כשפגש את הקטינה הוא משיב "</w:t>
      </w:r>
      <w:r>
        <w:rPr>
          <w:rFonts w:hint="cs"/>
          <w:b/>
          <w:bCs/>
          <w:rtl/>
        </w:rPr>
        <w:t>כן, היה שם משהו</w:t>
      </w:r>
      <w:r>
        <w:rPr>
          <w:rFonts w:hint="cs"/>
          <w:rtl/>
        </w:rPr>
        <w:t>" והוא ממשיך ואז נכנס הביתה והרגיש שהוא מגורה.</w:t>
      </w:r>
    </w:p>
    <w:p w14:paraId="10DD7ADF" w14:textId="77777777" w:rsidR="00534AA2" w:rsidRDefault="00534AA2">
      <w:pPr>
        <w:pStyle w:val="BodyText"/>
        <w:ind w:left="720"/>
        <w:rPr>
          <w:rFonts w:hint="cs"/>
          <w:rtl/>
        </w:rPr>
      </w:pPr>
      <w:r>
        <w:rPr>
          <w:rFonts w:hint="cs"/>
          <w:rtl/>
        </w:rPr>
        <w:t>לגבי האירוע עם הקטין, הוא חוזר על הגירסה שמסר בחקירה הראשית. בהמשך, הוא לא שולל את האפשרות שכאשר הקטין ישב על הברך שלו, הוא הרגיש את איבר המין שלו.</w:t>
      </w:r>
    </w:p>
    <w:p w14:paraId="1BBF737D" w14:textId="77777777" w:rsidR="00534AA2" w:rsidRDefault="00534AA2">
      <w:pPr>
        <w:pStyle w:val="BodyText"/>
        <w:ind w:left="720"/>
        <w:rPr>
          <w:rFonts w:hint="cs"/>
          <w:rtl/>
        </w:rPr>
      </w:pPr>
    </w:p>
    <w:p w14:paraId="1ABE37E9" w14:textId="77777777" w:rsidR="00534AA2" w:rsidRDefault="00534AA2">
      <w:pPr>
        <w:pStyle w:val="BodyText"/>
        <w:rPr>
          <w:rFonts w:hint="cs"/>
          <w:rtl/>
        </w:rPr>
      </w:pPr>
      <w:r>
        <w:rPr>
          <w:rFonts w:hint="cs"/>
          <w:rtl/>
        </w:rPr>
        <w:tab/>
        <w:t>גירסת הנאשם בחקירה במשטרה</w:t>
      </w:r>
    </w:p>
    <w:p w14:paraId="0E73B3A6" w14:textId="77777777" w:rsidR="00534AA2" w:rsidRDefault="00534AA2">
      <w:pPr>
        <w:pStyle w:val="BodyText"/>
        <w:ind w:left="720"/>
        <w:rPr>
          <w:rFonts w:hint="cs"/>
          <w:rtl/>
        </w:rPr>
      </w:pPr>
      <w:r>
        <w:rPr>
          <w:rFonts w:hint="cs"/>
          <w:rtl/>
        </w:rPr>
        <w:t>הנאשם מסר שתי הודעות במשטרה - הראשונה ביום 20/04/04 (ת/2) והודעה נוספת ביום 21/04/04 (ת/3).</w:t>
      </w:r>
    </w:p>
    <w:p w14:paraId="07BF9E28" w14:textId="77777777" w:rsidR="00534AA2" w:rsidRDefault="00534AA2">
      <w:pPr>
        <w:pStyle w:val="BodyText"/>
        <w:ind w:left="720"/>
        <w:rPr>
          <w:rFonts w:hint="cs"/>
          <w:rtl/>
        </w:rPr>
      </w:pPr>
      <w:r>
        <w:rPr>
          <w:rFonts w:hint="cs"/>
          <w:rtl/>
        </w:rPr>
        <w:t>בעיקרי הדברים, באשר לאירועים עצמם, גירסתו במשטרה תואמת את הגירסה בבית המשפט.</w:t>
      </w:r>
    </w:p>
    <w:p w14:paraId="5D231682" w14:textId="77777777" w:rsidR="00534AA2" w:rsidRDefault="00534AA2">
      <w:pPr>
        <w:pStyle w:val="BodyText"/>
        <w:ind w:left="720"/>
        <w:rPr>
          <w:rFonts w:hint="cs"/>
          <w:rtl/>
        </w:rPr>
      </w:pPr>
      <w:r>
        <w:rPr>
          <w:rFonts w:hint="cs"/>
          <w:rtl/>
        </w:rPr>
        <w:t>הסיפור המוזר שהעלה בבית המשפט לגבי יוסף נשמע כהלצה ואין בו ולא כלום. אני מציינת למעלה מן הצורך שזכרו של יוסף לא עלה בחקירה במשטרה.</w:t>
      </w:r>
    </w:p>
    <w:p w14:paraId="262358FD" w14:textId="77777777" w:rsidR="00534AA2" w:rsidRDefault="00534AA2">
      <w:pPr>
        <w:pStyle w:val="BodyText"/>
        <w:ind w:left="720"/>
        <w:rPr>
          <w:rFonts w:hint="cs"/>
          <w:rtl/>
        </w:rPr>
      </w:pPr>
    </w:p>
    <w:p w14:paraId="35199AA2" w14:textId="77777777" w:rsidR="00534AA2" w:rsidRDefault="00534AA2">
      <w:pPr>
        <w:pStyle w:val="BodyText"/>
        <w:ind w:left="720" w:hanging="720"/>
        <w:rPr>
          <w:rFonts w:hint="cs"/>
          <w:rtl/>
        </w:rPr>
      </w:pPr>
      <w:r>
        <w:rPr>
          <w:rFonts w:hint="cs"/>
          <w:rtl/>
        </w:rPr>
        <w:t>8.</w:t>
      </w:r>
      <w:r>
        <w:rPr>
          <w:rFonts w:hint="cs"/>
          <w:rtl/>
        </w:rPr>
        <w:tab/>
        <w:t>חוקר הילדים השתמש באותה שיטת חקירה לגבי שני הקטינים. הוא העיד לגבי התרשמותו מעדות הקטינים. חוקר הילדים קובע שעדותם מהימנה.</w:t>
      </w:r>
    </w:p>
    <w:p w14:paraId="324DFF96" w14:textId="77777777" w:rsidR="00534AA2" w:rsidRDefault="00534AA2">
      <w:pPr>
        <w:pStyle w:val="BodyText"/>
        <w:ind w:left="720"/>
        <w:rPr>
          <w:rFonts w:hint="cs"/>
          <w:rtl/>
        </w:rPr>
      </w:pPr>
      <w:r>
        <w:rPr>
          <w:rFonts w:hint="cs"/>
          <w:rtl/>
        </w:rPr>
        <w:t>הקביעה מבוססת על קריטריונים מקצועיים המקובלים היום בשיטת החקירה של הקטינים (דיבור לא מובנה, מסירת פרטים, אינטרקציות, הקונטקסט, רצון לדייק והעדר מגמת הפללה).</w:t>
      </w:r>
    </w:p>
    <w:p w14:paraId="7552E2F3" w14:textId="77777777" w:rsidR="00534AA2" w:rsidRDefault="00534AA2">
      <w:pPr>
        <w:pStyle w:val="BodyText"/>
        <w:ind w:left="720"/>
        <w:rPr>
          <w:rFonts w:hint="cs"/>
          <w:rtl/>
        </w:rPr>
      </w:pPr>
      <w:r>
        <w:rPr>
          <w:rFonts w:hint="cs"/>
          <w:rtl/>
        </w:rPr>
        <w:t>עדותם של הקטינים הייתה שוטפת והם נעזרו בהדגמות. במהלך חקירתו, הוגשו הדו"חות ת/4 ות/9.</w:t>
      </w:r>
    </w:p>
    <w:p w14:paraId="07D96CBB" w14:textId="77777777" w:rsidR="00534AA2" w:rsidRDefault="00534AA2">
      <w:pPr>
        <w:pStyle w:val="BodyText"/>
        <w:ind w:left="720"/>
        <w:rPr>
          <w:rFonts w:hint="cs"/>
          <w:rtl/>
        </w:rPr>
      </w:pPr>
      <w:r>
        <w:rPr>
          <w:rFonts w:hint="cs"/>
          <w:rtl/>
        </w:rPr>
        <w:t>צפיתי בקלטות ושמעתי עדותו של חוקר הילדים והתרשמתי שחוקר הילדים עשה עבודתו במקצועיות. אני מאמצת מסקנתו לגבי אמינותם של הקטינים.</w:t>
      </w:r>
    </w:p>
    <w:p w14:paraId="3B2CFD81" w14:textId="77777777" w:rsidR="00534AA2" w:rsidRDefault="00534AA2">
      <w:pPr>
        <w:pStyle w:val="BodyText"/>
        <w:ind w:left="720"/>
        <w:rPr>
          <w:rFonts w:hint="cs"/>
          <w:rtl/>
        </w:rPr>
      </w:pPr>
      <w:r>
        <w:rPr>
          <w:rFonts w:hint="cs"/>
          <w:rtl/>
        </w:rPr>
        <w:t>הצפייה בקלטות סייעה בידי להתרשם מהקטינים בעת מסירת העדות.</w:t>
      </w:r>
    </w:p>
    <w:p w14:paraId="480600D9" w14:textId="77777777" w:rsidR="00534AA2" w:rsidRDefault="00534AA2">
      <w:pPr>
        <w:pStyle w:val="BodyText"/>
        <w:ind w:left="720"/>
        <w:rPr>
          <w:rFonts w:hint="cs"/>
          <w:rtl/>
        </w:rPr>
      </w:pPr>
      <w:r>
        <w:rPr>
          <w:rFonts w:hint="cs"/>
          <w:rtl/>
        </w:rPr>
        <w:t>אופן מסירת העדות, תוכן הדברים וההקשר ביניהם והתנהגותם במהלך העדות, שכנעו אותי כי לא מדובר ב"המצאה" אלא באירועים שהם חוו על גופם.</w:t>
      </w:r>
    </w:p>
    <w:p w14:paraId="295B6D82" w14:textId="77777777" w:rsidR="00534AA2" w:rsidRDefault="00534AA2">
      <w:pPr>
        <w:pStyle w:val="BodyText"/>
        <w:ind w:left="720"/>
        <w:rPr>
          <w:rFonts w:hint="cs"/>
          <w:rtl/>
        </w:rPr>
      </w:pPr>
      <w:r>
        <w:rPr>
          <w:rFonts w:hint="cs"/>
          <w:rtl/>
        </w:rPr>
        <w:t>הקטינים ביטאו את עצמם בפני חוקר הילדים בשפה חד משמעית. התיאורים שנתנו אינם פרי דמיונם, בעיקר אמורים הדברים לגבי עדותו של הקטין והתיאורים הפלסטיים שנתן לגבי האירוע. אלה אינם מותירים מקום לספק שמדובר באירועים שהתרחשו.</w:t>
      </w:r>
    </w:p>
    <w:p w14:paraId="3384E48D" w14:textId="77777777" w:rsidR="00534AA2" w:rsidRDefault="00534AA2">
      <w:pPr>
        <w:pStyle w:val="BodyText"/>
        <w:ind w:left="720"/>
        <w:rPr>
          <w:rFonts w:hint="cs"/>
          <w:rtl/>
        </w:rPr>
      </w:pPr>
      <w:r>
        <w:rPr>
          <w:rFonts w:hint="cs"/>
          <w:rtl/>
        </w:rPr>
        <w:t>מאחר והייתה היכרות מוקדמת בין הקטינים לנאשם, שאלת הזיהוי לא הייתה בספק. הפרטים שמסרו לגביו לא היו מפתיעים מאחר והיה מוכר להם.</w:t>
      </w:r>
    </w:p>
    <w:p w14:paraId="0C40C447" w14:textId="77777777" w:rsidR="00534AA2" w:rsidRDefault="00534AA2">
      <w:pPr>
        <w:pStyle w:val="BodyText"/>
        <w:ind w:left="720"/>
        <w:rPr>
          <w:rFonts w:hint="cs"/>
          <w:rtl/>
        </w:rPr>
      </w:pPr>
      <w:r>
        <w:rPr>
          <w:rFonts w:hint="cs"/>
          <w:rtl/>
        </w:rPr>
        <w:t>אני שוללת מכל וכל את הטענה שעדותם של הקטינים הייתה מגמתית וכי עדותם הושפעה באופן ישיר מהאם והיא הכינה אותם לעדות. אין בסיס לטענה זו.</w:t>
      </w:r>
    </w:p>
    <w:p w14:paraId="2BB67D1C" w14:textId="77777777" w:rsidR="00534AA2" w:rsidRDefault="00534AA2">
      <w:pPr>
        <w:pStyle w:val="BodyText"/>
        <w:ind w:left="720"/>
        <w:rPr>
          <w:rFonts w:hint="cs"/>
          <w:rtl/>
        </w:rPr>
      </w:pPr>
    </w:p>
    <w:p w14:paraId="12EA602F" w14:textId="77777777" w:rsidR="00534AA2" w:rsidRDefault="00534AA2">
      <w:pPr>
        <w:pStyle w:val="BodyText"/>
        <w:ind w:left="720" w:hanging="720"/>
        <w:rPr>
          <w:rFonts w:hint="cs"/>
          <w:rtl/>
        </w:rPr>
      </w:pPr>
      <w:r>
        <w:rPr>
          <w:rFonts w:hint="cs"/>
          <w:rtl/>
        </w:rPr>
        <w:t>9.</w:t>
      </w:r>
      <w:r>
        <w:rPr>
          <w:rFonts w:hint="cs"/>
          <w:rtl/>
        </w:rPr>
        <w:tab/>
        <w:t>בניגוד לגירסתםשל הקטינים, הנאשם מסר עדות בלתי אמינה. במהלך העדות ניסה להסיח את הדעת כאשר מדי פעם חזר לדבר על יוסף (זה שמסמם אותו). על פי התרשמותי, הנאשם אינו אדם תמהוני ואינו מבולבל כפי שהוא מנסה להציג את עצמו. הוא מניפולטיבי, מבין היטב את מעשיו, הבין היטב את השאלות שנשאל וכיוון את התשובות בצורה מודעת.</w:t>
      </w:r>
    </w:p>
    <w:p w14:paraId="4478A9B7" w14:textId="77777777" w:rsidR="00534AA2" w:rsidRDefault="00534AA2">
      <w:pPr>
        <w:pStyle w:val="BodyText"/>
        <w:ind w:left="720"/>
        <w:rPr>
          <w:rFonts w:hint="cs"/>
          <w:rtl/>
        </w:rPr>
      </w:pPr>
      <w:r>
        <w:rPr>
          <w:rFonts w:hint="cs"/>
          <w:rtl/>
        </w:rPr>
        <w:t>טענתו כי הקטינים העידו מה שהאם חיברה עבורם, אין לה על מה שתסמוך.</w:t>
      </w:r>
    </w:p>
    <w:p w14:paraId="6413A5A0" w14:textId="77777777" w:rsidR="00534AA2" w:rsidRDefault="00534AA2">
      <w:pPr>
        <w:pStyle w:val="BodyText"/>
        <w:ind w:left="720" w:hanging="720"/>
        <w:rPr>
          <w:rFonts w:hint="cs"/>
          <w:rtl/>
        </w:rPr>
      </w:pPr>
    </w:p>
    <w:p w14:paraId="60C5C44A" w14:textId="77777777" w:rsidR="00534AA2" w:rsidRDefault="00534AA2">
      <w:pPr>
        <w:pStyle w:val="BodyText"/>
        <w:ind w:left="720" w:hanging="720"/>
        <w:rPr>
          <w:rFonts w:hint="cs"/>
          <w:rtl/>
        </w:rPr>
      </w:pPr>
      <w:r>
        <w:rPr>
          <w:rFonts w:hint="cs"/>
          <w:rtl/>
        </w:rPr>
        <w:t>10.</w:t>
      </w:r>
      <w:r>
        <w:rPr>
          <w:rFonts w:hint="cs"/>
          <w:rtl/>
        </w:rPr>
        <w:tab/>
        <w:t xml:space="preserve">לפי </w:t>
      </w:r>
      <w:hyperlink r:id="rId12" w:history="1">
        <w:r w:rsidR="009468DF" w:rsidRPr="009468DF">
          <w:rPr>
            <w:color w:val="0000FF"/>
            <w:u w:val="single"/>
            <w:rtl/>
          </w:rPr>
          <w:t>סעיף 11</w:t>
        </w:r>
      </w:hyperlink>
      <w:r>
        <w:rPr>
          <w:rFonts w:hint="cs"/>
          <w:rtl/>
        </w:rPr>
        <w:t xml:space="preserve"> ל</w:t>
      </w:r>
      <w:hyperlink r:id="rId13" w:history="1">
        <w:r w:rsidR="002C0E69" w:rsidRPr="002C0E69">
          <w:rPr>
            <w:rStyle w:val="Hyperlink"/>
            <w:rFonts w:hint="eastAsia"/>
            <w:rtl/>
          </w:rPr>
          <w:t>חוק</w:t>
        </w:r>
        <w:r w:rsidR="002C0E69" w:rsidRPr="002C0E69">
          <w:rPr>
            <w:rStyle w:val="Hyperlink"/>
            <w:rtl/>
          </w:rPr>
          <w:t xml:space="preserve"> לתיקון דיני ראיות (הגנת ילדים)</w:t>
        </w:r>
      </w:hyperlink>
      <w:r>
        <w:rPr>
          <w:rFonts w:hint="cs"/>
          <w:rtl/>
        </w:rPr>
        <w:t>, תשט"ו-1955, אין לבסס הרשעה בפלילים על סמך הודעת קטין שנתקבלה כראיה באמצעות חוקר ילדים, אלה אם יש ראייה מסייעת לצידה. הסיוע צריך לבוא ממקור עצמאי המסבך את הנאשם בביצוע המעשה והראייה צריכה להתייחס לנקודה ממשית השנויה במחלוקת (</w:t>
      </w:r>
      <w:hyperlink r:id="rId14" w:history="1">
        <w:r w:rsidR="002C0E69" w:rsidRPr="002C0E69">
          <w:rPr>
            <w:rStyle w:val="Hyperlink"/>
            <w:rFonts w:hint="eastAsia"/>
            <w:rtl/>
          </w:rPr>
          <w:t>ע</w:t>
        </w:r>
        <w:r w:rsidR="002C0E69" w:rsidRPr="002C0E69">
          <w:rPr>
            <w:rStyle w:val="Hyperlink"/>
            <w:rtl/>
          </w:rPr>
          <w:t>.פ.4009/90 פד"י מז</w:t>
        </w:r>
      </w:hyperlink>
      <w:r>
        <w:rPr>
          <w:rFonts w:hint="cs"/>
          <w:rtl/>
        </w:rPr>
        <w:t>' (1) 292).</w:t>
      </w:r>
    </w:p>
    <w:p w14:paraId="1E082A92" w14:textId="77777777" w:rsidR="00534AA2" w:rsidRDefault="00534AA2">
      <w:pPr>
        <w:pStyle w:val="BodyText"/>
        <w:ind w:left="720"/>
        <w:rPr>
          <w:rFonts w:hint="cs"/>
          <w:rtl/>
        </w:rPr>
      </w:pPr>
      <w:r>
        <w:rPr>
          <w:rFonts w:hint="cs"/>
          <w:rtl/>
        </w:rPr>
        <w:t>הפסיקה קבעה כי מצב נפשי של מתלונן בעבירות מין יכול להוות סיוע כשזה נדרש.</w:t>
      </w:r>
    </w:p>
    <w:p w14:paraId="3A55D4CB" w14:textId="77777777" w:rsidR="00534AA2" w:rsidRDefault="00534AA2">
      <w:pPr>
        <w:pStyle w:val="BodyText"/>
        <w:ind w:left="720"/>
        <w:rPr>
          <w:rFonts w:hint="cs"/>
          <w:rtl/>
        </w:rPr>
      </w:pPr>
      <w:r>
        <w:rPr>
          <w:rFonts w:hint="cs"/>
          <w:rtl/>
        </w:rPr>
        <w:t>את הסיוע לעדות הקטינים אני מוצאת במצבם הנפשי, בעת שתיארו בפני האם, את מה שהנאשם עולל להם.</w:t>
      </w:r>
    </w:p>
    <w:p w14:paraId="09D13A9A" w14:textId="77777777" w:rsidR="00534AA2" w:rsidRDefault="00534AA2">
      <w:pPr>
        <w:pStyle w:val="BodyText"/>
        <w:ind w:left="720"/>
        <w:rPr>
          <w:rFonts w:hint="cs"/>
          <w:rtl/>
        </w:rPr>
      </w:pPr>
      <w:r>
        <w:rPr>
          <w:rFonts w:hint="cs"/>
          <w:rtl/>
        </w:rPr>
        <w:t>לגבי הקטינה, האם העידה "</w:t>
      </w:r>
      <w:r>
        <w:rPr>
          <w:rFonts w:hint="cs"/>
          <w:b/>
          <w:bCs/>
          <w:rtl/>
        </w:rPr>
        <w:t>כי הייתה רועדת... היא רעדה כולה</w:t>
      </w:r>
      <w:r>
        <w:rPr>
          <w:rFonts w:hint="cs"/>
          <w:rtl/>
        </w:rPr>
        <w:t xml:space="preserve">". לגבי הקטין </w:t>
      </w:r>
      <w:r>
        <w:rPr>
          <w:rFonts w:hint="cs"/>
          <w:b/>
          <w:bCs/>
          <w:rtl/>
        </w:rPr>
        <w:t>"הוא היה מבולבל, רעד, מדבר מהר, היה בלחץ</w:t>
      </w:r>
      <w:r>
        <w:rPr>
          <w:rFonts w:hint="cs"/>
          <w:rtl/>
        </w:rPr>
        <w:t>".</w:t>
      </w:r>
    </w:p>
    <w:p w14:paraId="3AC1EB08" w14:textId="77777777" w:rsidR="00534AA2" w:rsidRDefault="00534AA2">
      <w:pPr>
        <w:pStyle w:val="BodyText"/>
        <w:ind w:left="720"/>
        <w:rPr>
          <w:rFonts w:hint="cs"/>
          <w:rtl/>
        </w:rPr>
      </w:pPr>
      <w:r>
        <w:rPr>
          <w:rFonts w:hint="cs"/>
          <w:rtl/>
        </w:rPr>
        <w:t>תמיכה נוספת לעדות הקטינה מצאתי בעדותה של הסבתא שהעידה כי הקטינה לא הגיעה לביתה והנאשם נכנס לבדו עם הסיר.</w:t>
      </w:r>
    </w:p>
    <w:p w14:paraId="3C625784" w14:textId="77777777" w:rsidR="00534AA2" w:rsidRDefault="00534AA2">
      <w:pPr>
        <w:pStyle w:val="BodyText"/>
        <w:ind w:left="720"/>
        <w:rPr>
          <w:rFonts w:hint="cs"/>
          <w:rtl/>
        </w:rPr>
      </w:pPr>
    </w:p>
    <w:p w14:paraId="23C432FB" w14:textId="77777777" w:rsidR="00534AA2" w:rsidRDefault="00534AA2">
      <w:pPr>
        <w:pStyle w:val="BodyText"/>
        <w:ind w:left="720" w:hanging="720"/>
        <w:rPr>
          <w:rFonts w:hint="cs"/>
          <w:rtl/>
        </w:rPr>
      </w:pPr>
      <w:r>
        <w:rPr>
          <w:rFonts w:hint="cs"/>
          <w:rtl/>
        </w:rPr>
        <w:t>11.</w:t>
      </w:r>
      <w:r>
        <w:rPr>
          <w:rFonts w:hint="cs"/>
          <w:rtl/>
        </w:rPr>
        <w:tab/>
        <w:t>הסניגור טען בסיכומיו כי אפילו אם יקבע בית המשפט שהנאשם ביצע את המיוחס לו כלפי הקטינה, גם אז המעשים אינם מגבשים עבירה של מעשה מגונה.</w:t>
      </w:r>
    </w:p>
    <w:p w14:paraId="38E47A5C" w14:textId="77777777" w:rsidR="00534AA2" w:rsidRDefault="00534AA2">
      <w:pPr>
        <w:pStyle w:val="BodyText"/>
        <w:ind w:left="720"/>
        <w:rPr>
          <w:rFonts w:hint="cs"/>
          <w:rtl/>
        </w:rPr>
      </w:pPr>
      <w:r>
        <w:rPr>
          <w:rFonts w:hint="cs"/>
          <w:rtl/>
        </w:rPr>
        <w:t>אין בידי לקבל הטיעון הנ"ל.</w:t>
      </w:r>
    </w:p>
    <w:p w14:paraId="3036F796" w14:textId="77777777" w:rsidR="00534AA2" w:rsidRDefault="009468DF">
      <w:pPr>
        <w:pStyle w:val="BodyText"/>
        <w:ind w:left="720"/>
        <w:rPr>
          <w:rFonts w:hint="cs"/>
          <w:b/>
          <w:bCs/>
          <w:rtl/>
        </w:rPr>
      </w:pPr>
      <w:hyperlink r:id="rId15" w:history="1">
        <w:r w:rsidRPr="009468DF">
          <w:rPr>
            <w:color w:val="0000FF"/>
            <w:u w:val="single"/>
            <w:rtl/>
          </w:rPr>
          <w:t>סעיף 348 (ו)</w:t>
        </w:r>
      </w:hyperlink>
      <w:r w:rsidR="00534AA2">
        <w:rPr>
          <w:rFonts w:hint="cs"/>
          <w:rtl/>
        </w:rPr>
        <w:t xml:space="preserve"> מגדיר מעשה מגונה "</w:t>
      </w:r>
      <w:r w:rsidR="00534AA2">
        <w:rPr>
          <w:rFonts w:hint="cs"/>
          <w:b/>
          <w:bCs/>
          <w:rtl/>
        </w:rPr>
        <w:t>מעשים לשם גירוי, סיפוק או ביזוי מיניים".</w:t>
      </w:r>
    </w:p>
    <w:p w14:paraId="47C4F901" w14:textId="77777777" w:rsidR="00534AA2" w:rsidRDefault="00534AA2">
      <w:pPr>
        <w:pStyle w:val="BodyText"/>
        <w:ind w:left="720"/>
        <w:rPr>
          <w:rFonts w:hint="cs"/>
          <w:rtl/>
        </w:rPr>
      </w:pPr>
      <w:r>
        <w:rPr>
          <w:rFonts w:hint="cs"/>
          <w:rtl/>
        </w:rPr>
        <w:t>על פי עדותה של הקטינה, הנאשם נצמד לגופה פעמיים כשהוא חובק אותה מאחורנית. הטענה שהעלה הנאשם בקשר ל"קובנה" היא טענת סרק. הנאשם נשאל בחקירתו הנגדית אם הרגיש מגורה כשפגש את הקטינה והוא השיב "</w:t>
      </w:r>
      <w:r>
        <w:rPr>
          <w:rFonts w:hint="cs"/>
          <w:b/>
          <w:bCs/>
          <w:rtl/>
        </w:rPr>
        <w:t>כן, היה שם משהו</w:t>
      </w:r>
      <w:r>
        <w:rPr>
          <w:rFonts w:hint="cs"/>
          <w:rtl/>
        </w:rPr>
        <w:t>". די בתשובה זו בנסיבות שהוכחו כדי לקבוע שהנאשם ביצע את המעשה לשם גירוי וסיפוק מיני.</w:t>
      </w:r>
    </w:p>
    <w:p w14:paraId="6A916816" w14:textId="77777777" w:rsidR="00534AA2" w:rsidRDefault="00534AA2">
      <w:pPr>
        <w:pStyle w:val="BodyText"/>
        <w:ind w:left="720"/>
        <w:rPr>
          <w:rFonts w:hint="cs"/>
          <w:rtl/>
        </w:rPr>
      </w:pPr>
    </w:p>
    <w:p w14:paraId="67531431" w14:textId="77777777" w:rsidR="00534AA2" w:rsidRDefault="00534AA2">
      <w:pPr>
        <w:pStyle w:val="BodyText"/>
        <w:ind w:left="720"/>
        <w:rPr>
          <w:rFonts w:hint="cs"/>
          <w:rtl/>
        </w:rPr>
      </w:pPr>
      <w:r>
        <w:rPr>
          <w:rFonts w:hint="cs"/>
          <w:rtl/>
        </w:rPr>
        <w:t>סיכומו של דבר, אני קובעת כדלהלן:</w:t>
      </w:r>
    </w:p>
    <w:p w14:paraId="793A93D5" w14:textId="77777777" w:rsidR="00534AA2" w:rsidRDefault="00534AA2">
      <w:pPr>
        <w:pStyle w:val="BodyText"/>
        <w:ind w:left="720"/>
        <w:rPr>
          <w:rFonts w:hint="cs"/>
          <w:rtl/>
        </w:rPr>
      </w:pPr>
      <w:r>
        <w:rPr>
          <w:rFonts w:hint="cs"/>
          <w:rtl/>
        </w:rPr>
        <w:t>אני מזכה את הנאשם מהעבירות המיוחסות לו מהאישום הראשון והרביעי ומהעבירה של המעשה המגונה בפומבי מהאישום השני.</w:t>
      </w:r>
    </w:p>
    <w:p w14:paraId="57465221" w14:textId="77777777" w:rsidR="00534AA2" w:rsidRDefault="00534AA2">
      <w:pPr>
        <w:pStyle w:val="BodyText"/>
        <w:ind w:left="720"/>
        <w:rPr>
          <w:rFonts w:hint="cs"/>
          <w:rtl/>
        </w:rPr>
      </w:pPr>
      <w:r>
        <w:rPr>
          <w:rFonts w:hint="cs"/>
          <w:rtl/>
        </w:rPr>
        <w:t xml:space="preserve">אני מרשיעה אותו בשתי עבירות של מעשה מגונה בקטין שטרם מלאו לו 14, עבירה לפי </w:t>
      </w:r>
      <w:hyperlink r:id="rId16" w:history="1">
        <w:r w:rsidR="009468DF" w:rsidRPr="009468DF">
          <w:rPr>
            <w:color w:val="0000FF"/>
            <w:u w:val="single"/>
            <w:rtl/>
          </w:rPr>
          <w:t>סעיף 348 (א)</w:t>
        </w:r>
      </w:hyperlink>
      <w:r>
        <w:rPr>
          <w:rFonts w:hint="cs"/>
          <w:rtl/>
        </w:rPr>
        <w:t xml:space="preserve"> בנסיבות שפורטו </w:t>
      </w:r>
      <w:hyperlink r:id="rId17" w:history="1">
        <w:r w:rsidR="009468DF" w:rsidRPr="009468DF">
          <w:rPr>
            <w:color w:val="0000FF"/>
            <w:u w:val="single"/>
            <w:rtl/>
          </w:rPr>
          <w:t>בסעיף 345 (א) (3) (א)</w:t>
        </w:r>
      </w:hyperlink>
      <w:r>
        <w:rPr>
          <w:rFonts w:hint="cs"/>
          <w:rtl/>
        </w:rPr>
        <w:t xml:space="preserve"> ל</w:t>
      </w:r>
      <w:hyperlink r:id="rId18" w:history="1">
        <w:r w:rsidR="002C0E69" w:rsidRPr="002C0E69">
          <w:rPr>
            <w:rStyle w:val="Hyperlink"/>
            <w:rFonts w:hint="eastAsia"/>
            <w:rtl/>
          </w:rPr>
          <w:t>חוק</w:t>
        </w:r>
        <w:r w:rsidR="002C0E69" w:rsidRPr="002C0E69">
          <w:rPr>
            <w:rStyle w:val="Hyperlink"/>
            <w:rtl/>
          </w:rPr>
          <w:t xml:space="preserve"> העונשין</w:t>
        </w:r>
      </w:hyperlink>
      <w:r>
        <w:rPr>
          <w:rFonts w:hint="cs"/>
          <w:rtl/>
        </w:rPr>
        <w:t>, תשל"ז-1977 (אישום שני ושלישי).</w:t>
      </w:r>
    </w:p>
    <w:p w14:paraId="3FC9B0A7" w14:textId="77777777" w:rsidR="00534AA2" w:rsidRDefault="00534AA2">
      <w:pPr>
        <w:pStyle w:val="BodyText"/>
        <w:ind w:left="720"/>
        <w:rPr>
          <w:rFonts w:hint="cs"/>
          <w:rtl/>
        </w:rPr>
      </w:pPr>
    </w:p>
    <w:p w14:paraId="378AC964" w14:textId="77777777" w:rsidR="00534AA2" w:rsidRDefault="00534AA2">
      <w:pPr>
        <w:pStyle w:val="BodyText"/>
        <w:rPr>
          <w:rFonts w:hint="cs"/>
          <w:rtl/>
        </w:rPr>
      </w:pPr>
      <w:r>
        <w:rPr>
          <w:rFonts w:hint="cs"/>
          <w:rtl/>
        </w:rPr>
        <w:t>ניתן צו איסום פרסום שמם של הקטינים וכל פרט מזהה אחר.</w:t>
      </w:r>
    </w:p>
    <w:p w14:paraId="625CC92F" w14:textId="77777777" w:rsidR="00534AA2" w:rsidRDefault="00534AA2">
      <w:pPr>
        <w:pStyle w:val="BodyText"/>
        <w:rPr>
          <w:rFonts w:hint="cs"/>
          <w:rtl/>
        </w:rPr>
      </w:pPr>
    </w:p>
    <w:p w14:paraId="1C9EF155" w14:textId="77777777" w:rsidR="00534AA2" w:rsidRDefault="00534AA2">
      <w:pPr>
        <w:rPr>
          <w:rFonts w:hint="cs"/>
          <w:sz w:val="28"/>
          <w:szCs w:val="28"/>
          <w:rtl/>
        </w:rPr>
      </w:pPr>
      <w:bookmarkStart w:id="7" w:name="Decision1"/>
      <w:r>
        <w:rPr>
          <w:rFonts w:hint="cs"/>
          <w:sz w:val="28"/>
          <w:szCs w:val="28"/>
          <w:rtl/>
        </w:rPr>
        <w:t xml:space="preserve">ניתנה היום י"ט בכסלו, תשס"ה (2 בדצמבר 2004) במעמד </w:t>
      </w:r>
    </w:p>
    <w:p w14:paraId="189D1AE1" w14:textId="77777777" w:rsidR="00534AA2" w:rsidRDefault="00534AA2">
      <w:pPr>
        <w:rPr>
          <w:rFonts w:hint="cs"/>
          <w:rtl/>
        </w:rPr>
      </w:pPr>
    </w:p>
    <w:p w14:paraId="5E1CEAC6" w14:textId="77777777" w:rsidR="00534AA2" w:rsidRDefault="00534AA2">
      <w:pPr>
        <w:jc w:val="right"/>
        <w:rPr>
          <w:rFonts w:hint="cs"/>
          <w:sz w:val="28"/>
          <w:szCs w:val="28"/>
          <w:rtl/>
        </w:rPr>
      </w:pPr>
      <w:r>
        <w:rPr>
          <w:rFonts w:hint="cs"/>
          <w:rtl/>
        </w:rPr>
        <w:t xml:space="preserve">                                                                                </w:t>
      </w:r>
      <w:r>
        <w:rPr>
          <w:rFonts w:hint="cs"/>
          <w:sz w:val="28"/>
          <w:szCs w:val="28"/>
          <w:rtl/>
        </w:rPr>
        <w:t>______________</w:t>
      </w:r>
    </w:p>
    <w:p w14:paraId="1667A13F" w14:textId="77777777" w:rsidR="00534AA2" w:rsidRDefault="00534AA2">
      <w:pPr>
        <w:jc w:val="right"/>
        <w:rPr>
          <w:rFonts w:hint="cs"/>
          <w:sz w:val="28"/>
          <w:szCs w:val="28"/>
          <w:rtl/>
        </w:rPr>
      </w:pPr>
      <w:r>
        <w:rPr>
          <w:rFonts w:hint="cs"/>
          <w:sz w:val="28"/>
          <w:szCs w:val="28"/>
          <w:rtl/>
        </w:rPr>
        <w:t>ק.רג'יניאנו, שופטת</w:t>
      </w:r>
    </w:p>
    <w:bookmarkEnd w:id="7"/>
    <w:p w14:paraId="20A1B645" w14:textId="77777777" w:rsidR="009468DF" w:rsidRDefault="009468DF">
      <w:pPr>
        <w:jc w:val="both"/>
        <w:rPr>
          <w:rtl/>
        </w:rPr>
      </w:pPr>
    </w:p>
    <w:p w14:paraId="76DA3A5F" w14:textId="77777777" w:rsidR="00534AA2" w:rsidRDefault="00534AA2">
      <w:pPr>
        <w:jc w:val="both"/>
        <w:rPr>
          <w:rFonts w:hint="cs"/>
          <w:rtl/>
        </w:rPr>
      </w:pPr>
      <w:r>
        <w:rPr>
          <w:rtl/>
        </w:rPr>
        <w:t>נוסח מסמך זה כפוף לשינויי ניסוח ועריכה</w:t>
      </w:r>
    </w:p>
    <w:sectPr w:rsidR="00534AA2">
      <w:headerReference w:type="even" r:id="rId19"/>
      <w:headerReference w:type="default" r:id="rId20"/>
      <w:footerReference w:type="even" r:id="rId21"/>
      <w:footerReference w:type="default" r:id="rId22"/>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5C56C" w14:textId="77777777" w:rsidR="00615611" w:rsidRPr="0084324B" w:rsidRDefault="00615611">
      <w:pPr>
        <w:rPr>
          <w:rFonts w:cs="Times New Roman"/>
        </w:rPr>
      </w:pPr>
      <w:r>
        <w:separator/>
      </w:r>
    </w:p>
  </w:endnote>
  <w:endnote w:type="continuationSeparator" w:id="0">
    <w:p w14:paraId="3D6B2982" w14:textId="77777777" w:rsidR="00615611" w:rsidRPr="0084324B" w:rsidRDefault="00615611">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821A8" w14:textId="77777777" w:rsidR="00FB447C" w:rsidRDefault="00FB447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8</w:t>
    </w:r>
    <w:r>
      <w:rPr>
        <w:rFonts w:hAnsi="FrankRuehl" w:cs="FrankRuehl"/>
        <w:sz w:val="24"/>
        <w:rtl/>
      </w:rPr>
      <w:fldChar w:fldCharType="end"/>
    </w:r>
  </w:p>
  <w:p w14:paraId="172FEE98" w14:textId="77777777" w:rsidR="00FB447C" w:rsidRDefault="00FB447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4E0F86A" w14:textId="77777777" w:rsidR="00FB447C" w:rsidRDefault="00FB447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M:\00000000\05-04-03\ps-all\10 = 04-12-02\s04001627-408.doc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8D5F" w14:textId="77777777" w:rsidR="00FB447C" w:rsidRDefault="00FB447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39310F">
      <w:rPr>
        <w:rFonts w:hAnsi="FrankRuehl" w:cs="FrankRuehl"/>
        <w:noProof/>
        <w:sz w:val="24"/>
        <w:rtl/>
      </w:rPr>
      <w:t>1</w:t>
    </w:r>
    <w:r>
      <w:rPr>
        <w:rFonts w:hAnsi="FrankRuehl" w:cs="FrankRuehl"/>
        <w:sz w:val="24"/>
        <w:rtl/>
      </w:rPr>
      <w:fldChar w:fldCharType="end"/>
    </w:r>
  </w:p>
  <w:p w14:paraId="590743F6" w14:textId="77777777" w:rsidR="00FB447C" w:rsidRDefault="00FB447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6C71507" w14:textId="77777777" w:rsidR="00FB447C" w:rsidRDefault="00FB447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M:\00000000\05-04-03\ps-all\10 = 04-12-02\s04001627-408.doc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E4F64" w14:textId="77777777" w:rsidR="00615611" w:rsidRPr="0084324B" w:rsidRDefault="00615611">
      <w:pPr>
        <w:rPr>
          <w:rFonts w:cs="Times New Roman"/>
        </w:rPr>
      </w:pPr>
      <w:r>
        <w:separator/>
      </w:r>
    </w:p>
  </w:footnote>
  <w:footnote w:type="continuationSeparator" w:id="0">
    <w:p w14:paraId="17A02E94" w14:textId="77777777" w:rsidR="00615611" w:rsidRPr="0084324B" w:rsidRDefault="00615611">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C1B2" w14:textId="77777777" w:rsidR="00FB447C" w:rsidRDefault="00FB447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(כ"ס) 1627/04</w:t>
    </w:r>
    <w:r>
      <w:rPr>
        <w:rFonts w:hAnsi="David"/>
        <w:color w:val="000000"/>
        <w:sz w:val="22"/>
        <w:szCs w:val="22"/>
        <w:rtl/>
      </w:rPr>
      <w:tab/>
      <w:t xml:space="preserve"> מדינת ישראל נ' תנעמי אלי  051297885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F69F4" w14:textId="77777777" w:rsidR="00FB447C" w:rsidRDefault="00FB447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(כ"ס) 1627/04</w:t>
    </w:r>
    <w:r>
      <w:rPr>
        <w:rFonts w:hAnsi="David"/>
        <w:color w:val="000000"/>
        <w:sz w:val="22"/>
        <w:szCs w:val="22"/>
        <w:rtl/>
      </w:rPr>
      <w:tab/>
      <w:t xml:space="preserve"> מדינת ישראל נ' תנעמי אלי  051297885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534AA2"/>
    <w:rsid w:val="000E28C8"/>
    <w:rsid w:val="002C0E69"/>
    <w:rsid w:val="0039310F"/>
    <w:rsid w:val="00534AA2"/>
    <w:rsid w:val="00615611"/>
    <w:rsid w:val="009468DF"/>
    <w:rsid w:val="00C72017"/>
    <w:rsid w:val="00FB44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DAC99E"/>
  <w15:chartTrackingRefBased/>
  <w15:docId w15:val="{5E64941A-12F0-4A02-AC50-C0F511E3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6"/>
      <w:lang w:eastAsia="he-IL"/>
    </w:rPr>
  </w:style>
  <w:style w:type="paragraph" w:styleId="Heading1">
    <w:name w:val="heading 1"/>
    <w:basedOn w:val="Normal"/>
    <w:next w:val="Normal"/>
    <w:qFormat/>
    <w:pPr>
      <w:keepNext/>
      <w:outlineLvl w:val="0"/>
    </w:pPr>
    <w:rPr>
      <w:b/>
      <w:bCs/>
      <w:sz w:val="28"/>
      <w:szCs w:val="28"/>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jc w:val="center"/>
      <w:outlineLvl w:val="2"/>
    </w:pPr>
    <w:rPr>
      <w:b/>
      <w:bCs/>
      <w:sz w:val="32"/>
      <w:szCs w:val="32"/>
      <w:u w:val="single"/>
    </w:rPr>
  </w:style>
  <w:style w:type="paragraph" w:styleId="Heading4">
    <w:name w:val="heading 4"/>
    <w:basedOn w:val="Normal"/>
    <w:next w:val="Normal"/>
    <w:qFormat/>
    <w:pPr>
      <w:keepNext/>
      <w:jc w:val="center"/>
      <w:outlineLvl w:val="3"/>
    </w:pPr>
    <w:rPr>
      <w:b/>
      <w:bCs/>
      <w:u w:val="single"/>
    </w:rPr>
  </w:style>
  <w:style w:type="paragraph" w:styleId="Heading5">
    <w:name w:val="heading 5"/>
    <w:basedOn w:val="Normal"/>
    <w:next w:val="Normal"/>
    <w:qFormat/>
    <w:pPr>
      <w:keepNext/>
      <w:ind w:left="2160" w:firstLine="720"/>
      <w:outlineLvl w:val="4"/>
    </w:pPr>
    <w:rPr>
      <w:b/>
      <w:bCs/>
      <w:sz w:val="26"/>
      <w:u w:val="single"/>
    </w:rPr>
  </w:style>
  <w:style w:type="paragraph" w:styleId="Heading6">
    <w:name w:val="heading 6"/>
    <w:basedOn w:val="Normal"/>
    <w:next w:val="Normal"/>
    <w:qFormat/>
    <w:pPr>
      <w:keepNext/>
      <w:ind w:left="720"/>
      <w:jc w:val="both"/>
      <w:outlineLvl w:val="5"/>
    </w:pPr>
    <w:rPr>
      <w:b/>
      <w:bCs/>
      <w:sz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rPr>
      <w:szCs w:val="24"/>
    </w:rPr>
  </w:style>
  <w:style w:type="paragraph" w:styleId="Footer">
    <w:name w:val="footer"/>
    <w:basedOn w:val="Normal"/>
    <w:pPr>
      <w:tabs>
        <w:tab w:val="center" w:pos="4153"/>
        <w:tab w:val="right" w:pos="8306"/>
      </w:tabs>
      <w:snapToGrid w:val="0"/>
      <w:jc w:val="both"/>
    </w:pPr>
    <w:rPr>
      <w:sz w:val="22"/>
      <w:szCs w:val="24"/>
    </w:rPr>
  </w:style>
  <w:style w:type="paragraph" w:styleId="BodyText">
    <w:name w:val="Body Text"/>
    <w:basedOn w:val="Normal"/>
    <w:pPr>
      <w:jc w:val="both"/>
    </w:pPr>
    <w:rPr>
      <w:sz w:val="26"/>
    </w:rPr>
  </w:style>
  <w:style w:type="paragraph" w:styleId="BodyTextIndent">
    <w:name w:val="Body Text Indent"/>
    <w:basedOn w:val="Normal"/>
    <w:pPr>
      <w:ind w:left="720"/>
      <w:jc w:val="both"/>
    </w:pPr>
    <w:rPr>
      <w:sz w:val="26"/>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2C0E69"/>
    <w:rPr>
      <w:color w:val="0000FF"/>
      <w:u w:val="single"/>
    </w:rPr>
  </w:style>
  <w:style w:type="character" w:customStyle="1" w:styleId="a2">
    <w:name w:val="הזכר"/>
    <w:uiPriority w:val="99"/>
    <w:semiHidden/>
    <w:unhideWhenUsed/>
    <w:rsid w:val="009468D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87" TargetMode="External"/><Relationship Id="rId18" Type="http://schemas.openxmlformats.org/officeDocument/2006/relationships/hyperlink" Target="http://www.nevo.co.il/law/70301"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70387/11" TargetMode="External"/><Relationship Id="rId12" Type="http://schemas.openxmlformats.org/officeDocument/2006/relationships/hyperlink" Target="http://www.nevo.co.il/law/70387/11" TargetMode="External"/><Relationship Id="rId17" Type="http://schemas.openxmlformats.org/officeDocument/2006/relationships/hyperlink" Target="http://www.nevo.co.il/law/70301/345.a.3.a" TargetMode="External"/><Relationship Id="rId2" Type="http://schemas.openxmlformats.org/officeDocument/2006/relationships/settings" Target="settings.xml"/><Relationship Id="rId16" Type="http://schemas.openxmlformats.org/officeDocument/2006/relationships/hyperlink" Target="http://www.nevo.co.il/law/70301/348.a"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87" TargetMode="External"/><Relationship Id="rId11" Type="http://schemas.openxmlformats.org/officeDocument/2006/relationships/hyperlink" Target="http://www.nevo.co.il/law/70301/348.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348.f" TargetMode="External"/><Relationship Id="rId23" Type="http://schemas.openxmlformats.org/officeDocument/2006/relationships/fontTable" Target="fontTable.xml"/><Relationship Id="rId10" Type="http://schemas.openxmlformats.org/officeDocument/2006/relationships/hyperlink" Target="http://www.nevo.co.il/law/70301/348.a"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45.a.3.a" TargetMode="External"/><Relationship Id="rId14" Type="http://schemas.openxmlformats.org/officeDocument/2006/relationships/hyperlink" Target="http://www.nevo.co.il/case/17921747"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1941</Words>
  <Characters>11067</Characters>
  <Application>Microsoft Office Word</Application>
  <DocSecurity>0</DocSecurity>
  <Lines>92</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12983</CharactersWithSpaces>
  <SharedDoc>false</SharedDoc>
  <HLinks>
    <vt:vector size="78" baseType="variant">
      <vt:variant>
        <vt:i4>7995492</vt:i4>
      </vt:variant>
      <vt:variant>
        <vt:i4>36</vt:i4>
      </vt:variant>
      <vt:variant>
        <vt:i4>0</vt:i4>
      </vt:variant>
      <vt:variant>
        <vt:i4>5</vt:i4>
      </vt:variant>
      <vt:variant>
        <vt:lpwstr>http://www.nevo.co.il/law/70301</vt:lpwstr>
      </vt:variant>
      <vt:variant>
        <vt:lpwstr/>
      </vt:variant>
      <vt:variant>
        <vt:i4>5177345</vt:i4>
      </vt:variant>
      <vt:variant>
        <vt:i4>33</vt:i4>
      </vt:variant>
      <vt:variant>
        <vt:i4>0</vt:i4>
      </vt:variant>
      <vt:variant>
        <vt:i4>5</vt:i4>
      </vt:variant>
      <vt:variant>
        <vt:lpwstr>http://www.nevo.co.il/law/70301/345.a.3.a</vt:lpwstr>
      </vt:variant>
      <vt:variant>
        <vt:lpwstr/>
      </vt:variant>
      <vt:variant>
        <vt:i4>5177438</vt:i4>
      </vt:variant>
      <vt:variant>
        <vt:i4>30</vt:i4>
      </vt:variant>
      <vt:variant>
        <vt:i4>0</vt:i4>
      </vt:variant>
      <vt:variant>
        <vt:i4>5</vt:i4>
      </vt:variant>
      <vt:variant>
        <vt:lpwstr>http://www.nevo.co.il/law/70301/348.a</vt:lpwstr>
      </vt:variant>
      <vt:variant>
        <vt:lpwstr/>
      </vt:variant>
      <vt:variant>
        <vt:i4>5177438</vt:i4>
      </vt:variant>
      <vt:variant>
        <vt:i4>27</vt:i4>
      </vt:variant>
      <vt:variant>
        <vt:i4>0</vt:i4>
      </vt:variant>
      <vt:variant>
        <vt:i4>5</vt:i4>
      </vt:variant>
      <vt:variant>
        <vt:lpwstr>http://www.nevo.co.il/law/70301/348.f</vt:lpwstr>
      </vt:variant>
      <vt:variant>
        <vt:lpwstr/>
      </vt:variant>
      <vt:variant>
        <vt:i4>3997814</vt:i4>
      </vt:variant>
      <vt:variant>
        <vt:i4>24</vt:i4>
      </vt:variant>
      <vt:variant>
        <vt:i4>0</vt:i4>
      </vt:variant>
      <vt:variant>
        <vt:i4>5</vt:i4>
      </vt:variant>
      <vt:variant>
        <vt:lpwstr>http://www.nevo.co.il/case/17921747</vt:lpwstr>
      </vt:variant>
      <vt:variant>
        <vt:lpwstr/>
      </vt:variant>
      <vt:variant>
        <vt:i4>7471204</vt:i4>
      </vt:variant>
      <vt:variant>
        <vt:i4>21</vt:i4>
      </vt:variant>
      <vt:variant>
        <vt:i4>0</vt:i4>
      </vt:variant>
      <vt:variant>
        <vt:i4>5</vt:i4>
      </vt:variant>
      <vt:variant>
        <vt:lpwstr>http://www.nevo.co.il/law/70387</vt:lpwstr>
      </vt:variant>
      <vt:variant>
        <vt:lpwstr/>
      </vt:variant>
      <vt:variant>
        <vt:i4>7077986</vt:i4>
      </vt:variant>
      <vt:variant>
        <vt:i4>18</vt:i4>
      </vt:variant>
      <vt:variant>
        <vt:i4>0</vt:i4>
      </vt:variant>
      <vt:variant>
        <vt:i4>5</vt:i4>
      </vt:variant>
      <vt:variant>
        <vt:lpwstr>http://www.nevo.co.il/law/70387/11</vt:lpwstr>
      </vt:variant>
      <vt:variant>
        <vt:lpwstr/>
      </vt:variant>
      <vt:variant>
        <vt:i4>5177438</vt:i4>
      </vt:variant>
      <vt:variant>
        <vt:i4>15</vt:i4>
      </vt:variant>
      <vt:variant>
        <vt:i4>0</vt:i4>
      </vt:variant>
      <vt:variant>
        <vt:i4>5</vt:i4>
      </vt:variant>
      <vt:variant>
        <vt:lpwstr>http://www.nevo.co.il/law/70301/348.f</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5177345</vt:i4>
      </vt:variant>
      <vt:variant>
        <vt:i4>9</vt:i4>
      </vt:variant>
      <vt:variant>
        <vt:i4>0</vt:i4>
      </vt:variant>
      <vt:variant>
        <vt:i4>5</vt:i4>
      </vt:variant>
      <vt:variant>
        <vt:lpwstr>http://www.nevo.co.il/law/70301/345.a.3.a</vt:lpwstr>
      </vt:variant>
      <vt:variant>
        <vt:lpwstr/>
      </vt:variant>
      <vt:variant>
        <vt:i4>7995492</vt:i4>
      </vt:variant>
      <vt:variant>
        <vt:i4>6</vt:i4>
      </vt:variant>
      <vt:variant>
        <vt:i4>0</vt:i4>
      </vt:variant>
      <vt:variant>
        <vt:i4>5</vt:i4>
      </vt:variant>
      <vt:variant>
        <vt:lpwstr>http://www.nevo.co.il/law/70301</vt:lpwstr>
      </vt:variant>
      <vt:variant>
        <vt:lpwstr/>
      </vt:variant>
      <vt:variant>
        <vt:i4>7077986</vt:i4>
      </vt:variant>
      <vt:variant>
        <vt:i4>3</vt:i4>
      </vt:variant>
      <vt:variant>
        <vt:i4>0</vt:i4>
      </vt:variant>
      <vt:variant>
        <vt:i4>5</vt:i4>
      </vt:variant>
      <vt:variant>
        <vt:lpwstr>http://www.nevo.co.il/law/70387/11</vt:lpwstr>
      </vt:variant>
      <vt:variant>
        <vt:lpwstr/>
      </vt:variant>
      <vt:variant>
        <vt:i4>7471204</vt:i4>
      </vt:variant>
      <vt:variant>
        <vt:i4>0</vt:i4>
      </vt:variant>
      <vt:variant>
        <vt:i4>0</vt:i4>
      </vt:variant>
      <vt:variant>
        <vt:i4>5</vt:i4>
      </vt:variant>
      <vt:variant>
        <vt:lpwstr>http://www.nevo.co.il/law/70387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2022-05-24T10:20:00Z</dcterms:created>
  <dcterms:modified xsi:type="dcterms:W3CDTF">2022-05-24T10:20:00Z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1627</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תנעמי אלי  051297885</vt:lpwstr>
  </property>
  <property fmtid="{D5CDD505-2E9C-101B-9397-08002B2CF9AE}" pid="9" name="JUDGE">
    <vt:lpwstr>ק. רג'יניאנו</vt:lpwstr>
  </property>
  <property fmtid="{D5CDD505-2E9C-101B-9397-08002B2CF9AE}" pid="10" name="CITY">
    <vt:lpwstr>כ"ס</vt:lpwstr>
  </property>
  <property fmtid="{D5CDD505-2E9C-101B-9397-08002B2CF9AE}" pid="11" name="DATE">
    <vt:lpwstr>20041202</vt:lpwstr>
  </property>
  <property fmtid="{D5CDD505-2E9C-101B-9397-08002B2CF9AE}" pid="12" name="WORDNUMPAGES">
    <vt:lpwstr>9</vt:lpwstr>
  </property>
  <property fmtid="{D5CDD505-2E9C-101B-9397-08002B2CF9AE}" pid="13" name="CASESLISTTMP1">
    <vt:lpwstr>17921747</vt:lpwstr>
  </property>
  <property fmtid="{D5CDD505-2E9C-101B-9397-08002B2CF9AE}" pid="14" name="LAWLISTTMP1">
    <vt:lpwstr>70387/011</vt:lpwstr>
  </property>
  <property fmtid="{D5CDD505-2E9C-101B-9397-08002B2CF9AE}" pid="15" name="LAWLISTTMP2">
    <vt:lpwstr>70301/348.f;348.a;345.a.3.a</vt:lpwstr>
  </property>
</Properties>
</file>