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6061" w14:textId="77777777" w:rsidR="00F51D03" w:rsidRDefault="00F51D03">
      <w:pPr>
        <w:pStyle w:val="Header"/>
        <w:rPr>
          <w:rtl/>
        </w:rPr>
      </w:pPr>
      <w:bookmarkStart w:id="0" w:name="LastJudge"/>
    </w:p>
    <w:p w14:paraId="45455DE7" w14:textId="77777777" w:rsidR="00F51D03" w:rsidRDefault="00F51D03">
      <w:pPr>
        <w:jc w:val="center"/>
        <w:rPr>
          <w:rFonts w:cs="Guttman Calligraphic" w:hint="cs"/>
          <w:rtl/>
        </w:rPr>
      </w:pPr>
    </w:p>
    <w:p w14:paraId="113039A4" w14:textId="77777777" w:rsidR="00F51D03" w:rsidRDefault="00F51D03">
      <w:pPr>
        <w:jc w:val="center"/>
        <w:rPr>
          <w:rFonts w:hint="cs"/>
          <w:sz w:val="24"/>
          <w:rtl/>
        </w:rPr>
      </w:pPr>
      <w:r>
        <w:rPr>
          <w:rFonts w:cs="Guttman Calligraphic"/>
        </w:rPr>
        <w:t xml:space="preserve">    </w:t>
      </w:r>
    </w:p>
    <w:p w14:paraId="02201070" w14:textId="77777777" w:rsidR="00F51D03" w:rsidRDefault="00F51D03">
      <w:pPr>
        <w:jc w:val="center"/>
        <w:rPr>
          <w:rFonts w:cs="Guttman Calligraphic"/>
          <w:rtl/>
        </w:rPr>
      </w:pPr>
      <w:r>
        <w:rPr>
          <w:rFonts w:hint="cs"/>
          <w:b/>
          <w:bCs/>
          <w:sz w:val="24"/>
          <w:rtl/>
        </w:rPr>
        <w:t>בתי המשפט</w:t>
      </w:r>
      <w:r>
        <w:rPr>
          <w:rFonts w:hint="cs"/>
          <w:sz w:val="24"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08"/>
        <w:gridCol w:w="4706"/>
        <w:gridCol w:w="822"/>
        <w:gridCol w:w="2093"/>
      </w:tblGrid>
      <w:tr w:rsidR="00F51D03" w14:paraId="46576607" w14:textId="77777777">
        <w:trPr>
          <w:cantSplit/>
          <w:trHeight w:val="195"/>
        </w:trPr>
        <w:tc>
          <w:tcPr>
            <w:tcW w:w="56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35395" w14:textId="77777777" w:rsidR="00F51D03" w:rsidRDefault="00F51D03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בית משפט השלום חדרה</w:t>
            </w:r>
          </w:p>
        </w:tc>
        <w:tc>
          <w:tcPr>
            <w:tcW w:w="2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4C22" w14:textId="77777777" w:rsidR="00F51D03" w:rsidRDefault="00F51D03">
            <w:pPr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פ  001849/04</w:t>
            </w:r>
          </w:p>
        </w:tc>
      </w:tr>
      <w:tr w:rsidR="00F51D03" w14:paraId="33945DE0" w14:textId="77777777">
        <w:trPr>
          <w:cantSplit/>
          <w:trHeight w:val="19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204CB" w14:textId="77777777" w:rsidR="00F51D03" w:rsidRDefault="00F51D03">
            <w:pPr>
              <w:bidi w:val="0"/>
              <w:spacing w:line="240" w:lineRule="auto"/>
              <w:jc w:val="lef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A8F3" w14:textId="77777777" w:rsidR="00F51D03" w:rsidRDefault="00F51D03">
            <w:pPr>
              <w:rPr>
                <w:b/>
                <w:bCs/>
                <w:szCs w:val="22"/>
              </w:rPr>
            </w:pPr>
          </w:p>
        </w:tc>
      </w:tr>
      <w:tr w:rsidR="00F51D03" w14:paraId="669C659A" w14:textId="77777777">
        <w:trPr>
          <w:trHeight w:val="286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2DEB" w14:textId="77777777" w:rsidR="00F51D03" w:rsidRDefault="00F51D03">
            <w:pPr>
              <w:rPr>
                <w:b/>
                <w:bCs/>
                <w:sz w:val="24"/>
              </w:rPr>
            </w:pPr>
            <w:r>
              <w:rPr>
                <w:rFonts w:hint="cs"/>
                <w:b/>
                <w:bCs/>
                <w:sz w:val="24"/>
                <w:rtl/>
              </w:rPr>
              <w:t>בפני: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7E84" w14:textId="77777777" w:rsidR="00F51D03" w:rsidRDefault="00F51D0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השופט אהוד קפלן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EA683D" w14:textId="77777777" w:rsidR="00F51D03" w:rsidRDefault="00F51D03">
            <w:pPr>
              <w:rPr>
                <w:b/>
                <w:bCs/>
                <w:sz w:val="24"/>
              </w:rPr>
            </w:pPr>
            <w:r>
              <w:rPr>
                <w:rFonts w:hint="cs"/>
                <w:b/>
                <w:bCs/>
                <w:sz w:val="24"/>
                <w:rtl/>
              </w:rPr>
              <w:t>תאריך: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E7A4" w14:textId="77777777" w:rsidR="00F51D03" w:rsidRDefault="00F51D03">
            <w:pPr>
              <w:rPr>
                <w:b/>
                <w:bCs/>
                <w:sz w:val="24"/>
              </w:rPr>
            </w:pPr>
            <w:r>
              <w:rPr>
                <w:rFonts w:hint="cs"/>
                <w:b/>
                <w:bCs/>
                <w:sz w:val="24"/>
                <w:rtl/>
              </w:rPr>
              <w:t>30/11/2005</w:t>
            </w:r>
          </w:p>
        </w:tc>
      </w:tr>
    </w:tbl>
    <w:p w14:paraId="18F2BBDC" w14:textId="77777777" w:rsidR="00F51D03" w:rsidRDefault="00F51D03">
      <w:pPr>
        <w:jc w:val="center"/>
        <w:rPr>
          <w:rFonts w:hint="cs"/>
          <w:b/>
          <w:bCs/>
          <w:sz w:val="30"/>
          <w:szCs w:val="28"/>
          <w:rtl/>
        </w:rPr>
      </w:pPr>
    </w:p>
    <w:p w14:paraId="331DA484" w14:textId="77777777" w:rsidR="00F51D03" w:rsidRDefault="00F51D03">
      <w:pPr>
        <w:rPr>
          <w:rFonts w:hint="cs"/>
          <w:rtl/>
        </w:rPr>
      </w:pPr>
    </w:p>
    <w:tbl>
      <w:tblPr>
        <w:bidiVisual/>
        <w:tblW w:w="8647" w:type="dxa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"/>
        <w:gridCol w:w="1276"/>
        <w:gridCol w:w="86"/>
        <w:gridCol w:w="1757"/>
        <w:gridCol w:w="3063"/>
        <w:gridCol w:w="2324"/>
        <w:gridCol w:w="85"/>
      </w:tblGrid>
      <w:tr w:rsidR="00F51D03" w14:paraId="532FF8C9" w14:textId="77777777">
        <w:trPr>
          <w:gridBefore w:val="1"/>
          <w:wBefore w:w="56" w:type="dxa"/>
        </w:trPr>
        <w:tc>
          <w:tcPr>
            <w:tcW w:w="1362" w:type="dxa"/>
            <w:gridSpan w:val="2"/>
          </w:tcPr>
          <w:p w14:paraId="133D1B45" w14:textId="77777777" w:rsidR="00F51D03" w:rsidRDefault="00F51D03">
            <w:pPr>
              <w:rPr>
                <w:b/>
                <w:bCs/>
                <w:szCs w:val="26"/>
              </w:rPr>
            </w:pPr>
            <w:bookmarkStart w:id="1" w:name="FirstAppellant"/>
            <w:r>
              <w:rPr>
                <w:rFonts w:hint="cs"/>
                <w:b/>
                <w:bCs/>
                <w:rtl/>
              </w:rPr>
              <w:t>בעניין:</w:t>
            </w:r>
          </w:p>
        </w:tc>
        <w:tc>
          <w:tcPr>
            <w:tcW w:w="4820" w:type="dxa"/>
            <w:gridSpan w:val="2"/>
          </w:tcPr>
          <w:p w14:paraId="2A4BEC33" w14:textId="77777777" w:rsidR="00F51D03" w:rsidRDefault="00F51D03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מדינת ישראל - תביעות חדרה </w:t>
            </w:r>
            <w:bookmarkStart w:id="2" w:name="שם_א"/>
            <w:bookmarkEnd w:id="2"/>
          </w:p>
        </w:tc>
        <w:tc>
          <w:tcPr>
            <w:tcW w:w="2409" w:type="dxa"/>
            <w:gridSpan w:val="2"/>
          </w:tcPr>
          <w:p w14:paraId="3DB13AF7" w14:textId="77777777" w:rsidR="00F51D03" w:rsidRDefault="00F51D03">
            <w:pPr>
              <w:rPr>
                <w:b/>
                <w:bCs/>
              </w:rPr>
            </w:pPr>
          </w:p>
        </w:tc>
      </w:tr>
      <w:bookmarkEnd w:id="1"/>
      <w:tr w:rsidR="00F51D03" w14:paraId="450A1CA9" w14:textId="77777777">
        <w:trPr>
          <w:gridBefore w:val="1"/>
          <w:wBefore w:w="56" w:type="dxa"/>
        </w:trPr>
        <w:tc>
          <w:tcPr>
            <w:tcW w:w="1362" w:type="dxa"/>
            <w:gridSpan w:val="2"/>
          </w:tcPr>
          <w:p w14:paraId="726815CD" w14:textId="77777777" w:rsidR="00F51D03" w:rsidRDefault="00F51D03">
            <w:pPr>
              <w:rPr>
                <w:b/>
                <w:bCs/>
                <w:szCs w:val="26"/>
              </w:rPr>
            </w:pPr>
          </w:p>
        </w:tc>
        <w:tc>
          <w:tcPr>
            <w:tcW w:w="1757" w:type="dxa"/>
          </w:tcPr>
          <w:p w14:paraId="1E195110" w14:textId="77777777" w:rsidR="00F51D03" w:rsidRDefault="00F51D03">
            <w:pPr>
              <w:pStyle w:val="Heading3"/>
            </w:pPr>
          </w:p>
        </w:tc>
        <w:tc>
          <w:tcPr>
            <w:tcW w:w="3063" w:type="dxa"/>
          </w:tcPr>
          <w:p w14:paraId="4C478264" w14:textId="77777777" w:rsidR="00F51D03" w:rsidRDefault="00F51D03">
            <w:pPr>
              <w:rPr>
                <w:b/>
                <w:bCs/>
              </w:rPr>
            </w:pPr>
          </w:p>
        </w:tc>
        <w:tc>
          <w:tcPr>
            <w:tcW w:w="2409" w:type="dxa"/>
            <w:gridSpan w:val="2"/>
          </w:tcPr>
          <w:p w14:paraId="6E621D47" w14:textId="77777777" w:rsidR="00F51D03" w:rsidRDefault="00F51D03">
            <w:pPr>
              <w:pStyle w:val="Heading5"/>
              <w:rPr>
                <w:u w:val="none"/>
              </w:rPr>
            </w:pPr>
            <w:r>
              <w:rPr>
                <w:rFonts w:hint="cs"/>
                <w:u w:val="none"/>
                <w:rtl/>
              </w:rPr>
              <w:t>המאשימה</w:t>
            </w:r>
          </w:p>
        </w:tc>
      </w:tr>
      <w:tr w:rsidR="00F51D03" w14:paraId="7B728DA4" w14:textId="77777777">
        <w:trPr>
          <w:gridBefore w:val="1"/>
          <w:wBefore w:w="56" w:type="dxa"/>
        </w:trPr>
        <w:tc>
          <w:tcPr>
            <w:tcW w:w="1362" w:type="dxa"/>
            <w:gridSpan w:val="2"/>
          </w:tcPr>
          <w:p w14:paraId="2FFA6094" w14:textId="77777777" w:rsidR="00F51D03" w:rsidRDefault="00F51D03">
            <w:pPr>
              <w:rPr>
                <w:b/>
                <w:bCs/>
              </w:rPr>
            </w:pPr>
          </w:p>
        </w:tc>
        <w:tc>
          <w:tcPr>
            <w:tcW w:w="4820" w:type="dxa"/>
            <w:gridSpan w:val="2"/>
          </w:tcPr>
          <w:p w14:paraId="3357D7CC" w14:textId="77777777" w:rsidR="00F51D03" w:rsidRDefault="00F51D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- נ  ג  ד -</w:t>
            </w:r>
          </w:p>
        </w:tc>
        <w:tc>
          <w:tcPr>
            <w:tcW w:w="2409" w:type="dxa"/>
            <w:gridSpan w:val="2"/>
          </w:tcPr>
          <w:p w14:paraId="4BFE7245" w14:textId="77777777" w:rsidR="00F51D03" w:rsidRDefault="00F51D03">
            <w:pPr>
              <w:rPr>
                <w:b/>
                <w:bCs/>
              </w:rPr>
            </w:pPr>
          </w:p>
        </w:tc>
      </w:tr>
      <w:tr w:rsidR="00F51D03" w14:paraId="6F4C7F8D" w14:textId="77777777">
        <w:trPr>
          <w:gridBefore w:val="1"/>
          <w:wBefore w:w="56" w:type="dxa"/>
        </w:trPr>
        <w:tc>
          <w:tcPr>
            <w:tcW w:w="1362" w:type="dxa"/>
            <w:gridSpan w:val="2"/>
          </w:tcPr>
          <w:p w14:paraId="74B0BED7" w14:textId="77777777" w:rsidR="00F51D03" w:rsidRDefault="00F51D03">
            <w:pPr>
              <w:rPr>
                <w:b/>
                <w:bCs/>
                <w:szCs w:val="26"/>
              </w:rPr>
            </w:pPr>
            <w:bookmarkStart w:id="3" w:name="שם_ב" w:colFirst="0" w:colLast="0"/>
          </w:p>
        </w:tc>
        <w:tc>
          <w:tcPr>
            <w:tcW w:w="4820" w:type="dxa"/>
            <w:gridSpan w:val="2"/>
          </w:tcPr>
          <w:p w14:paraId="3B963E75" w14:textId="77777777" w:rsidR="00F51D03" w:rsidRDefault="00F51D03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אבו סעדיה מחמד</w:t>
            </w:r>
          </w:p>
        </w:tc>
        <w:tc>
          <w:tcPr>
            <w:tcW w:w="2409" w:type="dxa"/>
            <w:gridSpan w:val="2"/>
          </w:tcPr>
          <w:p w14:paraId="0DE6EE31" w14:textId="77777777" w:rsidR="00F51D03" w:rsidRDefault="00F51D03">
            <w:pPr>
              <w:rPr>
                <w:b/>
                <w:bCs/>
              </w:rPr>
            </w:pPr>
          </w:p>
        </w:tc>
      </w:tr>
      <w:bookmarkEnd w:id="3"/>
      <w:tr w:rsidR="00F51D03" w14:paraId="68FBEBFE" w14:textId="77777777">
        <w:trPr>
          <w:gridBefore w:val="1"/>
          <w:wBefore w:w="56" w:type="dxa"/>
        </w:trPr>
        <w:tc>
          <w:tcPr>
            <w:tcW w:w="1362" w:type="dxa"/>
            <w:gridSpan w:val="2"/>
          </w:tcPr>
          <w:p w14:paraId="64C63570" w14:textId="77777777" w:rsidR="00F51D03" w:rsidRDefault="00F51D03">
            <w:pPr>
              <w:spacing w:line="240" w:lineRule="auto"/>
              <w:rPr>
                <w:b/>
                <w:bCs/>
                <w:szCs w:val="26"/>
              </w:rPr>
            </w:pPr>
          </w:p>
        </w:tc>
        <w:tc>
          <w:tcPr>
            <w:tcW w:w="1757" w:type="dxa"/>
          </w:tcPr>
          <w:p w14:paraId="22FCF536" w14:textId="77777777" w:rsidR="00F51D03" w:rsidRDefault="00F51D0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063" w:type="dxa"/>
          </w:tcPr>
          <w:p w14:paraId="5D57E531" w14:textId="77777777" w:rsidR="00F51D03" w:rsidRDefault="00F51D03">
            <w:pPr>
              <w:rPr>
                <w:b/>
                <w:bCs/>
              </w:rPr>
            </w:pPr>
          </w:p>
        </w:tc>
        <w:tc>
          <w:tcPr>
            <w:tcW w:w="2409" w:type="dxa"/>
            <w:gridSpan w:val="2"/>
          </w:tcPr>
          <w:p w14:paraId="10007B12" w14:textId="77777777" w:rsidR="00F51D03" w:rsidRDefault="00F51D03">
            <w:pPr>
              <w:pStyle w:val="Heading6"/>
            </w:pPr>
            <w:r>
              <w:rPr>
                <w:rFonts w:hint="cs"/>
                <w:rtl/>
              </w:rPr>
              <w:t>הנאשם</w:t>
            </w:r>
          </w:p>
          <w:p w14:paraId="7D7E1516" w14:textId="77777777" w:rsidR="00F51D03" w:rsidRDefault="00F51D03"/>
        </w:tc>
      </w:tr>
      <w:tr w:rsidR="00F51D03" w14:paraId="3AEEECD1" w14:textId="77777777">
        <w:trPr>
          <w:gridAfter w:val="1"/>
          <w:wAfter w:w="85" w:type="dxa"/>
        </w:trPr>
        <w:tc>
          <w:tcPr>
            <w:tcW w:w="1332" w:type="dxa"/>
            <w:gridSpan w:val="2"/>
          </w:tcPr>
          <w:p w14:paraId="23996AFB" w14:textId="77777777" w:rsidR="00F51D03" w:rsidRDefault="00F51D03">
            <w:pPr>
              <w:spacing w:line="240" w:lineRule="auto"/>
              <w:rPr>
                <w:b/>
                <w:bCs/>
                <w:szCs w:val="26"/>
              </w:rPr>
            </w:pPr>
            <w:bookmarkStart w:id="4" w:name="FirstLawyer"/>
            <w:r>
              <w:rPr>
                <w:rFonts w:hint="cs"/>
                <w:b/>
                <w:bCs/>
                <w:szCs w:val="26"/>
                <w:rtl/>
              </w:rPr>
              <w:t>נוכחים</w:t>
            </w:r>
          </w:p>
        </w:tc>
        <w:tc>
          <w:tcPr>
            <w:tcW w:w="7230" w:type="dxa"/>
            <w:gridSpan w:val="4"/>
          </w:tcPr>
          <w:p w14:paraId="4FA9F4C0" w14:textId="77777777" w:rsidR="00F51D03" w:rsidRDefault="00F51D03">
            <w:pPr>
              <w:spacing w:line="24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ב"כ המאשימה: עו"ד אורלי טל</w:t>
            </w:r>
          </w:p>
          <w:p w14:paraId="461F5439" w14:textId="77777777" w:rsidR="00F51D03" w:rsidRDefault="00F51D03">
            <w:pPr>
              <w:spacing w:line="24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הנאשם: בעצמו</w:t>
            </w:r>
          </w:p>
        </w:tc>
      </w:tr>
    </w:tbl>
    <w:p w14:paraId="7AFFED28" w14:textId="77777777" w:rsidR="001E2292" w:rsidRDefault="001E2292">
      <w:pPr>
        <w:rPr>
          <w:rtl/>
        </w:rPr>
      </w:pPr>
      <w:bookmarkStart w:id="5" w:name="LawTable"/>
      <w:bookmarkEnd w:id="4"/>
      <w:bookmarkEnd w:id="5"/>
    </w:p>
    <w:p w14:paraId="473A1290" w14:textId="77777777" w:rsidR="001E2292" w:rsidRPr="001E2292" w:rsidRDefault="001E2292" w:rsidP="001E2292">
      <w:pPr>
        <w:spacing w:after="120" w:line="240" w:lineRule="exact"/>
        <w:ind w:left="283" w:hanging="283"/>
        <w:rPr>
          <w:rFonts w:ascii="FrankRuehl" w:hAnsi="FrankRuehl" w:cs="FrankRuehl"/>
          <w:sz w:val="24"/>
          <w:rtl/>
        </w:rPr>
      </w:pPr>
    </w:p>
    <w:p w14:paraId="19E7020B" w14:textId="77777777" w:rsidR="001E2292" w:rsidRPr="001E2292" w:rsidRDefault="001E2292" w:rsidP="001E2292">
      <w:pPr>
        <w:spacing w:after="120" w:line="240" w:lineRule="exact"/>
        <w:ind w:left="283" w:hanging="283"/>
        <w:rPr>
          <w:rFonts w:ascii="FrankRuehl" w:hAnsi="FrankRuehl" w:cs="FrankRuehl"/>
          <w:sz w:val="24"/>
          <w:rtl/>
        </w:rPr>
      </w:pPr>
      <w:r w:rsidRPr="001E2292">
        <w:rPr>
          <w:rFonts w:ascii="FrankRuehl" w:hAnsi="FrankRuehl" w:cs="FrankRuehl"/>
          <w:sz w:val="24"/>
          <w:rtl/>
        </w:rPr>
        <w:t xml:space="preserve">חקיקה שאוזכרה: </w:t>
      </w:r>
    </w:p>
    <w:p w14:paraId="4E4630C5" w14:textId="77777777" w:rsidR="001E2292" w:rsidRPr="001E2292" w:rsidRDefault="001E2292" w:rsidP="001E2292">
      <w:pPr>
        <w:spacing w:after="120" w:line="240" w:lineRule="exact"/>
        <w:ind w:left="283" w:hanging="283"/>
        <w:rPr>
          <w:rFonts w:ascii="FrankRuehl" w:hAnsi="FrankRuehl" w:cs="FrankRuehl"/>
          <w:sz w:val="24"/>
          <w:rtl/>
        </w:rPr>
      </w:pPr>
      <w:hyperlink r:id="rId6" w:history="1">
        <w:r w:rsidRPr="001E2292">
          <w:rPr>
            <w:rFonts w:ascii="FrankRuehl" w:hAnsi="FrankRuehl" w:cs="FrankRuehl"/>
            <w:color w:val="0000FF"/>
            <w:sz w:val="24"/>
            <w:u w:val="single"/>
            <w:rtl/>
          </w:rPr>
          <w:t>חוק העונשין, תשל"ז-1977</w:t>
        </w:r>
      </w:hyperlink>
      <w:r w:rsidRPr="001E2292">
        <w:rPr>
          <w:rFonts w:ascii="FrankRuehl" w:hAnsi="FrankRuehl" w:cs="FrankRuehl"/>
          <w:sz w:val="24"/>
          <w:rtl/>
        </w:rPr>
        <w:t xml:space="preserve">: סע'  </w:t>
      </w:r>
      <w:hyperlink r:id="rId7" w:history="1">
        <w:r w:rsidRPr="001E2292">
          <w:rPr>
            <w:rFonts w:ascii="FrankRuehl" w:hAnsi="FrankRuehl" w:cs="FrankRuehl"/>
            <w:color w:val="0000FF"/>
            <w:sz w:val="24"/>
            <w:u w:val="single"/>
            <w:rtl/>
          </w:rPr>
          <w:t>348(ו)</w:t>
        </w:r>
      </w:hyperlink>
      <w:r w:rsidRPr="001E2292">
        <w:rPr>
          <w:rFonts w:ascii="FrankRuehl" w:hAnsi="FrankRuehl" w:cs="FrankRuehl"/>
          <w:sz w:val="24"/>
          <w:rtl/>
        </w:rPr>
        <w:t xml:space="preserve">, </w:t>
      </w:r>
      <w:hyperlink r:id="rId8" w:history="1">
        <w:r w:rsidRPr="001E2292">
          <w:rPr>
            <w:rFonts w:ascii="FrankRuehl" w:hAnsi="FrankRuehl" w:cs="FrankRuehl"/>
            <w:color w:val="0000FF"/>
            <w:sz w:val="24"/>
            <w:u w:val="single"/>
            <w:rtl/>
          </w:rPr>
          <w:t>349(א)</w:t>
        </w:r>
      </w:hyperlink>
      <w:r w:rsidRPr="001E2292">
        <w:rPr>
          <w:rFonts w:ascii="FrankRuehl" w:hAnsi="FrankRuehl" w:cs="FrankRuehl"/>
          <w:sz w:val="24"/>
          <w:rtl/>
        </w:rPr>
        <w:t xml:space="preserve">, </w:t>
      </w:r>
      <w:hyperlink r:id="rId9" w:history="1">
        <w:r w:rsidRPr="001E2292">
          <w:rPr>
            <w:rFonts w:ascii="FrankRuehl" w:hAnsi="FrankRuehl" w:cs="FrankRuehl"/>
            <w:color w:val="0000FF"/>
            <w:sz w:val="24"/>
            <w:u w:val="single"/>
            <w:rtl/>
          </w:rPr>
          <w:t>34כד</w:t>
        </w:r>
      </w:hyperlink>
    </w:p>
    <w:p w14:paraId="75C9C80F" w14:textId="77777777" w:rsidR="001E2292" w:rsidRPr="001E2292" w:rsidRDefault="001E2292" w:rsidP="001E2292">
      <w:pPr>
        <w:spacing w:after="120" w:line="240" w:lineRule="exact"/>
        <w:ind w:left="283" w:hanging="283"/>
        <w:rPr>
          <w:rFonts w:ascii="FrankRuehl" w:hAnsi="FrankRuehl" w:cs="FrankRuehl"/>
          <w:sz w:val="24"/>
          <w:rtl/>
        </w:rPr>
      </w:pPr>
    </w:p>
    <w:p w14:paraId="590CE720" w14:textId="77777777" w:rsidR="001E2292" w:rsidRPr="001E2292" w:rsidRDefault="001E2292">
      <w:pPr>
        <w:rPr>
          <w:rtl/>
        </w:rPr>
      </w:pPr>
      <w:bookmarkStart w:id="6" w:name="LawTable_End"/>
      <w:bookmarkEnd w:id="6"/>
    </w:p>
    <w:p w14:paraId="5F0BA43E" w14:textId="77777777" w:rsidR="001E2292" w:rsidRPr="001E2292" w:rsidRDefault="001E2292">
      <w:pPr>
        <w:rPr>
          <w:rtl/>
        </w:rPr>
      </w:pPr>
    </w:p>
    <w:p w14:paraId="5CA8D4C2" w14:textId="77777777" w:rsidR="00F51D03" w:rsidRPr="001E2292" w:rsidRDefault="00F51D03">
      <w:pPr>
        <w:rPr>
          <w:rFonts w:hint="cs"/>
          <w:rtl/>
        </w:rPr>
      </w:pPr>
    </w:p>
    <w:p w14:paraId="53F70871" w14:textId="77777777" w:rsidR="003D1D2C" w:rsidRPr="003D1D2C" w:rsidRDefault="003D1D2C">
      <w:pPr>
        <w:pStyle w:val="Heading1"/>
        <w:rPr>
          <w:b w:val="0"/>
          <w:bCs w:val="0"/>
          <w:u w:val="none"/>
          <w:rtl/>
        </w:rPr>
      </w:pPr>
      <w:bookmarkStart w:id="7" w:name="סוג_מסמך"/>
      <w:bookmarkEnd w:id="7"/>
    </w:p>
    <w:p w14:paraId="470BBB74" w14:textId="77777777" w:rsidR="003D1D2C" w:rsidRPr="003D1D2C" w:rsidRDefault="003D1D2C">
      <w:pPr>
        <w:pStyle w:val="Heading1"/>
        <w:rPr>
          <w:u w:val="none"/>
          <w:rtl/>
        </w:rPr>
      </w:pPr>
    </w:p>
    <w:p w14:paraId="28233A44" w14:textId="77777777" w:rsidR="00F51D03" w:rsidRPr="003D1D2C" w:rsidRDefault="00F51D03">
      <w:pPr>
        <w:pStyle w:val="Heading1"/>
        <w:rPr>
          <w:u w:val="none"/>
          <w:rtl/>
        </w:rPr>
      </w:pPr>
    </w:p>
    <w:p w14:paraId="6A7F1678" w14:textId="77777777" w:rsidR="00F51D03" w:rsidRDefault="00F51D03">
      <w:pPr>
        <w:jc w:val="center"/>
        <w:rPr>
          <w:b/>
          <w:bCs/>
          <w:sz w:val="32"/>
          <w:szCs w:val="32"/>
          <w:u w:val="single"/>
          <w:rtl/>
        </w:rPr>
      </w:pPr>
      <w:bookmarkStart w:id="8" w:name="PsakDin"/>
      <w:bookmarkEnd w:id="0"/>
      <w:r>
        <w:rPr>
          <w:b/>
          <w:bCs/>
          <w:sz w:val="32"/>
          <w:szCs w:val="32"/>
          <w:u w:val="single"/>
          <w:rtl/>
        </w:rPr>
        <w:t>הכרעת - דין</w:t>
      </w:r>
    </w:p>
    <w:bookmarkEnd w:id="8"/>
    <w:p w14:paraId="288DFCA5" w14:textId="77777777" w:rsidR="00F51D03" w:rsidRDefault="00F51D03">
      <w:pPr>
        <w:rPr>
          <w:rFonts w:hint="cs"/>
          <w:rtl/>
        </w:rPr>
      </w:pPr>
    </w:p>
    <w:p w14:paraId="6A2213DD" w14:textId="77777777" w:rsidR="00F51D03" w:rsidRDefault="00F51D03">
      <w:pPr>
        <w:rPr>
          <w:rFonts w:hint="cs"/>
          <w:u w:val="single"/>
          <w:rtl/>
        </w:rPr>
      </w:pPr>
      <w:bookmarkStart w:id="9" w:name="ABSTRACT_START"/>
      <w:bookmarkEnd w:id="9"/>
      <w:r>
        <w:rPr>
          <w:rFonts w:hint="cs"/>
          <w:u w:val="single"/>
          <w:rtl/>
        </w:rPr>
        <w:t>לאחר שמיעת-הראיות וסיכומי-הצדדים, מצאתי את הנאשם אשם בעבירה של מעשה מ</w:t>
      </w:r>
      <w:r w:rsidR="001E2292">
        <w:rPr>
          <w:rFonts w:hint="cs"/>
          <w:u w:val="single"/>
          <w:rtl/>
        </w:rPr>
        <w:t xml:space="preserve">גונה בפומבי (עבירה לפי סעיף </w:t>
      </w:r>
      <w:hyperlink r:id="rId10" w:history="1">
        <w:r w:rsidR="001E2292" w:rsidRPr="001E2292">
          <w:rPr>
            <w:color w:val="0000FF"/>
            <w:u w:val="single"/>
            <w:rtl/>
          </w:rPr>
          <w:t>349(א)</w:t>
        </w:r>
      </w:hyperlink>
      <w:r>
        <w:rPr>
          <w:rFonts w:hint="cs"/>
          <w:u w:val="single"/>
          <w:rtl/>
        </w:rPr>
        <w:t xml:space="preserve"> ל</w:t>
      </w:r>
      <w:hyperlink r:id="rId11" w:history="1">
        <w:r w:rsidR="003D1D2C" w:rsidRPr="003D1D2C">
          <w:rPr>
            <w:rStyle w:val="Hyperlink"/>
            <w:rFonts w:hint="eastAsia"/>
            <w:rtl/>
          </w:rPr>
          <w:t>חוק</w:t>
        </w:r>
        <w:r w:rsidR="003D1D2C" w:rsidRPr="003D1D2C">
          <w:rPr>
            <w:rStyle w:val="Hyperlink"/>
            <w:rtl/>
          </w:rPr>
          <w:t xml:space="preserve"> העונשין</w:t>
        </w:r>
      </w:hyperlink>
      <w:r>
        <w:rPr>
          <w:rFonts w:hint="cs"/>
          <w:u w:val="single"/>
          <w:rtl/>
        </w:rPr>
        <w:t xml:space="preserve"> תשל"ז - 1977).</w:t>
      </w:r>
      <w:bookmarkStart w:id="10" w:name="ABSTRACT_END"/>
      <w:bookmarkEnd w:id="10"/>
    </w:p>
    <w:p w14:paraId="386101E4" w14:textId="77777777" w:rsidR="00F51D03" w:rsidRDefault="00F51D03">
      <w:pPr>
        <w:rPr>
          <w:rFonts w:hint="cs"/>
          <w:u w:val="single"/>
          <w:rtl/>
        </w:rPr>
      </w:pPr>
    </w:p>
    <w:p w14:paraId="7C926449" w14:textId="77777777" w:rsidR="00F51D03" w:rsidRDefault="00F51D03">
      <w:pPr>
        <w:ind w:left="720" w:hanging="720"/>
        <w:rPr>
          <w:rFonts w:hint="cs"/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>בכתב-האישום נטען כי ביום 05/06/2002 בשעה 06:30, עשה הנאשם מעשה מגונה בפומבי באופן שעמד ערום ושיפשף את איבר-מינו.</w:t>
      </w:r>
    </w:p>
    <w:p w14:paraId="171E4A45" w14:textId="77777777" w:rsidR="00F51D03" w:rsidRDefault="00F51D03">
      <w:pPr>
        <w:ind w:left="720" w:hanging="720"/>
        <w:rPr>
          <w:rFonts w:hint="cs"/>
          <w:rtl/>
        </w:rPr>
      </w:pPr>
    </w:p>
    <w:p w14:paraId="0013F563" w14:textId="77777777" w:rsidR="00F51D03" w:rsidRDefault="00F51D03">
      <w:pPr>
        <w:ind w:left="720" w:hanging="720"/>
        <w:rPr>
          <w:rFonts w:hint="cs"/>
          <w:rtl/>
        </w:rPr>
      </w:pPr>
      <w:r>
        <w:rPr>
          <w:rFonts w:hint="cs"/>
          <w:rtl/>
        </w:rPr>
        <w:tab/>
        <w:t>הנאשם כפר ונשמעו ראיות.</w:t>
      </w:r>
    </w:p>
    <w:p w14:paraId="18B992E9" w14:textId="77777777" w:rsidR="00F51D03" w:rsidRDefault="00F51D03">
      <w:pPr>
        <w:ind w:left="720" w:hanging="720"/>
        <w:rPr>
          <w:rFonts w:hint="cs"/>
          <w:rtl/>
        </w:rPr>
      </w:pPr>
    </w:p>
    <w:p w14:paraId="2245B41D" w14:textId="77777777" w:rsidR="00F51D03" w:rsidRDefault="00F51D03">
      <w:pPr>
        <w:ind w:left="720" w:hanging="720"/>
        <w:rPr>
          <w:rFonts w:hint="cs"/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 xml:space="preserve">המתלוננת, שהינה אישה מבוגרת, העידה שביום האירוע ראתה את הנאשם עושה את המיוחס לו, כאמור לעיל. </w:t>
      </w:r>
    </w:p>
    <w:p w14:paraId="671B77E5" w14:textId="77777777" w:rsidR="00F51D03" w:rsidRDefault="00F51D03">
      <w:pPr>
        <w:ind w:left="720" w:hanging="720"/>
        <w:rPr>
          <w:rFonts w:hint="cs"/>
          <w:rtl/>
        </w:rPr>
      </w:pPr>
    </w:p>
    <w:p w14:paraId="23D37F22" w14:textId="77777777" w:rsidR="00F51D03" w:rsidRDefault="00F51D03">
      <w:pPr>
        <w:ind w:left="720"/>
        <w:rPr>
          <w:rFonts w:hint="cs"/>
          <w:rtl/>
        </w:rPr>
      </w:pPr>
      <w:r>
        <w:rPr>
          <w:rFonts w:hint="cs"/>
          <w:rtl/>
        </w:rPr>
        <w:t>לדבריה של המתלוננת, היא הכירה אותו מקודם הואיל והוא רץ אחריה לפעמים. היא עמדה ברחוב מספר מטרים ממנו והוא עמד ליד הצריף, כשבינו לבין הרחוב אין שום גדר.</w:t>
      </w:r>
    </w:p>
    <w:p w14:paraId="03C10742" w14:textId="77777777" w:rsidR="00F51D03" w:rsidRDefault="00F51D03">
      <w:pPr>
        <w:ind w:left="720" w:hanging="720"/>
        <w:rPr>
          <w:rFonts w:hint="cs"/>
          <w:rtl/>
        </w:rPr>
      </w:pPr>
    </w:p>
    <w:p w14:paraId="1F402288" w14:textId="77777777" w:rsidR="00F51D03" w:rsidRDefault="00F51D03">
      <w:pPr>
        <w:ind w:left="720" w:hanging="720"/>
        <w:rPr>
          <w:rFonts w:hint="cs"/>
          <w:rtl/>
        </w:rPr>
      </w:pPr>
      <w:r>
        <w:rPr>
          <w:rFonts w:hint="cs"/>
          <w:rtl/>
        </w:rPr>
        <w:tab/>
        <w:t>מעדותה של המתלוננת עולה בבירור שמדובר במעשה בעל אופי מיני, ולא בעשיית-צרכים.</w:t>
      </w:r>
    </w:p>
    <w:p w14:paraId="7A796DAE" w14:textId="77777777" w:rsidR="00F51D03" w:rsidRDefault="00F51D03">
      <w:pPr>
        <w:ind w:left="720" w:hanging="720"/>
        <w:rPr>
          <w:rFonts w:hint="cs"/>
          <w:rtl/>
        </w:rPr>
      </w:pPr>
    </w:p>
    <w:p w14:paraId="1F71A7D8" w14:textId="77777777" w:rsidR="00F51D03" w:rsidRDefault="00F51D03">
      <w:pPr>
        <w:ind w:left="720" w:hanging="720"/>
        <w:rPr>
          <w:rFonts w:hint="cs"/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>הנאשם בעדותו בביהמ"ש הכחיש את המעשה מכל וכל. עוד לפני שהעיד אמר (בעמ' 9 לפרוטוקול) כי אין לו בבית שירותים והוא עשה את צרכיו בחוץ, אבל לא את מה שמיוחס לו.</w:t>
      </w:r>
    </w:p>
    <w:p w14:paraId="6640D837" w14:textId="77777777" w:rsidR="00F51D03" w:rsidRDefault="00F51D03">
      <w:pPr>
        <w:ind w:left="720" w:hanging="720"/>
        <w:rPr>
          <w:rFonts w:hint="cs"/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>הזהרתי את עצמי שמדובר בעדות-יחידה, "מילה מול מילה", ובכל זאת אני נותן אמון-מלא בעדות-המתלוננת, שניכר היה שדבריה הם אמת.</w:t>
      </w:r>
    </w:p>
    <w:p w14:paraId="60B3B282" w14:textId="77777777" w:rsidR="00F51D03" w:rsidRDefault="00F51D03">
      <w:pPr>
        <w:ind w:left="720" w:hanging="720"/>
        <w:rPr>
          <w:rFonts w:hint="cs"/>
          <w:rtl/>
        </w:rPr>
      </w:pPr>
    </w:p>
    <w:p w14:paraId="68D42115" w14:textId="77777777" w:rsidR="00F51D03" w:rsidRDefault="00F51D03">
      <w:pPr>
        <w:ind w:left="720" w:hanging="720"/>
        <w:rPr>
          <w:rFonts w:hint="cs"/>
          <w:rtl/>
        </w:rPr>
      </w:pPr>
      <w:r>
        <w:rPr>
          <w:rFonts w:hint="cs"/>
          <w:rtl/>
        </w:rPr>
        <w:tab/>
        <w:t xml:space="preserve">גירסת הנאשם, שאיננו מכיר את המתלוננת בכלל, תמוהה, שהרי אם אכן כך, מדוע אישה מבוגרת, שעשתה רושם אמין ורציני, תעליל עליו עלילת שווא? </w:t>
      </w:r>
    </w:p>
    <w:p w14:paraId="2D060623" w14:textId="77777777" w:rsidR="00F51D03" w:rsidRDefault="00F51D03">
      <w:pPr>
        <w:ind w:left="720"/>
        <w:rPr>
          <w:rFonts w:hint="cs"/>
          <w:rtl/>
        </w:rPr>
      </w:pPr>
    </w:p>
    <w:p w14:paraId="5B262895" w14:textId="77777777" w:rsidR="00F51D03" w:rsidRDefault="00F51D03">
      <w:pPr>
        <w:ind w:left="720"/>
        <w:rPr>
          <w:rFonts w:hint="cs"/>
          <w:rtl/>
        </w:rPr>
      </w:pPr>
      <w:r>
        <w:rPr>
          <w:rFonts w:hint="cs"/>
          <w:rtl/>
        </w:rPr>
        <w:t>יתרה מזו - הנאשם בעדותו הותיר אחריו רושם של אדם-תמהוני משהו.</w:t>
      </w:r>
    </w:p>
    <w:p w14:paraId="61EFBAFD" w14:textId="77777777" w:rsidR="00F51D03" w:rsidRDefault="00F51D03">
      <w:pPr>
        <w:ind w:left="720" w:hanging="720"/>
        <w:rPr>
          <w:rFonts w:hint="cs"/>
          <w:rtl/>
        </w:rPr>
      </w:pPr>
    </w:p>
    <w:p w14:paraId="44E5541A" w14:textId="77777777" w:rsidR="00F51D03" w:rsidRDefault="00F51D03">
      <w:pPr>
        <w:ind w:left="720" w:hanging="720"/>
        <w:rPr>
          <w:rFonts w:hint="cs"/>
          <w:rtl/>
        </w:rPr>
      </w:pPr>
      <w:r>
        <w:rPr>
          <w:rFonts w:hint="cs"/>
          <w:rtl/>
        </w:rPr>
        <w:tab/>
        <w:t>אני מעדיף את גירסת המתלוננת על פי גירסת הנאשם, וקובע כי הוכח מעבר לספק-סביר כי הנאשם עשה את המיוחס לו, כאמור לעיל.</w:t>
      </w:r>
    </w:p>
    <w:p w14:paraId="2CD83B45" w14:textId="77777777" w:rsidR="00F51D03" w:rsidRDefault="00F51D03">
      <w:pPr>
        <w:ind w:left="720" w:hanging="720"/>
        <w:rPr>
          <w:rFonts w:hint="cs"/>
          <w:rtl/>
        </w:rPr>
      </w:pPr>
    </w:p>
    <w:p w14:paraId="7E668707" w14:textId="77777777" w:rsidR="00F51D03" w:rsidRDefault="001E2292">
      <w:pPr>
        <w:ind w:left="720" w:hanging="720"/>
        <w:rPr>
          <w:rFonts w:hint="cs"/>
          <w:b/>
          <w:bCs/>
          <w:rtl/>
        </w:rPr>
      </w:pPr>
      <w:r>
        <w:rPr>
          <w:rFonts w:hint="cs"/>
          <w:rtl/>
        </w:rPr>
        <w:t>5.</w:t>
      </w:r>
      <w:r>
        <w:rPr>
          <w:rFonts w:hint="cs"/>
          <w:rtl/>
        </w:rPr>
        <w:tab/>
        <w:t xml:space="preserve">סעיף </w:t>
      </w:r>
      <w:hyperlink r:id="rId12" w:history="1">
        <w:r w:rsidRPr="001E2292">
          <w:rPr>
            <w:color w:val="0000FF"/>
            <w:u w:val="single"/>
            <w:rtl/>
          </w:rPr>
          <w:t>349(א)</w:t>
        </w:r>
      </w:hyperlink>
      <w:r w:rsidR="00F51D03">
        <w:rPr>
          <w:rFonts w:hint="cs"/>
          <w:rtl/>
        </w:rPr>
        <w:t xml:space="preserve"> ל</w:t>
      </w:r>
      <w:hyperlink r:id="rId13" w:history="1">
        <w:r w:rsidR="003D1D2C" w:rsidRPr="003D1D2C">
          <w:rPr>
            <w:rStyle w:val="Hyperlink"/>
            <w:rFonts w:hint="eastAsia"/>
            <w:rtl/>
          </w:rPr>
          <w:t>חוק</w:t>
        </w:r>
        <w:r w:rsidR="003D1D2C" w:rsidRPr="003D1D2C">
          <w:rPr>
            <w:rStyle w:val="Hyperlink"/>
            <w:rtl/>
          </w:rPr>
          <w:t xml:space="preserve"> העונשין</w:t>
        </w:r>
      </w:hyperlink>
      <w:r w:rsidR="00F51D03">
        <w:rPr>
          <w:rFonts w:hint="cs"/>
          <w:rtl/>
        </w:rPr>
        <w:t xml:space="preserve"> תשל"ז - 1977 קובע: </w:t>
      </w:r>
      <w:r w:rsidR="00F51D03">
        <w:rPr>
          <w:rFonts w:hint="cs"/>
          <w:b/>
          <w:bCs/>
          <w:rtl/>
        </w:rPr>
        <w:tab/>
        <w:t>"העושה מעשה מגונה בפומבי בפני אדם אחר, ללא הסכמתו, או העושה מעשה כאמור בכל מקום שהוא תוך ניצול יחסי תלות, מרות, חינוך השגחה, עבודה או שירות, דינו  - מאסר שנה".</w:t>
      </w:r>
    </w:p>
    <w:p w14:paraId="3E5703E4" w14:textId="77777777" w:rsidR="00F51D03" w:rsidRDefault="00F51D03">
      <w:pPr>
        <w:rPr>
          <w:rFonts w:hint="cs"/>
          <w:rtl/>
        </w:rPr>
      </w:pPr>
    </w:p>
    <w:p w14:paraId="2B3D0E7B" w14:textId="77777777" w:rsidR="00F51D03" w:rsidRDefault="001E2292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סעיף </w:t>
      </w:r>
      <w:hyperlink r:id="rId14" w:history="1">
        <w:r w:rsidRPr="001E2292">
          <w:rPr>
            <w:color w:val="0000FF"/>
            <w:u w:val="single"/>
            <w:rtl/>
          </w:rPr>
          <w:t>348(ו)</w:t>
        </w:r>
      </w:hyperlink>
      <w:r w:rsidR="00F51D03">
        <w:rPr>
          <w:rFonts w:hint="cs"/>
          <w:rtl/>
        </w:rPr>
        <w:t xml:space="preserve"> לחוק, מגדיר "מעשה-מגונה" כ: </w:t>
      </w:r>
      <w:r w:rsidR="00F51D03">
        <w:rPr>
          <w:rFonts w:hint="cs"/>
          <w:b/>
          <w:bCs/>
          <w:rtl/>
        </w:rPr>
        <w:t>"מעשה לשם גירוי, סיפוק מיני או ביזוי מיניים"</w:t>
      </w:r>
      <w:r w:rsidR="00F51D03">
        <w:rPr>
          <w:rFonts w:hint="cs"/>
          <w:rtl/>
        </w:rPr>
        <w:t>.</w:t>
      </w:r>
    </w:p>
    <w:p w14:paraId="6061578D" w14:textId="77777777" w:rsidR="00F51D03" w:rsidRDefault="00F51D03">
      <w:pPr>
        <w:ind w:firstLine="720"/>
        <w:rPr>
          <w:rFonts w:hint="cs"/>
          <w:rtl/>
        </w:rPr>
      </w:pPr>
    </w:p>
    <w:p w14:paraId="1168B862" w14:textId="77777777" w:rsidR="00F51D03" w:rsidRDefault="001E2292">
      <w:pPr>
        <w:ind w:firstLine="720"/>
        <w:rPr>
          <w:rFonts w:hint="cs"/>
          <w:rtl/>
        </w:rPr>
      </w:pPr>
      <w:r>
        <w:rPr>
          <w:rFonts w:hint="cs"/>
          <w:rtl/>
        </w:rPr>
        <w:t xml:space="preserve">המונח "פומבי" מוגדר, בסעיף </w:t>
      </w:r>
      <w:hyperlink r:id="rId15" w:history="1">
        <w:r w:rsidRPr="001E2292">
          <w:rPr>
            <w:color w:val="0000FF"/>
            <w:u w:val="single"/>
            <w:rtl/>
          </w:rPr>
          <w:t>34כ"ד</w:t>
        </w:r>
      </w:hyperlink>
      <w:r w:rsidR="00F51D03">
        <w:rPr>
          <w:rFonts w:hint="cs"/>
          <w:rtl/>
        </w:rPr>
        <w:t xml:space="preserve"> לחוק, כדלקמן: </w:t>
      </w:r>
    </w:p>
    <w:p w14:paraId="79763A40" w14:textId="77777777" w:rsidR="00F51D03" w:rsidRDefault="00F51D03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"פומבי לעניין מעשה - </w:t>
      </w:r>
    </w:p>
    <w:p w14:paraId="47A5A15C" w14:textId="77777777" w:rsidR="00F51D03" w:rsidRDefault="00F51D03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1. מקום ציבורי, כשאדם יכול לראות את המעשה מכל מקום שהוא.</w:t>
      </w:r>
    </w:p>
    <w:p w14:paraId="382C26DB" w14:textId="77777777" w:rsidR="00F51D03" w:rsidRDefault="00F51D03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2. מקום שאינו ציבורי, ובלבד שאדם המצוי במקום ציבורי יכול לראות את המעשה".</w:t>
      </w:r>
    </w:p>
    <w:p w14:paraId="10DB70A2" w14:textId="77777777" w:rsidR="00F51D03" w:rsidRDefault="00F51D03">
      <w:pPr>
        <w:ind w:left="720"/>
        <w:rPr>
          <w:rFonts w:hint="cs"/>
          <w:rtl/>
        </w:rPr>
      </w:pPr>
    </w:p>
    <w:p w14:paraId="4D7CBEDB" w14:textId="77777777" w:rsidR="00F51D03" w:rsidRDefault="00F51D03">
      <w:pPr>
        <w:ind w:left="720"/>
        <w:rPr>
          <w:rFonts w:hint="cs"/>
          <w:rtl/>
        </w:rPr>
      </w:pPr>
      <w:r>
        <w:rPr>
          <w:rFonts w:hint="cs"/>
          <w:rtl/>
        </w:rPr>
        <w:t>במקובץ מהאמור לעיל, ברור שהנאשם עשה מעשה מגונה (לשם סיפוק מיני) במקום שבו כל אדם העובר ברחוב יכול היה לראותו.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45B2C6C1" w14:textId="77777777" w:rsidR="00F51D03" w:rsidRDefault="00F51D03">
      <w:pPr>
        <w:ind w:left="720"/>
        <w:rPr>
          <w:rFonts w:hint="cs"/>
          <w:rtl/>
        </w:rPr>
      </w:pPr>
    </w:p>
    <w:p w14:paraId="767FA2DE" w14:textId="77777777" w:rsidR="00F51D03" w:rsidRDefault="00F51D03">
      <w:pPr>
        <w:ind w:left="720" w:hanging="720"/>
        <w:rPr>
          <w:rFonts w:hint="cs"/>
          <w:rtl/>
        </w:rPr>
      </w:pPr>
      <w:r>
        <w:rPr>
          <w:rFonts w:hint="cs"/>
          <w:rtl/>
        </w:rPr>
        <w:t>6.</w:t>
      </w:r>
      <w:r>
        <w:rPr>
          <w:rFonts w:hint="cs"/>
          <w:rtl/>
        </w:rPr>
        <w:tab/>
      </w:r>
      <w:r>
        <w:rPr>
          <w:rFonts w:hint="cs"/>
          <w:u w:val="single"/>
          <w:rtl/>
        </w:rPr>
        <w:t>סיכומו של דבר</w:t>
      </w:r>
      <w:r>
        <w:rPr>
          <w:rFonts w:hint="cs"/>
          <w:rtl/>
        </w:rPr>
        <w:t>: הנאשם מורשע בזאת בעשיית מע</w:t>
      </w:r>
      <w:r w:rsidR="001E2292">
        <w:rPr>
          <w:rFonts w:hint="cs"/>
          <w:rtl/>
        </w:rPr>
        <w:t xml:space="preserve">שה מגונה בפומבי לפי סעיף </w:t>
      </w:r>
      <w:hyperlink r:id="rId16" w:history="1">
        <w:r w:rsidR="001E2292" w:rsidRPr="001E2292">
          <w:rPr>
            <w:color w:val="0000FF"/>
            <w:u w:val="single"/>
            <w:rtl/>
          </w:rPr>
          <w:t>349(א)</w:t>
        </w:r>
      </w:hyperlink>
      <w:r>
        <w:rPr>
          <w:rFonts w:hint="cs"/>
          <w:rtl/>
        </w:rPr>
        <w:t xml:space="preserve"> ל</w:t>
      </w:r>
      <w:hyperlink r:id="rId17" w:history="1">
        <w:r w:rsidR="003D1D2C" w:rsidRPr="003D1D2C">
          <w:rPr>
            <w:rStyle w:val="Hyperlink"/>
            <w:rFonts w:hint="eastAsia"/>
            <w:rtl/>
          </w:rPr>
          <w:t>חוק</w:t>
        </w:r>
        <w:r w:rsidR="003D1D2C" w:rsidRPr="003D1D2C">
          <w:rPr>
            <w:rStyle w:val="Hyperlink"/>
            <w:rtl/>
          </w:rPr>
          <w:t xml:space="preserve"> העונשין</w:t>
        </w:r>
      </w:hyperlink>
      <w:r>
        <w:rPr>
          <w:rFonts w:hint="cs"/>
          <w:rtl/>
        </w:rPr>
        <w:t xml:space="preserve"> התשל"ז - 1977.</w:t>
      </w:r>
    </w:p>
    <w:p w14:paraId="199806CD" w14:textId="77777777" w:rsidR="00F51D03" w:rsidRDefault="00F51D03">
      <w:pPr>
        <w:ind w:left="720"/>
        <w:rPr>
          <w:rFonts w:hint="cs"/>
          <w:rtl/>
        </w:rPr>
      </w:pPr>
    </w:p>
    <w:p w14:paraId="7849AC87" w14:textId="77777777" w:rsidR="00F51D03" w:rsidRDefault="00F51D03">
      <w:pPr>
        <w:ind w:firstLine="720"/>
        <w:rPr>
          <w:rFonts w:hint="cs"/>
          <w:b/>
          <w:bCs/>
          <w:rtl/>
        </w:rPr>
      </w:pPr>
      <w:bookmarkStart w:id="11" w:name="Decision1"/>
      <w:r>
        <w:rPr>
          <w:rFonts w:hint="cs"/>
          <w:b/>
          <w:bCs/>
          <w:rtl/>
        </w:rPr>
        <w:t>ניתנה היום כ' בחשון, תשס"ו (22 בנובמבר 2005) במעמד הנוכחים.</w:t>
      </w:r>
    </w:p>
    <w:tbl>
      <w:tblPr>
        <w:tblW w:w="0" w:type="auto"/>
        <w:tblInd w:w="5727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795"/>
      </w:tblGrid>
      <w:tr w:rsidR="00F51D03" w14:paraId="0DCA68B4" w14:textId="77777777">
        <w:tc>
          <w:tcPr>
            <w:tcW w:w="27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6CB0E0" w14:textId="77777777" w:rsidR="00F51D03" w:rsidRDefault="00F51D0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אהוד קפלן, שופט</w:t>
            </w:r>
          </w:p>
        </w:tc>
      </w:tr>
    </w:tbl>
    <w:p w14:paraId="291F8760" w14:textId="77777777" w:rsidR="00F51D03" w:rsidRDefault="00F51D03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ב"כ המאשימה טוענת לעונש:</w:t>
      </w:r>
    </w:p>
    <w:p w14:paraId="39993A61" w14:textId="77777777" w:rsidR="00F51D03" w:rsidRDefault="00F51D03">
      <w:pPr>
        <w:rPr>
          <w:rFonts w:hint="cs"/>
          <w:rtl/>
        </w:rPr>
      </w:pPr>
      <w:r>
        <w:rPr>
          <w:rFonts w:hint="cs"/>
          <w:rtl/>
        </w:rPr>
        <w:t>לנאשם הרשעות קודמות בעבירות של אלימות, עבירה של מעשה מגונה, עבירות רכוש - מוגש גליון הרשעות קודמות של הנאשם.</w:t>
      </w:r>
    </w:p>
    <w:p w14:paraId="4661602C" w14:textId="77777777" w:rsidR="00F51D03" w:rsidRDefault="00F51D03">
      <w:pPr>
        <w:rPr>
          <w:rFonts w:hint="cs"/>
          <w:rtl/>
        </w:rPr>
      </w:pPr>
      <w:r>
        <w:rPr>
          <w:rFonts w:hint="cs"/>
          <w:rtl/>
        </w:rPr>
        <w:t>למעשה ישנן מספר הרשעות בעבירה של מעשה מגונה.</w:t>
      </w:r>
    </w:p>
    <w:p w14:paraId="20B35606" w14:textId="77777777" w:rsidR="00F51D03" w:rsidRDefault="00F51D03">
      <w:pPr>
        <w:rPr>
          <w:rFonts w:hint="cs"/>
          <w:rtl/>
        </w:rPr>
      </w:pPr>
      <w:r>
        <w:rPr>
          <w:rFonts w:hint="cs"/>
          <w:rtl/>
        </w:rPr>
        <w:t>הנאשם הורשע לאחר שמיעת הוכחות בעבירה של מעשה מגונה בפומבי.</w:t>
      </w:r>
    </w:p>
    <w:p w14:paraId="1AF7D616" w14:textId="77777777" w:rsidR="00F51D03" w:rsidRDefault="00F51D03">
      <w:pPr>
        <w:rPr>
          <w:rFonts w:hint="cs"/>
          <w:rtl/>
        </w:rPr>
      </w:pPr>
      <w:r>
        <w:rPr>
          <w:rFonts w:hint="cs"/>
          <w:rtl/>
        </w:rPr>
        <w:t>מדובר בעבירה חמורה והאינטרס הציבורי מחייב ענישה משמעותית ומרתיעה בעבירות אלה.</w:t>
      </w:r>
    </w:p>
    <w:p w14:paraId="30DCBC6C" w14:textId="77777777" w:rsidR="00F51D03" w:rsidRDefault="00F51D03">
      <w:pPr>
        <w:rPr>
          <w:rFonts w:hint="cs"/>
          <w:rtl/>
        </w:rPr>
      </w:pPr>
      <w:r>
        <w:rPr>
          <w:rFonts w:hint="cs"/>
          <w:rtl/>
        </w:rPr>
        <w:t>המאשימה תבקש להטיל על הנאשם עונש של מאסר בפועל, מאסר על תנאי, קנס ופיצוי למתלוננת.</w:t>
      </w:r>
    </w:p>
    <w:p w14:paraId="1F353814" w14:textId="77777777" w:rsidR="00F51D03" w:rsidRDefault="00F51D03">
      <w:pPr>
        <w:rPr>
          <w:rFonts w:hint="cs"/>
          <w:rtl/>
        </w:rPr>
      </w:pPr>
      <w:r>
        <w:rPr>
          <w:rFonts w:hint="cs"/>
          <w:rtl/>
        </w:rPr>
        <w:t>ביהמ"ש צריך להביע סלידה מהתנהגויות כאלה המתרחשות ברחוב ואשר פוגעות באזרחים.</w:t>
      </w:r>
    </w:p>
    <w:p w14:paraId="57B51D9F" w14:textId="77777777" w:rsidR="00F51D03" w:rsidRDefault="00F51D03">
      <w:pPr>
        <w:rPr>
          <w:rFonts w:hint="cs"/>
          <w:rtl/>
        </w:rPr>
      </w:pPr>
      <w:r>
        <w:rPr>
          <w:rFonts w:hint="cs"/>
          <w:rtl/>
        </w:rPr>
        <w:t>אבהיר כי בדיון בפני כב' השופט מוחסן הנאשם ציין שהוא לא מעוניין בסניגור.</w:t>
      </w:r>
    </w:p>
    <w:p w14:paraId="5A3E4C1B" w14:textId="77777777" w:rsidR="00F51D03" w:rsidRDefault="00F51D03">
      <w:pPr>
        <w:rPr>
          <w:rFonts w:hint="cs"/>
          <w:rtl/>
        </w:rPr>
      </w:pPr>
    </w:p>
    <w:p w14:paraId="22FA7E81" w14:textId="77777777" w:rsidR="00F51D03" w:rsidRDefault="00F51D03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הנאשם טוען לעונש:</w:t>
      </w:r>
    </w:p>
    <w:p w14:paraId="7ED3D468" w14:textId="77777777" w:rsidR="00F51D03" w:rsidRDefault="00F51D03">
      <w:pPr>
        <w:rPr>
          <w:rFonts w:hint="cs"/>
          <w:rtl/>
        </w:rPr>
      </w:pPr>
      <w:r>
        <w:rPr>
          <w:rFonts w:hint="cs"/>
          <w:rtl/>
        </w:rPr>
        <w:t>אני לא עשיתים כלום.</w:t>
      </w:r>
    </w:p>
    <w:p w14:paraId="1F8886CE" w14:textId="77777777" w:rsidR="00F51D03" w:rsidRDefault="00F51D03">
      <w:pPr>
        <w:rPr>
          <w:rFonts w:hint="cs"/>
          <w:rtl/>
        </w:rPr>
      </w:pPr>
    </w:p>
    <w:p w14:paraId="53A84B66" w14:textId="77777777" w:rsidR="00F51D03" w:rsidRDefault="00F51D03">
      <w:pPr>
        <w:pStyle w:val="Heading1"/>
        <w:rPr>
          <w:rFonts w:hint="cs"/>
          <w:rtl/>
        </w:rPr>
      </w:pPr>
      <w:r>
        <w:rPr>
          <w:rFonts w:hint="cs"/>
          <w:rtl/>
        </w:rPr>
        <w:t>גזר - דין</w:t>
      </w:r>
    </w:p>
    <w:p w14:paraId="7A617B97" w14:textId="77777777" w:rsidR="00F51D03" w:rsidRDefault="00F51D03">
      <w:pPr>
        <w:rPr>
          <w:rFonts w:hint="cs"/>
          <w:rtl/>
        </w:rPr>
      </w:pPr>
    </w:p>
    <w:p w14:paraId="08CF5382" w14:textId="77777777" w:rsidR="00F51D03" w:rsidRDefault="00F51D03">
      <w:pPr>
        <w:rPr>
          <w:rFonts w:hint="cs"/>
          <w:rtl/>
        </w:rPr>
      </w:pPr>
      <w:r>
        <w:rPr>
          <w:rFonts w:hint="cs"/>
          <w:rtl/>
        </w:rPr>
        <w:t>הנאשם הורשע לאחר שמיעת הראיות בתיק בעבירה המיוחסת לו בכתב האישום - מעשה מגונה בפומבי.</w:t>
      </w:r>
    </w:p>
    <w:p w14:paraId="14C35B40" w14:textId="77777777" w:rsidR="00F51D03" w:rsidRDefault="00F51D03">
      <w:pPr>
        <w:rPr>
          <w:rFonts w:hint="cs"/>
          <w:rtl/>
        </w:rPr>
      </w:pPr>
    </w:p>
    <w:p w14:paraId="2590627F" w14:textId="77777777" w:rsidR="00F51D03" w:rsidRDefault="00F51D03">
      <w:pPr>
        <w:rPr>
          <w:rFonts w:hint="cs"/>
          <w:rtl/>
        </w:rPr>
      </w:pPr>
      <w:r>
        <w:rPr>
          <w:rFonts w:hint="cs"/>
          <w:rtl/>
        </w:rPr>
        <w:t>מדובר באירוע שהיה לפני 3.5 שנים.</w:t>
      </w:r>
    </w:p>
    <w:p w14:paraId="2F1F571D" w14:textId="77777777" w:rsidR="00F51D03" w:rsidRDefault="00F51D03">
      <w:pPr>
        <w:rPr>
          <w:rFonts w:hint="cs"/>
          <w:rtl/>
        </w:rPr>
      </w:pPr>
    </w:p>
    <w:p w14:paraId="605DB71E" w14:textId="77777777" w:rsidR="00F51D03" w:rsidRDefault="00F51D03">
      <w:pPr>
        <w:rPr>
          <w:rFonts w:hint="cs"/>
          <w:rtl/>
        </w:rPr>
      </w:pPr>
      <w:r>
        <w:rPr>
          <w:rFonts w:hint="cs"/>
          <w:rtl/>
        </w:rPr>
        <w:t xml:space="preserve">לנאשם אומנם יש הרשעות קודמות מסוג זה, ונכון גם שבישיבת ההקראה הראשונה הוא הודיע לשופט המנ"ת כי הוא איננו מעוניין בסניגור ציבורי, אבל יש לזכור שהמאשימה בשום שלב של הדיון </w:t>
      </w:r>
      <w:r>
        <w:rPr>
          <w:rFonts w:hint="cs"/>
          <w:rtl/>
        </w:rPr>
        <w:lastRenderedPageBreak/>
        <w:t>לא הודיעה לביהמ"ש כי בכוונתה לדרוש מאסר בפועל, וגם הנאשם מן הסתם רשאי היה לחשוב שאין בכוונת המאשימה לבקש מאסר בפועל, ואולי מטעם זה ויתר על זכותו לסניגור ציבורי.</w:t>
      </w:r>
    </w:p>
    <w:p w14:paraId="0646F3F6" w14:textId="77777777" w:rsidR="00F51D03" w:rsidRDefault="00F51D03">
      <w:pPr>
        <w:rPr>
          <w:rFonts w:hint="cs"/>
          <w:rtl/>
        </w:rPr>
      </w:pPr>
    </w:p>
    <w:p w14:paraId="6B09D3B8" w14:textId="77777777" w:rsidR="00F51D03" w:rsidRDefault="00F51D03">
      <w:pPr>
        <w:rPr>
          <w:rFonts w:hint="cs"/>
          <w:rtl/>
        </w:rPr>
      </w:pPr>
      <w:r>
        <w:rPr>
          <w:rFonts w:hint="cs"/>
          <w:rtl/>
        </w:rPr>
        <w:t>בנסיבות העניין, לא יהיה זה הוגן להטיל על הנאשם מאסר בפועל.</w:t>
      </w:r>
    </w:p>
    <w:p w14:paraId="730C3240" w14:textId="77777777" w:rsidR="00F51D03" w:rsidRDefault="00F51D03">
      <w:pPr>
        <w:rPr>
          <w:rFonts w:hint="cs"/>
          <w:rtl/>
        </w:rPr>
      </w:pPr>
    </w:p>
    <w:p w14:paraId="35F0BD8F" w14:textId="77777777" w:rsidR="00F51D03" w:rsidRDefault="00F51D03">
      <w:pPr>
        <w:rPr>
          <w:rFonts w:hint="cs"/>
          <w:rtl/>
        </w:rPr>
      </w:pPr>
      <w:r>
        <w:rPr>
          <w:rFonts w:hint="cs"/>
          <w:rtl/>
        </w:rPr>
        <w:t>לפיכך אני גוזר על הנאשם מאסר על תנאי לתקופה של 6 חודשים, והתנאי הוא שהנאשם לא יעבור במשך 3 שנים מהיום עבירות על הסעיפים בהם הורשע בתיק זה או עבירות מין מסוג אחר, ויורשע בהן בין בתקופת התנאי ובין לאחריו.</w:t>
      </w:r>
    </w:p>
    <w:p w14:paraId="6FA4D79C" w14:textId="77777777" w:rsidR="00F51D03" w:rsidRDefault="00F51D03">
      <w:pPr>
        <w:rPr>
          <w:rFonts w:hint="cs"/>
          <w:b/>
          <w:bCs/>
          <w:u w:val="single"/>
          <w:rtl/>
        </w:rPr>
      </w:pPr>
    </w:p>
    <w:p w14:paraId="21F07283" w14:textId="77777777" w:rsidR="00F51D03" w:rsidRDefault="00F51D03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הודעה והוסברה זכות הערעור תוך 45 יום מהיום לבית המשפט המחוזי בחיפה.</w:t>
      </w:r>
    </w:p>
    <w:p w14:paraId="2065C25D" w14:textId="77777777" w:rsidR="00F51D03" w:rsidRDefault="00F51D03">
      <w:pPr>
        <w:rPr>
          <w:rFonts w:hint="cs"/>
          <w:b/>
          <w:bCs/>
          <w:rtl/>
        </w:rPr>
      </w:pPr>
    </w:p>
    <w:p w14:paraId="7ADE3B27" w14:textId="77777777" w:rsidR="00F51D03" w:rsidRDefault="00F51D03">
      <w:pPr>
        <w:rPr>
          <w:rFonts w:hint="cs"/>
          <w:rtl/>
        </w:rPr>
      </w:pPr>
      <w:r>
        <w:rPr>
          <w:rFonts w:hint="cs"/>
          <w:rtl/>
        </w:rPr>
        <w:t>למזכירות - התיק ירשם כסגור.</w:t>
      </w:r>
    </w:p>
    <w:p w14:paraId="3A905169" w14:textId="77777777" w:rsidR="00F51D03" w:rsidRDefault="00F51D03">
      <w:pPr>
        <w:rPr>
          <w:rFonts w:hint="cs"/>
          <w:b/>
          <w:bCs/>
          <w:rtl/>
        </w:rPr>
      </w:pPr>
    </w:p>
    <w:p w14:paraId="4D9007EE" w14:textId="77777777" w:rsidR="00F51D03" w:rsidRDefault="00F51D03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ניתן היום 30 בנובמבר, 2005 (כ"ח בחשון תשס"ו) במעמד הצדדים דלעיל.</w:t>
      </w:r>
    </w:p>
    <w:p w14:paraId="298D06AF" w14:textId="77777777" w:rsidR="00F51D03" w:rsidRDefault="00F51D03">
      <w:pPr>
        <w:rPr>
          <w:b/>
          <w:bCs/>
          <w:color w:val="FFFFFF"/>
          <w:sz w:val="2"/>
          <w:szCs w:val="2"/>
          <w:rtl/>
        </w:rPr>
      </w:pPr>
    </w:p>
    <w:p w14:paraId="22463D85" w14:textId="77777777" w:rsidR="00F51D03" w:rsidRDefault="00F51D03">
      <w:pPr>
        <w:rPr>
          <w:b/>
          <w:bCs/>
          <w:color w:val="FFFFFF"/>
          <w:sz w:val="2"/>
          <w:szCs w:val="2"/>
          <w:rtl/>
        </w:rPr>
      </w:pPr>
      <w:r>
        <w:rPr>
          <w:b/>
          <w:bCs/>
          <w:color w:val="FFFFFF"/>
          <w:sz w:val="2"/>
          <w:szCs w:val="2"/>
          <w:rtl/>
        </w:rPr>
        <w:t>5129371</w:t>
      </w:r>
    </w:p>
    <w:p w14:paraId="7BB2D7E7" w14:textId="77777777" w:rsidR="00F51D03" w:rsidRDefault="00F51D03">
      <w:pPr>
        <w:keepNext/>
        <w:jc w:val="left"/>
        <w:rPr>
          <w:rFonts w:hAnsi="David"/>
          <w:color w:val="000000"/>
          <w:sz w:val="22"/>
          <w:szCs w:val="22"/>
          <w:rtl/>
        </w:rPr>
      </w:pPr>
    </w:p>
    <w:p w14:paraId="1711A8CA" w14:textId="77777777" w:rsidR="00F51D03" w:rsidRDefault="00F51D03">
      <w:pPr>
        <w:keepNext/>
        <w:jc w:val="left"/>
        <w:rPr>
          <w:rFonts w:hAnsi="David"/>
          <w:color w:val="000000"/>
          <w:sz w:val="22"/>
          <w:szCs w:val="22"/>
          <w:rtl/>
        </w:rPr>
      </w:pPr>
      <w:r>
        <w:rPr>
          <w:rFonts w:hAnsi="David"/>
          <w:color w:val="000000"/>
          <w:sz w:val="22"/>
          <w:szCs w:val="22"/>
          <w:rtl/>
        </w:rPr>
        <w:t>אהוד קפלן 54678313-1849/04</w:t>
      </w:r>
    </w:p>
    <w:p w14:paraId="1B850834" w14:textId="77777777" w:rsidR="00F51D03" w:rsidRDefault="00F51D03">
      <w:pPr>
        <w:rPr>
          <w:b/>
          <w:bCs/>
          <w:rtl/>
        </w:rPr>
      </w:pPr>
      <w:r>
        <w:rPr>
          <w:b/>
          <w:bCs/>
          <w:color w:val="FFFFFF"/>
          <w:sz w:val="2"/>
          <w:szCs w:val="2"/>
          <w:rtl/>
        </w:rPr>
        <w:t>54678313</w:t>
      </w:r>
    </w:p>
    <w:tbl>
      <w:tblPr>
        <w:tblW w:w="0" w:type="auto"/>
        <w:tblInd w:w="5727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802"/>
      </w:tblGrid>
      <w:tr w:rsidR="00F51D03" w14:paraId="49FD2EE5" w14:textId="77777777">
        <w:tc>
          <w:tcPr>
            <w:tcW w:w="28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987CEB" w14:textId="77777777" w:rsidR="00F51D03" w:rsidRDefault="00F51D0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אהוד קפלן - שופט</w:t>
            </w:r>
          </w:p>
        </w:tc>
      </w:tr>
    </w:tbl>
    <w:p w14:paraId="10FCD3C5" w14:textId="77777777" w:rsidR="00F51D03" w:rsidRDefault="00F51D03">
      <w:pPr>
        <w:rPr>
          <w:rFonts w:hint="cs"/>
          <w:rtl/>
        </w:rPr>
      </w:pPr>
    </w:p>
    <w:p w14:paraId="4E54F878" w14:textId="77777777" w:rsidR="00F51D03" w:rsidRDefault="00F51D03">
      <w:pPr>
        <w:rPr>
          <w:rFonts w:hint="cs"/>
          <w:rtl/>
        </w:rPr>
      </w:pPr>
    </w:p>
    <w:p w14:paraId="2CCCED82" w14:textId="77777777" w:rsidR="00F51D03" w:rsidRDefault="00F51D03">
      <w:pPr>
        <w:rPr>
          <w:sz w:val="24"/>
          <w:rtl/>
        </w:rPr>
      </w:pPr>
    </w:p>
    <w:bookmarkEnd w:id="11"/>
    <w:p w14:paraId="4CC06CDE" w14:textId="77777777" w:rsidR="00F51D03" w:rsidRDefault="00F51D03">
      <w:pPr>
        <w:rPr>
          <w:rFonts w:hint="cs"/>
          <w:rtl/>
        </w:rPr>
      </w:pPr>
    </w:p>
    <w:p w14:paraId="0D1D55EC" w14:textId="77777777" w:rsidR="00F51D03" w:rsidRDefault="00F51D03">
      <w:pPr>
        <w:rPr>
          <w:rFonts w:hint="cs"/>
          <w:rtl/>
        </w:rPr>
      </w:pPr>
    </w:p>
    <w:p w14:paraId="3975E6F9" w14:textId="77777777" w:rsidR="00F51D03" w:rsidRDefault="00F51D03">
      <w:pPr>
        <w:jc w:val="left"/>
        <w:rPr>
          <w:rFonts w:hint="cs"/>
          <w:color w:val="000000"/>
          <w:rtl/>
        </w:rPr>
      </w:pPr>
      <w:r>
        <w:rPr>
          <w:rFonts w:hint="cs"/>
          <w:rtl/>
        </w:rPr>
        <w:t>עינבל.א.</w:t>
      </w:r>
    </w:p>
    <w:p w14:paraId="7B2AA6AF" w14:textId="77777777" w:rsidR="00F51D03" w:rsidRDefault="00F51D03">
      <w:pPr>
        <w:jc w:val="left"/>
        <w:rPr>
          <w:rFonts w:hint="cs"/>
          <w:rtl/>
        </w:rPr>
      </w:pPr>
      <w:r>
        <w:rPr>
          <w:color w:val="000000"/>
          <w:rtl/>
        </w:rPr>
        <w:t>נוסח מסמך זה כפוף לשינויי ניסוח ועריכה</w:t>
      </w:r>
    </w:p>
    <w:sectPr w:rsidR="00F51D03">
      <w:headerReference w:type="even" r:id="rId18"/>
      <w:headerReference w:type="default" r:id="rId19"/>
      <w:footerReference w:type="even" r:id="rId20"/>
      <w:footerReference w:type="default" r:id="rId21"/>
      <w:endnotePr>
        <w:numFmt w:val="lowerLetter"/>
      </w:endnotePr>
      <w:pgSz w:w="12240" w:h="15840"/>
      <w:pgMar w:top="1701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5488D" w14:textId="77777777" w:rsidR="006C1425" w:rsidRDefault="006C1425">
      <w:r>
        <w:separator/>
      </w:r>
    </w:p>
  </w:endnote>
  <w:endnote w:type="continuationSeparator" w:id="0">
    <w:p w14:paraId="5653459E" w14:textId="77777777" w:rsidR="006C1425" w:rsidRDefault="006C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Calligraphic">
    <w:altName w:val="Arial"/>
    <w:charset w:val="B1"/>
    <w:family w:val="auto"/>
    <w:pitch w:val="variable"/>
    <w:sig w:usb0="00001801" w:usb1="40000000" w:usb2="00000000" w:usb3="00000000" w:csb0="00000020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F716B" w14:textId="77777777" w:rsidR="00F47EDD" w:rsidRDefault="00F47EDD">
    <w:pPr>
      <w:pStyle w:val="Footer"/>
      <w:jc w:val="center"/>
      <w:rPr>
        <w:rFonts w:hAnsi="FrankRuehl" w:cs="FrankRuehl"/>
        <w:sz w:val="24"/>
        <w:rtl/>
      </w:rPr>
    </w:pPr>
    <w:r>
      <w:rPr>
        <w:rFonts w:hAnsi="FrankRuehl" w:cs="FrankRuehl"/>
        <w:sz w:val="24"/>
        <w:rtl/>
      </w:rPr>
      <w:fldChar w:fldCharType="begin"/>
    </w:r>
    <w:r>
      <w:rPr>
        <w:rFonts w:hAnsi="FrankRuehl" w:cs="FrankRuehl"/>
        <w:sz w:val="24"/>
        <w:rtl/>
      </w:rPr>
      <w:instrText xml:space="preserve"> </w:instrText>
    </w:r>
    <w:r>
      <w:rPr>
        <w:rFonts w:hAnsi="FrankRuehl" w:cs="FrankRuehl"/>
        <w:sz w:val="24"/>
      </w:rPr>
      <w:instrText xml:space="preserve">PAGE </w:instrText>
    </w:r>
    <w:r>
      <w:rPr>
        <w:rFonts w:hAnsi="FrankRuehl" w:cs="FrankRuehl"/>
        <w:sz w:val="24"/>
        <w:rtl/>
      </w:rPr>
      <w:instrText xml:space="preserve"> \* </w:instrText>
    </w:r>
    <w:r>
      <w:rPr>
        <w:rFonts w:hAnsi="FrankRuehl" w:cs="FrankRuehl"/>
        <w:sz w:val="24"/>
      </w:rPr>
      <w:instrText>MERGEFORMAT</w:instrText>
    </w:r>
    <w:r>
      <w:rPr>
        <w:rFonts w:hAnsi="FrankRuehl" w:cs="FrankRuehl"/>
        <w:sz w:val="24"/>
        <w:rtl/>
      </w:rPr>
      <w:instrText xml:space="preserve"> </w:instrText>
    </w:r>
    <w:r>
      <w:rPr>
        <w:rFonts w:hAnsi="FrankRuehl" w:cs="FrankRuehl"/>
        <w:sz w:val="24"/>
        <w:rtl/>
      </w:rPr>
      <w:fldChar w:fldCharType="separate"/>
    </w:r>
    <w:r>
      <w:rPr>
        <w:rFonts w:hAnsi="FrankRuehl" w:cs="FrankRuehl"/>
        <w:sz w:val="24"/>
        <w:rtl/>
      </w:rPr>
      <w:t>4</w:t>
    </w:r>
    <w:r>
      <w:rPr>
        <w:rFonts w:hAnsi="FrankRuehl" w:cs="FrankRuehl"/>
        <w:sz w:val="24"/>
        <w:rtl/>
      </w:rPr>
      <w:fldChar w:fldCharType="end"/>
    </w:r>
  </w:p>
  <w:p w14:paraId="39DEF99A" w14:textId="77777777" w:rsidR="00F47EDD" w:rsidRDefault="00F47EDD">
    <w:pPr>
      <w:pStyle w:val="Footer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A1A59B8" w14:textId="77777777" w:rsidR="00F47EDD" w:rsidRDefault="00F47EDD">
    <w:pPr>
      <w:pStyle w:val="Footer"/>
      <w:pBdr>
        <w:top w:val="single" w:sz="4" w:space="1" w:color="auto"/>
        <w:between w:val="single" w:sz="4" w:space="0" w:color="auto"/>
      </w:pBdr>
      <w:spacing w:line="240" w:lineRule="auto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D1D2C">
      <w:rPr>
        <w:rFonts w:cs="TopType Jerushalmi"/>
        <w:noProof/>
        <w:color w:val="000000"/>
        <w:sz w:val="14"/>
        <w:szCs w:val="14"/>
      </w:rPr>
      <w:t>Z:\00000000000000000000000000000000000-2016---------------\HAKIKA-KIDUD-2016\2005\shalom\word\outdoc-nohyper\03\OutDoc-Makor\s04001849-206.doc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974EB" w14:textId="77777777" w:rsidR="00F47EDD" w:rsidRDefault="00F47EDD">
    <w:pPr>
      <w:pStyle w:val="Footer"/>
      <w:jc w:val="center"/>
      <w:rPr>
        <w:rFonts w:hAnsi="FrankRuehl" w:cs="FrankRuehl"/>
        <w:sz w:val="24"/>
        <w:rtl/>
      </w:rPr>
    </w:pPr>
    <w:r>
      <w:rPr>
        <w:rFonts w:hAnsi="FrankRuehl" w:cs="FrankRuehl"/>
        <w:sz w:val="24"/>
        <w:rtl/>
      </w:rPr>
      <w:fldChar w:fldCharType="begin"/>
    </w:r>
    <w:r>
      <w:rPr>
        <w:rFonts w:hAnsi="FrankRuehl" w:cs="FrankRuehl"/>
        <w:sz w:val="24"/>
        <w:rtl/>
      </w:rPr>
      <w:instrText xml:space="preserve"> </w:instrText>
    </w:r>
    <w:r>
      <w:rPr>
        <w:rFonts w:hAnsi="FrankRuehl" w:cs="FrankRuehl"/>
        <w:sz w:val="24"/>
      </w:rPr>
      <w:instrText xml:space="preserve">PAGE </w:instrText>
    </w:r>
    <w:r>
      <w:rPr>
        <w:rFonts w:hAnsi="FrankRuehl" w:cs="FrankRuehl"/>
        <w:sz w:val="24"/>
        <w:rtl/>
      </w:rPr>
      <w:instrText xml:space="preserve"> \* </w:instrText>
    </w:r>
    <w:r>
      <w:rPr>
        <w:rFonts w:hAnsi="FrankRuehl" w:cs="FrankRuehl"/>
        <w:sz w:val="24"/>
      </w:rPr>
      <w:instrText>MERGEFORMAT</w:instrText>
    </w:r>
    <w:r>
      <w:rPr>
        <w:rFonts w:hAnsi="FrankRuehl" w:cs="FrankRuehl"/>
        <w:sz w:val="24"/>
        <w:rtl/>
      </w:rPr>
      <w:instrText xml:space="preserve"> </w:instrText>
    </w:r>
    <w:r>
      <w:rPr>
        <w:rFonts w:hAnsi="FrankRuehl" w:cs="FrankRuehl"/>
        <w:sz w:val="24"/>
        <w:rtl/>
      </w:rPr>
      <w:fldChar w:fldCharType="separate"/>
    </w:r>
    <w:r w:rsidR="000C55BD">
      <w:rPr>
        <w:rFonts w:hAnsi="FrankRuehl" w:cs="FrankRuehl"/>
        <w:noProof/>
        <w:sz w:val="24"/>
        <w:rtl/>
      </w:rPr>
      <w:t>2</w:t>
    </w:r>
    <w:r>
      <w:rPr>
        <w:rFonts w:hAnsi="FrankRuehl" w:cs="FrankRuehl"/>
        <w:sz w:val="24"/>
        <w:rtl/>
      </w:rPr>
      <w:fldChar w:fldCharType="end"/>
    </w:r>
  </w:p>
  <w:p w14:paraId="5E7748FD" w14:textId="77777777" w:rsidR="00F47EDD" w:rsidRDefault="00F47EDD">
    <w:pPr>
      <w:pStyle w:val="Footer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1380839" w14:textId="77777777" w:rsidR="00F47EDD" w:rsidRDefault="00F47EDD">
    <w:pPr>
      <w:pStyle w:val="Footer"/>
      <w:pBdr>
        <w:top w:val="single" w:sz="4" w:space="1" w:color="auto"/>
        <w:between w:val="single" w:sz="4" w:space="0" w:color="auto"/>
      </w:pBdr>
      <w:spacing w:line="240" w:lineRule="auto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D1D2C">
      <w:rPr>
        <w:rFonts w:cs="TopType Jerushalmi"/>
        <w:noProof/>
        <w:color w:val="000000"/>
        <w:sz w:val="14"/>
        <w:szCs w:val="14"/>
      </w:rPr>
      <w:t>Z:\00000000000000000000000000000000000-2016---------------\HAKIKA-KIDUD-2016\2005\shalom\word\outdoc-nohyper\03\OutDoc-Makor\s04001849-206.doc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98BAD" w14:textId="77777777" w:rsidR="006C1425" w:rsidRDefault="006C1425">
      <w:r>
        <w:separator/>
      </w:r>
    </w:p>
  </w:footnote>
  <w:footnote w:type="continuationSeparator" w:id="0">
    <w:p w14:paraId="0D97754F" w14:textId="77777777" w:rsidR="006C1425" w:rsidRDefault="006C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66AFD" w14:textId="77777777" w:rsidR="00F47EDD" w:rsidRDefault="00F47EDD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rFonts w:hAnsi="David"/>
        <w:color w:val="000000"/>
        <w:sz w:val="22"/>
        <w:szCs w:val="22"/>
        <w:rtl/>
      </w:rPr>
    </w:pPr>
    <w:r>
      <w:rPr>
        <w:rFonts w:hAnsi="David"/>
        <w:color w:val="000000"/>
        <w:sz w:val="22"/>
        <w:szCs w:val="22"/>
        <w:rtl/>
      </w:rPr>
      <w:t>תפ (חד') 1849/04</w:t>
    </w:r>
    <w:r>
      <w:rPr>
        <w:rFonts w:hAnsi="David"/>
        <w:color w:val="000000"/>
        <w:sz w:val="22"/>
        <w:szCs w:val="22"/>
        <w:rtl/>
      </w:rPr>
      <w:tab/>
      <w:t xml:space="preserve"> מדינת ישראל - תביעות חדרה נ' אבו סעדיה מחמד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FC141" w14:textId="77777777" w:rsidR="00F47EDD" w:rsidRDefault="00F47EDD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rFonts w:hAnsi="David"/>
        <w:color w:val="000000"/>
        <w:sz w:val="22"/>
        <w:szCs w:val="22"/>
        <w:rtl/>
      </w:rPr>
    </w:pPr>
    <w:r>
      <w:rPr>
        <w:rFonts w:hAnsi="David"/>
        <w:color w:val="000000"/>
        <w:sz w:val="22"/>
        <w:szCs w:val="22"/>
        <w:rtl/>
      </w:rPr>
      <w:t>תפ (חד') 1849/04</w:t>
    </w:r>
    <w:r>
      <w:rPr>
        <w:rFonts w:hAnsi="David"/>
        <w:color w:val="000000"/>
        <w:sz w:val="22"/>
        <w:szCs w:val="22"/>
        <w:rtl/>
      </w:rPr>
      <w:tab/>
      <w:t xml:space="preserve"> מדינת ישראל - תביעות חדרה נ' אבו סעדיה מחמד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footnoteLayoutLikeWW8/>
    <w:shapeLayoutLikeWW8/>
    <w:alignTablesRowByRow/>
    <w:forgetLastTabAlignment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lastQuoteMode" w:val="חזור ל-Normal"/>
    <w:docVar w:name="MyInfo" w:val="This document was extracted from Nevo's site"/>
  </w:docVars>
  <w:rsids>
    <w:rsidRoot w:val="00F51D03"/>
    <w:rsid w:val="000C55BD"/>
    <w:rsid w:val="001E2292"/>
    <w:rsid w:val="003D1D2C"/>
    <w:rsid w:val="006C1425"/>
    <w:rsid w:val="00BC11A5"/>
    <w:rsid w:val="00F47EDD"/>
    <w:rsid w:val="00F5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D989689"/>
  <w15:chartTrackingRefBased/>
  <w15:docId w15:val="{3A043BD8-9CD1-4EFD-A2BB-ED1EFEA8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  <w:spacing w:line="360" w:lineRule="auto"/>
      <w:jc w:val="both"/>
    </w:pPr>
    <w:rPr>
      <w:rFonts w:cs="David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napToGrid w:val="0"/>
      <w:spacing w:before="240" w:after="60"/>
      <w:jc w:val="center"/>
      <w:outlineLvl w:val="1"/>
    </w:pPr>
    <w:rPr>
      <w:rFonts w:asci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2"/>
    </w:rPr>
  </w:style>
  <w:style w:type="paragraph" w:customStyle="1" w:styleId="1">
    <w:name w:val="רגיל1"/>
    <w:pPr>
      <w:bidi/>
      <w:snapToGrid w:val="0"/>
    </w:pPr>
    <w:rPr>
      <w:rFonts w:cs="David"/>
      <w:szCs w:val="24"/>
    </w:rPr>
  </w:style>
  <w:style w:type="paragraph" w:customStyle="1" w:styleId="a">
    <w:name w:val="שמות"/>
    <w:basedOn w:val="Normal"/>
    <w:pPr>
      <w:suppressLineNumbers/>
      <w:snapToGrid w:val="0"/>
    </w:pPr>
    <w:rPr>
      <w:b/>
      <w:bCs/>
      <w:sz w:val="22"/>
    </w:rPr>
  </w:style>
  <w:style w:type="paragraph" w:customStyle="1" w:styleId="10">
    <w:name w:val="חתימה1"/>
    <w:basedOn w:val="Heading2"/>
    <w:pPr>
      <w:suppressLineNumbers/>
    </w:pPr>
    <w:rPr>
      <w:rFonts w:hAnsi="Arial"/>
      <w:bCs w:val="0"/>
      <w:szCs w:val="24"/>
    </w:rPr>
  </w:style>
  <w:style w:type="paragraph" w:customStyle="1" w:styleId="a0">
    <w:name w:val="החלטה"/>
    <w:basedOn w:val="1"/>
    <w:pPr>
      <w:suppressLineNumbers/>
    </w:pPr>
    <w:rPr>
      <w:bCs/>
    </w:rPr>
  </w:style>
  <w:style w:type="paragraph" w:customStyle="1" w:styleId="a1">
    <w:name w:val="חקירה"/>
    <w:basedOn w:val="1"/>
    <w:pPr>
      <w:suppressLineNumbers/>
    </w:pPr>
  </w:style>
  <w:style w:type="character" w:styleId="PageNumber">
    <w:name w:val="page number"/>
    <w:rPr>
      <w:rFonts w:cs="David"/>
    </w:rPr>
  </w:style>
  <w:style w:type="character" w:styleId="Hyperlink">
    <w:name w:val="Hyperlink"/>
    <w:rsid w:val="003D1D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/349.a" TargetMode="External"/><Relationship Id="rId13" Type="http://schemas.openxmlformats.org/officeDocument/2006/relationships/hyperlink" Target="http://www.nevo.co.il/law/70301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hyperlink" Target="http://www.nevo.co.il/law/70301/348.f" TargetMode="External"/><Relationship Id="rId12" Type="http://schemas.openxmlformats.org/officeDocument/2006/relationships/hyperlink" Target="http://www.nevo.co.il/law/70301/349.a" TargetMode="External"/><Relationship Id="rId17" Type="http://schemas.openxmlformats.org/officeDocument/2006/relationships/hyperlink" Target="http://www.nevo.co.il/law/7030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/70301/349.a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law/70301/34k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evo.co.il/law/70301/349.a" TargetMode="Externa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70301/34kd" TargetMode="External"/><Relationship Id="rId14" Type="http://schemas.openxmlformats.org/officeDocument/2006/relationships/hyperlink" Target="http://www.nevo.co.il/law/70301/348.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678</Words>
  <Characters>3870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4539</CharactersWithSpaces>
  <SharedDoc>false</SharedDoc>
  <HLinks>
    <vt:vector size="72" baseType="variant">
      <vt:variant>
        <vt:i4>7995492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5177439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http://www.nevo.co.il/law/70301/349.a</vt:lpwstr>
      </vt:variant>
      <vt:variant>
        <vt:lpwstr/>
      </vt:variant>
      <vt:variant>
        <vt:i4>327693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http://www.nevo.co.il/law/70301/34kd</vt:lpwstr>
      </vt:variant>
      <vt:variant>
        <vt:lpwstr/>
      </vt:variant>
      <vt:variant>
        <vt:i4>5177438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http://www.nevo.co.il/law/70301/348.f</vt:lpwstr>
      </vt:variant>
      <vt:variant>
        <vt:lpwstr/>
      </vt:variant>
      <vt:variant>
        <vt:i4>7995492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5177439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http://www.nevo.co.il/law/70301/349.a</vt:lpwstr>
      </vt:variant>
      <vt:variant>
        <vt:lpwstr/>
      </vt:variant>
      <vt:variant>
        <vt:i4>7995492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5177439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http://www.nevo.co.il/law/70301/349.a</vt:lpwstr>
      </vt:variant>
      <vt:variant>
        <vt:lpwstr/>
      </vt:variant>
      <vt:variant>
        <vt:i4>327693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http://www.nevo.co.il/law/70301/34kd</vt:lpwstr>
      </vt:variant>
      <vt:variant>
        <vt:lpwstr/>
      </vt:variant>
      <vt:variant>
        <vt:i4>5177439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http://www.nevo.co.il/law/70301/349.a</vt:lpwstr>
      </vt:variant>
      <vt:variant>
        <vt:lpwstr/>
      </vt:variant>
      <vt:variant>
        <vt:i4>5177438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http://www.nevo.co.il/law/70301/348.f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Eliya Habba</cp:lastModifiedBy>
  <cp:revision>2</cp:revision>
  <cp:lastPrinted>2004-09-27T10:56:00Z</cp:lastPrinted>
  <dcterms:created xsi:type="dcterms:W3CDTF">2022-05-24T10:20:00Z</dcterms:created>
  <dcterms:modified xsi:type="dcterms:W3CDTF">2022-05-24T10:20:00Z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הכרעת-דין</vt:lpwstr>
  </property>
  <property fmtid="{D5CDD505-2E9C-101B-9397-08002B2CF9AE}" pid="4" name="PROCESS">
    <vt:lpwstr>תפ</vt:lpwstr>
  </property>
  <property fmtid="{D5CDD505-2E9C-101B-9397-08002B2CF9AE}" pid="5" name="PROCNUM">
    <vt:lpwstr>1849</vt:lpwstr>
  </property>
  <property fmtid="{D5CDD505-2E9C-101B-9397-08002B2CF9AE}" pid="6" name="PROCYEAR">
    <vt:lpwstr>04</vt:lpwstr>
  </property>
  <property fmtid="{D5CDD505-2E9C-101B-9397-08002B2CF9AE}" pid="7" name="APPELLANT">
    <vt:lpwstr>מדינת ישראל - תביעות חדרה</vt:lpwstr>
  </property>
  <property fmtid="{D5CDD505-2E9C-101B-9397-08002B2CF9AE}" pid="8" name="APPELLEE">
    <vt:lpwstr>אבו סעדיה מחמד</vt:lpwstr>
  </property>
  <property fmtid="{D5CDD505-2E9C-101B-9397-08002B2CF9AE}" pid="9" name="LAWYER">
    <vt:lpwstr>אורלי טל</vt:lpwstr>
  </property>
  <property fmtid="{D5CDD505-2E9C-101B-9397-08002B2CF9AE}" pid="10" name="JUDGE">
    <vt:lpwstr>אהוד קפלן</vt:lpwstr>
  </property>
  <property fmtid="{D5CDD505-2E9C-101B-9397-08002B2CF9AE}" pid="11" name="CITY">
    <vt:lpwstr>חד'</vt:lpwstr>
  </property>
  <property fmtid="{D5CDD505-2E9C-101B-9397-08002B2CF9AE}" pid="12" name="DATE">
    <vt:lpwstr>20051130</vt:lpwstr>
  </property>
  <property fmtid="{D5CDD505-2E9C-101B-9397-08002B2CF9AE}" pid="13" name="WORDNUMPAGES">
    <vt:lpwstr>4</vt:lpwstr>
  </property>
  <property fmtid="{D5CDD505-2E9C-101B-9397-08002B2CF9AE}" pid="14" name="ISABSTRACT">
    <vt:lpwstr>Y</vt:lpwstr>
  </property>
  <property fmtid="{D5CDD505-2E9C-101B-9397-08002B2CF9AE}" pid="15" name="VOLUME">
    <vt:lpwstr/>
  </property>
  <property fmtid="{D5CDD505-2E9C-101B-9397-08002B2CF9AE}" pid="16" name="PART">
    <vt:lpwstr/>
  </property>
  <property fmtid="{D5CDD505-2E9C-101B-9397-08002B2CF9AE}" pid="17" name="PAGE">
    <vt:lpwstr/>
  </property>
  <property fmtid="{D5CDD505-2E9C-101B-9397-08002B2CF9AE}" pid="18" name="PADIMAIL">
    <vt:lpwstr/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LINKK6">
    <vt:lpwstr/>
  </property>
  <property fmtid="{D5CDD505-2E9C-101B-9397-08002B2CF9AE}" pid="25" name="LINKK7">
    <vt:lpwstr/>
  </property>
  <property fmtid="{D5CDD505-2E9C-101B-9397-08002B2CF9AE}" pid="26" name="LINKK8">
    <vt:lpwstr/>
  </property>
  <property fmtid="{D5CDD505-2E9C-101B-9397-08002B2CF9AE}" pid="27" name="LINKK9">
    <vt:lpwstr/>
  </property>
  <property fmtid="{D5CDD505-2E9C-101B-9397-08002B2CF9AE}" pid="28" name="LINKI1">
    <vt:lpwstr/>
  </property>
  <property fmtid="{D5CDD505-2E9C-101B-9397-08002B2CF9AE}" pid="29" name="LINKI2">
    <vt:lpwstr/>
  </property>
  <property fmtid="{D5CDD505-2E9C-101B-9397-08002B2CF9AE}" pid="30" name="LINKI3">
    <vt:lpwstr/>
  </property>
  <property fmtid="{D5CDD505-2E9C-101B-9397-08002B2CF9AE}" pid="31" name="LAWLISTTMP1">
    <vt:lpwstr>70301/349.a:3;348.f;34kd</vt:lpwstr>
  </property>
</Properties>
</file>