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E7B21" w14:textId="77777777" w:rsidR="00E81443" w:rsidRDefault="00E81443">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E81443" w14:paraId="022C641E"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6186A0AA" w14:textId="77777777" w:rsidR="00E81443" w:rsidRDefault="00E81443">
            <w:pPr>
              <w:rPr>
                <w:b/>
                <w:bCs/>
              </w:rPr>
            </w:pPr>
            <w:r>
              <w:rPr>
                <w:rFonts w:hint="cs"/>
                <w:b/>
                <w:bCs/>
                <w:rtl/>
              </w:rPr>
              <w:t>בית משפט השלום טבריה</w:t>
            </w:r>
          </w:p>
        </w:tc>
        <w:tc>
          <w:tcPr>
            <w:tcW w:w="3085" w:type="dxa"/>
            <w:gridSpan w:val="2"/>
            <w:tcBorders>
              <w:top w:val="single" w:sz="4" w:space="0" w:color="auto"/>
              <w:left w:val="single" w:sz="4" w:space="0" w:color="auto"/>
              <w:bottom w:val="single" w:sz="4" w:space="0" w:color="auto"/>
              <w:right w:val="single" w:sz="4" w:space="0" w:color="auto"/>
            </w:tcBorders>
          </w:tcPr>
          <w:p w14:paraId="04CE8762" w14:textId="77777777" w:rsidR="00E81443" w:rsidRDefault="00E81443">
            <w:pPr>
              <w:jc w:val="right"/>
              <w:rPr>
                <w:b/>
                <w:bCs/>
              </w:rPr>
            </w:pPr>
            <w:r>
              <w:rPr>
                <w:rFonts w:hint="cs"/>
                <w:b/>
                <w:bCs/>
                <w:rtl/>
              </w:rPr>
              <w:t>פ  001993/04</w:t>
            </w:r>
          </w:p>
        </w:tc>
      </w:tr>
      <w:tr w:rsidR="00E81443" w14:paraId="0AE16E1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C097822" w14:textId="77777777" w:rsidR="00E81443" w:rsidRDefault="00E81443">
            <w:pPr>
              <w:bidi w:val="0"/>
              <w:spacing w:line="240" w:lineRule="auto"/>
              <w:jc w:val="left"/>
              <w:rPr>
                <w:b/>
                <w:bCs/>
              </w:rPr>
            </w:pPr>
          </w:p>
        </w:tc>
        <w:tc>
          <w:tcPr>
            <w:tcW w:w="3085" w:type="dxa"/>
            <w:gridSpan w:val="2"/>
            <w:tcBorders>
              <w:top w:val="single" w:sz="4" w:space="0" w:color="auto"/>
              <w:left w:val="single" w:sz="4" w:space="0" w:color="auto"/>
              <w:bottom w:val="single" w:sz="4" w:space="0" w:color="auto"/>
              <w:right w:val="single" w:sz="4" w:space="0" w:color="auto"/>
            </w:tcBorders>
          </w:tcPr>
          <w:p w14:paraId="1252BB20" w14:textId="77777777" w:rsidR="00E81443" w:rsidRDefault="00E81443">
            <w:pPr>
              <w:rPr>
                <w:b/>
                <w:bCs/>
              </w:rPr>
            </w:pPr>
          </w:p>
        </w:tc>
      </w:tr>
      <w:tr w:rsidR="00E81443" w14:paraId="6C95FB1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549AD1F" w14:textId="77777777" w:rsidR="00E81443" w:rsidRDefault="00E81443">
            <w:pPr>
              <w:rPr>
                <w:b/>
                <w:bCs/>
              </w:rPr>
            </w:pPr>
            <w:r>
              <w:rPr>
                <w:rFonts w:hint="cs"/>
                <w:b/>
                <w:bCs/>
                <w:rtl/>
              </w:rPr>
              <w:t>בפני:</w:t>
            </w:r>
          </w:p>
        </w:tc>
        <w:tc>
          <w:tcPr>
            <w:tcW w:w="4678" w:type="dxa"/>
            <w:tcBorders>
              <w:top w:val="single" w:sz="4" w:space="0" w:color="auto"/>
              <w:left w:val="single" w:sz="4" w:space="0" w:color="auto"/>
              <w:bottom w:val="single" w:sz="4" w:space="0" w:color="auto"/>
              <w:right w:val="single" w:sz="4" w:space="0" w:color="auto"/>
            </w:tcBorders>
          </w:tcPr>
          <w:p w14:paraId="76833149" w14:textId="77777777" w:rsidR="00E81443" w:rsidRDefault="00E81443">
            <w:pPr>
              <w:rPr>
                <w:b/>
                <w:bCs/>
              </w:rPr>
            </w:pPr>
            <w:r>
              <w:rPr>
                <w:rFonts w:hint="cs"/>
                <w:b/>
                <w:bCs/>
                <w:rtl/>
              </w:rPr>
              <w:t>כב' השופט דורון פורת</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206B21C" w14:textId="77777777" w:rsidR="00E81443" w:rsidRDefault="00E81443">
            <w:pPr>
              <w:rPr>
                <w:b/>
                <w:bCs/>
              </w:rPr>
            </w:pPr>
            <w:r>
              <w:rPr>
                <w:rFonts w:hint="cs"/>
                <w:b/>
                <w:bCs/>
                <w:rtl/>
              </w:rPr>
              <w:t>תאריך:</w:t>
            </w:r>
          </w:p>
        </w:tc>
        <w:tc>
          <w:tcPr>
            <w:tcW w:w="2235" w:type="dxa"/>
            <w:tcBorders>
              <w:top w:val="single" w:sz="4" w:space="0" w:color="auto"/>
              <w:left w:val="single" w:sz="4" w:space="0" w:color="auto"/>
              <w:bottom w:val="single" w:sz="4" w:space="0" w:color="auto"/>
              <w:right w:val="single" w:sz="4" w:space="0" w:color="auto"/>
            </w:tcBorders>
          </w:tcPr>
          <w:p w14:paraId="75EBA7EC" w14:textId="77777777" w:rsidR="00E81443" w:rsidRDefault="00E81443">
            <w:pPr>
              <w:jc w:val="right"/>
              <w:rPr>
                <w:b/>
                <w:bCs/>
              </w:rPr>
            </w:pPr>
            <w:r>
              <w:rPr>
                <w:rFonts w:hint="cs"/>
                <w:b/>
                <w:bCs/>
                <w:rtl/>
              </w:rPr>
              <w:t>11/12/2005</w:t>
            </w:r>
          </w:p>
        </w:tc>
      </w:tr>
    </w:tbl>
    <w:p w14:paraId="50CDE8EF" w14:textId="77777777" w:rsidR="00E81443" w:rsidRDefault="00E81443">
      <w:pPr>
        <w:pStyle w:val="Heading5"/>
        <w:rPr>
          <w:rFonts w:hint="cs"/>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81443" w14:paraId="549A2071" w14:textId="77777777">
        <w:tc>
          <w:tcPr>
            <w:tcW w:w="1362" w:type="dxa"/>
          </w:tcPr>
          <w:p w14:paraId="066DFB5C" w14:textId="77777777" w:rsidR="00E81443" w:rsidRDefault="00E81443">
            <w:pPr>
              <w:rPr>
                <w:b/>
                <w:bCs/>
              </w:rPr>
            </w:pPr>
            <w:bookmarkStart w:id="1" w:name="FirstAppellant"/>
            <w:r>
              <w:rPr>
                <w:rFonts w:hint="cs"/>
                <w:b/>
                <w:bCs/>
                <w:rtl/>
              </w:rPr>
              <w:t>בעניין:</w:t>
            </w:r>
          </w:p>
        </w:tc>
        <w:tc>
          <w:tcPr>
            <w:tcW w:w="4820" w:type="dxa"/>
            <w:gridSpan w:val="2"/>
          </w:tcPr>
          <w:p w14:paraId="4450A66E" w14:textId="77777777" w:rsidR="00E81443" w:rsidRDefault="00E81443">
            <w:pPr>
              <w:rPr>
                <w:b/>
                <w:bCs/>
              </w:rPr>
            </w:pPr>
            <w:r>
              <w:rPr>
                <w:rFonts w:hint="cs"/>
                <w:b/>
                <w:bCs/>
                <w:rtl/>
              </w:rPr>
              <w:t>מדינת ישראל</w:t>
            </w:r>
          </w:p>
        </w:tc>
        <w:tc>
          <w:tcPr>
            <w:tcW w:w="2409" w:type="dxa"/>
          </w:tcPr>
          <w:p w14:paraId="650D91AA" w14:textId="77777777" w:rsidR="00E81443" w:rsidRDefault="00E81443">
            <w:pPr>
              <w:rPr>
                <w:b/>
                <w:bCs/>
              </w:rPr>
            </w:pPr>
          </w:p>
        </w:tc>
      </w:tr>
      <w:bookmarkEnd w:id="1"/>
      <w:tr w:rsidR="00E81443" w14:paraId="3B24D1D5" w14:textId="77777777">
        <w:tc>
          <w:tcPr>
            <w:tcW w:w="1362" w:type="dxa"/>
          </w:tcPr>
          <w:p w14:paraId="37DB684B" w14:textId="77777777" w:rsidR="00E81443" w:rsidRDefault="00E81443">
            <w:pPr>
              <w:rPr>
                <w:b/>
                <w:bCs/>
              </w:rPr>
            </w:pPr>
          </w:p>
        </w:tc>
        <w:tc>
          <w:tcPr>
            <w:tcW w:w="1757" w:type="dxa"/>
          </w:tcPr>
          <w:p w14:paraId="773CC588" w14:textId="77777777" w:rsidR="00E81443" w:rsidRDefault="00E81443">
            <w:pPr>
              <w:rPr>
                <w:b/>
                <w:bCs/>
              </w:rPr>
            </w:pPr>
          </w:p>
        </w:tc>
        <w:tc>
          <w:tcPr>
            <w:tcW w:w="3063" w:type="dxa"/>
          </w:tcPr>
          <w:p w14:paraId="7172ECC3" w14:textId="77777777" w:rsidR="00E81443" w:rsidRDefault="00E81443">
            <w:pPr>
              <w:rPr>
                <w:b/>
                <w:bCs/>
              </w:rPr>
            </w:pPr>
          </w:p>
        </w:tc>
        <w:tc>
          <w:tcPr>
            <w:tcW w:w="2409" w:type="dxa"/>
          </w:tcPr>
          <w:p w14:paraId="60F1E681" w14:textId="77777777" w:rsidR="00E81443" w:rsidRDefault="00E81443">
            <w:pPr>
              <w:jc w:val="right"/>
              <w:rPr>
                <w:b/>
                <w:bCs/>
              </w:rPr>
            </w:pPr>
            <w:r>
              <w:rPr>
                <w:rFonts w:hint="cs"/>
                <w:b/>
                <w:bCs/>
                <w:rtl/>
              </w:rPr>
              <w:t>המאשימה</w:t>
            </w:r>
          </w:p>
        </w:tc>
      </w:tr>
      <w:tr w:rsidR="00E81443" w14:paraId="4EEC07B5" w14:textId="77777777">
        <w:tc>
          <w:tcPr>
            <w:tcW w:w="1362" w:type="dxa"/>
          </w:tcPr>
          <w:p w14:paraId="0E92B299" w14:textId="77777777" w:rsidR="00E81443" w:rsidRDefault="00E81443">
            <w:pPr>
              <w:rPr>
                <w:b/>
                <w:bCs/>
              </w:rPr>
            </w:pPr>
          </w:p>
        </w:tc>
        <w:tc>
          <w:tcPr>
            <w:tcW w:w="4820" w:type="dxa"/>
            <w:gridSpan w:val="2"/>
          </w:tcPr>
          <w:p w14:paraId="2CDA3F5F" w14:textId="77777777" w:rsidR="00E81443" w:rsidRDefault="00E81443">
            <w:pPr>
              <w:jc w:val="center"/>
              <w:rPr>
                <w:b/>
                <w:bCs/>
              </w:rPr>
            </w:pPr>
            <w:r>
              <w:rPr>
                <w:rFonts w:hint="cs"/>
                <w:b/>
                <w:bCs/>
                <w:rtl/>
              </w:rPr>
              <w:t>נ  ג  ד</w:t>
            </w:r>
          </w:p>
        </w:tc>
        <w:tc>
          <w:tcPr>
            <w:tcW w:w="2409" w:type="dxa"/>
          </w:tcPr>
          <w:p w14:paraId="4BBDE44C" w14:textId="77777777" w:rsidR="00E81443" w:rsidRDefault="00E81443">
            <w:pPr>
              <w:rPr>
                <w:b/>
                <w:bCs/>
              </w:rPr>
            </w:pPr>
          </w:p>
        </w:tc>
      </w:tr>
      <w:tr w:rsidR="00E81443" w14:paraId="5C46749D" w14:textId="77777777">
        <w:tc>
          <w:tcPr>
            <w:tcW w:w="1362" w:type="dxa"/>
          </w:tcPr>
          <w:p w14:paraId="4FF08B43" w14:textId="77777777" w:rsidR="00E81443" w:rsidRDefault="00E81443">
            <w:pPr>
              <w:rPr>
                <w:b/>
                <w:bCs/>
              </w:rPr>
            </w:pPr>
            <w:bookmarkStart w:id="2" w:name="שם_ב" w:colFirst="1" w:colLast="1"/>
          </w:p>
        </w:tc>
        <w:tc>
          <w:tcPr>
            <w:tcW w:w="4820" w:type="dxa"/>
            <w:gridSpan w:val="2"/>
          </w:tcPr>
          <w:p w14:paraId="5A1B6161" w14:textId="77777777" w:rsidR="00E81443" w:rsidRDefault="00E81443">
            <w:pPr>
              <w:rPr>
                <w:b/>
                <w:bCs/>
              </w:rPr>
            </w:pPr>
            <w:r>
              <w:rPr>
                <w:rFonts w:hint="cs"/>
                <w:b/>
                <w:bCs/>
                <w:rtl/>
              </w:rPr>
              <w:t>בוטבול דוד</w:t>
            </w:r>
          </w:p>
        </w:tc>
        <w:tc>
          <w:tcPr>
            <w:tcW w:w="2409" w:type="dxa"/>
          </w:tcPr>
          <w:p w14:paraId="6773B07C" w14:textId="77777777" w:rsidR="00E81443" w:rsidRDefault="00E81443">
            <w:pPr>
              <w:rPr>
                <w:b/>
                <w:bCs/>
              </w:rPr>
            </w:pPr>
          </w:p>
        </w:tc>
      </w:tr>
      <w:tr w:rsidR="00E81443" w14:paraId="1D524C07" w14:textId="77777777">
        <w:tc>
          <w:tcPr>
            <w:tcW w:w="1362" w:type="dxa"/>
          </w:tcPr>
          <w:p w14:paraId="15F496A3" w14:textId="77777777" w:rsidR="00E81443" w:rsidRDefault="00E81443">
            <w:pPr>
              <w:rPr>
                <w:b/>
                <w:bCs/>
              </w:rPr>
            </w:pPr>
            <w:bookmarkStart w:id="3" w:name="FirstLawyer"/>
            <w:bookmarkEnd w:id="2"/>
          </w:p>
        </w:tc>
        <w:tc>
          <w:tcPr>
            <w:tcW w:w="1757" w:type="dxa"/>
          </w:tcPr>
          <w:p w14:paraId="63439865" w14:textId="77777777" w:rsidR="00E81443" w:rsidRDefault="00E81443">
            <w:pPr>
              <w:rPr>
                <w:b/>
                <w:bCs/>
              </w:rPr>
            </w:pPr>
            <w:r>
              <w:rPr>
                <w:rFonts w:hint="cs"/>
                <w:b/>
                <w:bCs/>
                <w:rtl/>
              </w:rPr>
              <w:t>ע"י ב"כ עו"ד</w:t>
            </w:r>
          </w:p>
        </w:tc>
        <w:tc>
          <w:tcPr>
            <w:tcW w:w="3063" w:type="dxa"/>
          </w:tcPr>
          <w:p w14:paraId="333A48D6" w14:textId="77777777" w:rsidR="00E81443" w:rsidRDefault="00E81443">
            <w:pPr>
              <w:rPr>
                <w:b/>
                <w:bCs/>
              </w:rPr>
            </w:pPr>
            <w:r>
              <w:rPr>
                <w:rFonts w:hint="cs"/>
                <w:b/>
                <w:bCs/>
                <w:rtl/>
              </w:rPr>
              <w:t>אדריס מהסניגוריה</w:t>
            </w:r>
          </w:p>
        </w:tc>
        <w:tc>
          <w:tcPr>
            <w:tcW w:w="2409" w:type="dxa"/>
          </w:tcPr>
          <w:p w14:paraId="5E091407" w14:textId="77777777" w:rsidR="00E81443" w:rsidRDefault="00E81443">
            <w:pPr>
              <w:jc w:val="right"/>
              <w:rPr>
                <w:b/>
                <w:bCs/>
              </w:rPr>
            </w:pPr>
            <w:r>
              <w:rPr>
                <w:rFonts w:hint="cs"/>
                <w:b/>
                <w:bCs/>
                <w:rtl/>
              </w:rPr>
              <w:t>הנאשם</w:t>
            </w:r>
          </w:p>
        </w:tc>
      </w:tr>
    </w:tbl>
    <w:p w14:paraId="793B6934" w14:textId="77777777" w:rsidR="00D224EA" w:rsidRDefault="00D224EA">
      <w:pPr>
        <w:pStyle w:val="Heading5"/>
        <w:rPr>
          <w:b w:val="0"/>
          <w:bCs w:val="0"/>
          <w:u w:val="none"/>
          <w:rtl/>
        </w:rPr>
      </w:pPr>
      <w:bookmarkStart w:id="4" w:name="LawTable"/>
      <w:bookmarkEnd w:id="3"/>
      <w:bookmarkEnd w:id="4"/>
    </w:p>
    <w:p w14:paraId="773FE6B9" w14:textId="77777777" w:rsidR="00D224EA" w:rsidRPr="00D224EA" w:rsidRDefault="00D224EA" w:rsidP="00D224EA">
      <w:pPr>
        <w:pStyle w:val="Heading5"/>
        <w:spacing w:after="120" w:line="240" w:lineRule="exact"/>
        <w:ind w:left="283" w:hanging="283"/>
        <w:jc w:val="both"/>
        <w:rPr>
          <w:rFonts w:ascii="FrankRuehl" w:hAnsi="FrankRuehl" w:cs="FrankRuehl"/>
          <w:b w:val="0"/>
          <w:bCs w:val="0"/>
          <w:sz w:val="24"/>
          <w:szCs w:val="24"/>
          <w:u w:val="none"/>
          <w:rtl/>
        </w:rPr>
      </w:pPr>
    </w:p>
    <w:p w14:paraId="69834AB4" w14:textId="77777777" w:rsidR="00D224EA" w:rsidRPr="00D224EA" w:rsidRDefault="00D224EA" w:rsidP="00D224EA">
      <w:pPr>
        <w:pStyle w:val="Heading5"/>
        <w:spacing w:after="120" w:line="240" w:lineRule="exact"/>
        <w:ind w:left="283" w:hanging="283"/>
        <w:jc w:val="both"/>
        <w:rPr>
          <w:rFonts w:ascii="FrankRuehl" w:hAnsi="FrankRuehl" w:cs="FrankRuehl"/>
          <w:b w:val="0"/>
          <w:bCs w:val="0"/>
          <w:sz w:val="24"/>
          <w:szCs w:val="24"/>
          <w:u w:val="none"/>
          <w:rtl/>
        </w:rPr>
      </w:pPr>
      <w:r w:rsidRPr="00D224EA">
        <w:rPr>
          <w:rFonts w:ascii="FrankRuehl" w:hAnsi="FrankRuehl" w:cs="FrankRuehl"/>
          <w:b w:val="0"/>
          <w:bCs w:val="0"/>
          <w:sz w:val="24"/>
          <w:szCs w:val="24"/>
          <w:u w:val="none"/>
          <w:rtl/>
        </w:rPr>
        <w:t xml:space="preserve">חקיקה שאוזכרה: </w:t>
      </w:r>
    </w:p>
    <w:p w14:paraId="6CD5D333" w14:textId="77777777" w:rsidR="00D224EA" w:rsidRPr="00D224EA" w:rsidRDefault="00D224EA" w:rsidP="00D224EA">
      <w:pPr>
        <w:pStyle w:val="Heading5"/>
        <w:spacing w:after="120" w:line="240" w:lineRule="exact"/>
        <w:ind w:left="283" w:hanging="283"/>
        <w:jc w:val="both"/>
        <w:rPr>
          <w:rFonts w:ascii="FrankRuehl" w:hAnsi="FrankRuehl" w:cs="FrankRuehl"/>
          <w:b w:val="0"/>
          <w:bCs w:val="0"/>
          <w:sz w:val="24"/>
          <w:szCs w:val="24"/>
          <w:u w:val="none"/>
          <w:rtl/>
        </w:rPr>
      </w:pPr>
      <w:hyperlink r:id="rId6" w:history="1">
        <w:r w:rsidRPr="00D224EA">
          <w:rPr>
            <w:rFonts w:ascii="FrankRuehl" w:hAnsi="FrankRuehl" w:cs="FrankRuehl"/>
            <w:b w:val="0"/>
            <w:bCs w:val="0"/>
            <w:color w:val="0000FF"/>
            <w:sz w:val="24"/>
            <w:szCs w:val="24"/>
            <w:rtl/>
          </w:rPr>
          <w:t>חוק העונשין, תשל"ז-1977</w:t>
        </w:r>
      </w:hyperlink>
      <w:r w:rsidRPr="00D224EA">
        <w:rPr>
          <w:rFonts w:ascii="FrankRuehl" w:hAnsi="FrankRuehl" w:cs="FrankRuehl"/>
          <w:b w:val="0"/>
          <w:bCs w:val="0"/>
          <w:sz w:val="24"/>
          <w:szCs w:val="24"/>
          <w:u w:val="none"/>
          <w:rtl/>
        </w:rPr>
        <w:t xml:space="preserve">: סע'  </w:t>
      </w:r>
      <w:hyperlink r:id="rId7" w:history="1">
        <w:r w:rsidRPr="00D224EA">
          <w:rPr>
            <w:rFonts w:ascii="FrankRuehl" w:hAnsi="FrankRuehl" w:cs="FrankRuehl"/>
            <w:b w:val="0"/>
            <w:bCs w:val="0"/>
            <w:color w:val="0000FF"/>
            <w:sz w:val="24"/>
            <w:szCs w:val="24"/>
            <w:rtl/>
          </w:rPr>
          <w:t>348(ג)</w:t>
        </w:r>
      </w:hyperlink>
      <w:r w:rsidRPr="00D224EA">
        <w:rPr>
          <w:rFonts w:ascii="FrankRuehl" w:hAnsi="FrankRuehl" w:cs="FrankRuehl"/>
          <w:b w:val="0"/>
          <w:bCs w:val="0"/>
          <w:sz w:val="24"/>
          <w:szCs w:val="24"/>
          <w:u w:val="none"/>
          <w:rtl/>
        </w:rPr>
        <w:t xml:space="preserve">, </w:t>
      </w:r>
      <w:hyperlink r:id="rId8" w:history="1">
        <w:r w:rsidRPr="00D224EA">
          <w:rPr>
            <w:rFonts w:ascii="FrankRuehl" w:hAnsi="FrankRuehl" w:cs="FrankRuehl"/>
            <w:b w:val="0"/>
            <w:bCs w:val="0"/>
            <w:color w:val="0000FF"/>
            <w:sz w:val="24"/>
            <w:szCs w:val="24"/>
            <w:rtl/>
          </w:rPr>
          <w:t>348ג'</w:t>
        </w:r>
      </w:hyperlink>
    </w:p>
    <w:p w14:paraId="62143660" w14:textId="77777777" w:rsidR="00D224EA" w:rsidRPr="00D224EA" w:rsidRDefault="00D224EA" w:rsidP="00D224EA">
      <w:pPr>
        <w:pStyle w:val="Heading5"/>
        <w:spacing w:after="120" w:line="240" w:lineRule="exact"/>
        <w:ind w:left="283" w:hanging="283"/>
        <w:jc w:val="both"/>
        <w:rPr>
          <w:rFonts w:ascii="FrankRuehl" w:hAnsi="FrankRuehl" w:cs="FrankRuehl"/>
          <w:b w:val="0"/>
          <w:bCs w:val="0"/>
          <w:sz w:val="24"/>
          <w:szCs w:val="24"/>
          <w:u w:val="none"/>
          <w:rtl/>
        </w:rPr>
      </w:pPr>
    </w:p>
    <w:p w14:paraId="3C76DB9D" w14:textId="77777777" w:rsidR="00D224EA" w:rsidRPr="00D224EA" w:rsidRDefault="00D224EA">
      <w:pPr>
        <w:pStyle w:val="Heading5"/>
        <w:rPr>
          <w:b w:val="0"/>
          <w:bCs w:val="0"/>
          <w:u w:val="none"/>
          <w:rtl/>
        </w:rPr>
      </w:pPr>
      <w:bookmarkStart w:id="5" w:name="LawTable_End"/>
      <w:bookmarkEnd w:id="5"/>
    </w:p>
    <w:p w14:paraId="36D3EE9A" w14:textId="77777777" w:rsidR="00141BAE" w:rsidRPr="00141BAE" w:rsidRDefault="00141BAE">
      <w:pPr>
        <w:pStyle w:val="Heading5"/>
        <w:rPr>
          <w:b w:val="0"/>
          <w:bCs w:val="0"/>
          <w:u w:val="none"/>
          <w:rtl/>
        </w:rPr>
      </w:pPr>
    </w:p>
    <w:p w14:paraId="7B75583E" w14:textId="77777777" w:rsidR="00141BAE" w:rsidRPr="00141BAE" w:rsidRDefault="00141BAE">
      <w:pPr>
        <w:pStyle w:val="Heading5"/>
        <w:rPr>
          <w:u w:val="none"/>
          <w:rtl/>
        </w:rPr>
      </w:pPr>
    </w:p>
    <w:p w14:paraId="5FC73B9B" w14:textId="77777777" w:rsidR="00E81443" w:rsidRPr="00141BAE" w:rsidRDefault="00E81443">
      <w:pPr>
        <w:pStyle w:val="Heading5"/>
        <w:rPr>
          <w:rFonts w:hint="cs"/>
          <w:u w:val="none"/>
          <w:rtl/>
        </w:rPr>
      </w:pPr>
    </w:p>
    <w:p w14:paraId="79469786" w14:textId="77777777" w:rsidR="00E81443" w:rsidRDefault="00E81443">
      <w:pPr>
        <w:jc w:val="center"/>
        <w:rPr>
          <w:b/>
          <w:bCs/>
          <w:sz w:val="28"/>
          <w:szCs w:val="28"/>
          <w:u w:val="single"/>
          <w:rtl/>
        </w:rPr>
      </w:pPr>
      <w:bookmarkStart w:id="6" w:name="PsakDin"/>
      <w:bookmarkEnd w:id="0"/>
      <w:r>
        <w:rPr>
          <w:b/>
          <w:bCs/>
          <w:sz w:val="28"/>
          <w:szCs w:val="28"/>
          <w:u w:val="single"/>
          <w:rtl/>
        </w:rPr>
        <w:t>הכרעת דין</w:t>
      </w:r>
    </w:p>
    <w:bookmarkEnd w:id="6"/>
    <w:p w14:paraId="242FF74D" w14:textId="77777777" w:rsidR="00E81443" w:rsidRDefault="00E81443">
      <w:pPr>
        <w:rPr>
          <w:rFonts w:hint="cs"/>
          <w:rtl/>
        </w:rPr>
      </w:pPr>
    </w:p>
    <w:p w14:paraId="5F2F161E" w14:textId="77777777" w:rsidR="00E81443" w:rsidRDefault="00E81443">
      <w:pPr>
        <w:rPr>
          <w:rFonts w:hint="cs"/>
          <w:rtl/>
        </w:rPr>
      </w:pPr>
      <w:bookmarkStart w:id="7" w:name="ABSTRACT_START"/>
      <w:bookmarkEnd w:id="7"/>
      <w:r>
        <w:rPr>
          <w:rFonts w:hint="cs"/>
          <w:rtl/>
        </w:rPr>
        <w:t>אני מזכה את הנאשם מעבירה של ביצוע מעשה מגונה בקטינה, אך מרשיע אותו בעבירה של ביצוע מגונה באדם</w:t>
      </w:r>
      <w:bookmarkStart w:id="8" w:name="ABSTRACT_END"/>
      <w:bookmarkEnd w:id="8"/>
      <w:r>
        <w:rPr>
          <w:rFonts w:hint="cs"/>
          <w:rtl/>
        </w:rPr>
        <w:t>.</w:t>
      </w:r>
    </w:p>
    <w:p w14:paraId="2C70723D" w14:textId="77777777" w:rsidR="00E81443" w:rsidRDefault="00E81443">
      <w:pPr>
        <w:rPr>
          <w:rFonts w:hint="cs"/>
          <w:rtl/>
        </w:rPr>
      </w:pPr>
      <w:r>
        <w:rPr>
          <w:rFonts w:hint="cs"/>
          <w:rtl/>
        </w:rPr>
        <w:t xml:space="preserve"> </w:t>
      </w:r>
    </w:p>
    <w:p w14:paraId="70DB52DE" w14:textId="77777777" w:rsidR="00E81443" w:rsidRDefault="00E81443">
      <w:pPr>
        <w:rPr>
          <w:rFonts w:hint="cs"/>
          <w:rtl/>
        </w:rPr>
      </w:pPr>
      <w:r>
        <w:rPr>
          <w:rFonts w:hint="cs"/>
          <w:rtl/>
        </w:rPr>
        <w:t xml:space="preserve">כנגד הנאשם הוגש כתב אישום בגין מעשה מגונה בקטינה לפי </w:t>
      </w:r>
      <w:hyperlink r:id="rId9" w:history="1">
        <w:r w:rsidR="00D224EA" w:rsidRPr="00D224EA">
          <w:rPr>
            <w:color w:val="0000FF"/>
            <w:u w:val="single"/>
            <w:rtl/>
          </w:rPr>
          <w:t>סעיף 348ג'</w:t>
        </w:r>
      </w:hyperlink>
      <w:r>
        <w:rPr>
          <w:rFonts w:hint="cs"/>
          <w:rtl/>
        </w:rPr>
        <w:t xml:space="preserve"> ל</w:t>
      </w:r>
      <w:hyperlink r:id="rId10" w:history="1">
        <w:r w:rsidR="00141BAE" w:rsidRPr="00141BAE">
          <w:rPr>
            <w:rStyle w:val="Hyperlink"/>
            <w:rFonts w:hint="eastAsia"/>
            <w:rtl/>
          </w:rPr>
          <w:t>חוק</w:t>
        </w:r>
        <w:r w:rsidR="00141BAE" w:rsidRPr="00141BAE">
          <w:rPr>
            <w:rStyle w:val="Hyperlink"/>
            <w:rtl/>
          </w:rPr>
          <w:t xml:space="preserve"> העונשין</w:t>
        </w:r>
      </w:hyperlink>
      <w:r>
        <w:rPr>
          <w:rFonts w:hint="cs"/>
          <w:rtl/>
        </w:rPr>
        <w:t xml:space="preserve">, תשל"ז-1977. </w:t>
      </w:r>
    </w:p>
    <w:p w14:paraId="2906FE25" w14:textId="77777777" w:rsidR="00E81443" w:rsidRDefault="00E81443">
      <w:pPr>
        <w:rPr>
          <w:rFonts w:hint="cs"/>
          <w:rtl/>
        </w:rPr>
      </w:pPr>
    </w:p>
    <w:p w14:paraId="0C508FB6" w14:textId="77777777" w:rsidR="00E81443" w:rsidRDefault="00E81443">
      <w:pPr>
        <w:rPr>
          <w:rFonts w:hint="cs"/>
          <w:rtl/>
        </w:rPr>
      </w:pPr>
      <w:r>
        <w:rPr>
          <w:rFonts w:hint="cs"/>
          <w:rtl/>
        </w:rPr>
        <w:t>על פי הנטען בכתב האישום, בתאריך  29.10.03 בשעה 20:00 או בסמוך לכך, בטבריה שיכון ד', הגיעה נ.ב. (להלן: המתלוננת), למכולת של הנאשם בכדי לקנות מספר סיגריות בודדות. הנאשם אמר למתלוננת כי ייתן לה קופסה שלמה, אם תיתן לו נשיקה ותהיה חברה שלו.</w:t>
      </w:r>
    </w:p>
    <w:p w14:paraId="09A5EA6C" w14:textId="77777777" w:rsidR="00E81443" w:rsidRDefault="00E81443">
      <w:pPr>
        <w:rPr>
          <w:rFonts w:hint="cs"/>
          <w:rtl/>
        </w:rPr>
      </w:pPr>
    </w:p>
    <w:p w14:paraId="3D1EF8A4" w14:textId="77777777" w:rsidR="00E81443" w:rsidRDefault="00E81443">
      <w:pPr>
        <w:rPr>
          <w:rFonts w:hint="cs"/>
          <w:rtl/>
        </w:rPr>
      </w:pPr>
      <w:r>
        <w:rPr>
          <w:rFonts w:hint="cs"/>
          <w:rtl/>
        </w:rPr>
        <w:lastRenderedPageBreak/>
        <w:t>הנאשם משך את המתלוננת אל מדפי השתייה בצד הקופה ואמר לה: "תני לי לגמור, אני רוצה לזיין אותך ואני חרמן עלייך". המתלוננת בקשה מהנאשם שיעזוב אותה והנאשם אמר כי ייתן לה 300 ₪ והחל לגעת בחזה של המתלוננת מעל חולצתה ולהיצמד אליה וכן, תפס במותניה ובישבנה. המתלוננת דחפה את הנאשם מעליה וזה בתגובה אמר: "די תני לי, נו מהר" המתלוננת שוב דחפה את הנאשם מעליה וברחה מהמקום.</w:t>
      </w:r>
    </w:p>
    <w:p w14:paraId="68358963" w14:textId="77777777" w:rsidR="00E81443" w:rsidRDefault="00E81443">
      <w:pPr>
        <w:rPr>
          <w:rFonts w:hint="cs"/>
          <w:rtl/>
        </w:rPr>
      </w:pPr>
    </w:p>
    <w:p w14:paraId="68E484B0" w14:textId="77777777" w:rsidR="00E81443" w:rsidRDefault="00E81443">
      <w:pPr>
        <w:rPr>
          <w:rFonts w:hint="cs"/>
          <w:b/>
          <w:bCs/>
          <w:u w:val="single"/>
          <w:rtl/>
        </w:rPr>
      </w:pPr>
      <w:r>
        <w:rPr>
          <w:rFonts w:hint="cs"/>
          <w:b/>
          <w:bCs/>
          <w:u w:val="single"/>
          <w:rtl/>
        </w:rPr>
        <w:t>ראיות התביעה:</w:t>
      </w:r>
    </w:p>
    <w:p w14:paraId="21C33918" w14:textId="77777777" w:rsidR="00E81443" w:rsidRDefault="00E81443">
      <w:pPr>
        <w:rPr>
          <w:rFonts w:hint="cs"/>
          <w:u w:val="single"/>
          <w:rtl/>
        </w:rPr>
      </w:pPr>
      <w:r>
        <w:rPr>
          <w:rFonts w:hint="cs"/>
          <w:u w:val="single"/>
          <w:rtl/>
        </w:rPr>
        <w:t>רס"ר רוית דמוראיס (להלן: "רוית")</w:t>
      </w:r>
      <w:r>
        <w:rPr>
          <w:rFonts w:hint="cs"/>
          <w:rtl/>
        </w:rPr>
        <w:t>:</w:t>
      </w:r>
    </w:p>
    <w:p w14:paraId="5972096F" w14:textId="77777777" w:rsidR="00E81443" w:rsidRDefault="00E81443">
      <w:pPr>
        <w:rPr>
          <w:rFonts w:hint="cs"/>
          <w:rtl/>
        </w:rPr>
      </w:pPr>
      <w:r>
        <w:rPr>
          <w:rFonts w:hint="cs"/>
          <w:rtl/>
        </w:rPr>
        <w:t xml:space="preserve">העדה חוקרת במשטרת ישראל ומשרתת בתחנת משטרת טבריה. רוית גבתה את אמרת הנאשם מיום 16.2.04 (ת/1) וכן זימנה את המתלוננת לחקירה נוספת (ת/2). רוית העידה כי במהלך חקירת הנאשם נכנסה המתלוננת שלא לפי המתוכנן, וראתה את פניו של הנאשם והנהנה בראשה. תגובתו של הנאשם היתה מיידית בכך שהחל צועק כי אינו מכיר את המתלוננת והמתלוננת נתבקשה לצאת מהמשרד של רוית. </w:t>
      </w:r>
    </w:p>
    <w:p w14:paraId="06E0DE9D" w14:textId="77777777" w:rsidR="00E81443" w:rsidRDefault="00E81443">
      <w:pPr>
        <w:rPr>
          <w:rFonts w:hint="cs"/>
          <w:rtl/>
        </w:rPr>
      </w:pPr>
      <w:r>
        <w:rPr>
          <w:rFonts w:hint="cs"/>
          <w:u w:val="single"/>
          <w:rtl/>
        </w:rPr>
        <w:t>רס"ר יצחק אדרי (להלן: "יצחק")</w:t>
      </w:r>
      <w:r>
        <w:rPr>
          <w:rFonts w:hint="cs"/>
          <w:rtl/>
        </w:rPr>
        <w:t>:</w:t>
      </w:r>
    </w:p>
    <w:p w14:paraId="7BC8E71A" w14:textId="77777777" w:rsidR="00E81443" w:rsidRDefault="00E81443">
      <w:pPr>
        <w:rPr>
          <w:rFonts w:hint="cs"/>
          <w:rtl/>
        </w:rPr>
      </w:pPr>
      <w:r>
        <w:rPr>
          <w:rFonts w:hint="cs"/>
          <w:rtl/>
        </w:rPr>
        <w:t>העד משרת במשטרה ומשמש כחוקר בתחנת טבריה מזה כ-13 שנה. יצחק ערך את העימות בין הנאשם לבין המתלוננת, ת/3.</w:t>
      </w:r>
    </w:p>
    <w:p w14:paraId="6556C7E1" w14:textId="77777777" w:rsidR="00E81443" w:rsidRDefault="00E81443">
      <w:pPr>
        <w:rPr>
          <w:rFonts w:hint="cs"/>
          <w:rtl/>
        </w:rPr>
      </w:pPr>
    </w:p>
    <w:p w14:paraId="4D3EF142" w14:textId="77777777" w:rsidR="00E81443" w:rsidRDefault="00E81443">
      <w:pPr>
        <w:rPr>
          <w:rFonts w:hint="cs"/>
          <w:rtl/>
        </w:rPr>
      </w:pPr>
      <w:r>
        <w:rPr>
          <w:rFonts w:hint="cs"/>
          <w:u w:val="single"/>
          <w:rtl/>
        </w:rPr>
        <w:t>אהובה ב. (להלן:"אהובה")</w:t>
      </w:r>
      <w:r>
        <w:rPr>
          <w:rFonts w:hint="cs"/>
          <w:rtl/>
        </w:rPr>
        <w:t>:</w:t>
      </w:r>
    </w:p>
    <w:p w14:paraId="02BA47BF" w14:textId="77777777" w:rsidR="00E81443" w:rsidRDefault="00E81443">
      <w:pPr>
        <w:rPr>
          <w:rFonts w:hint="cs"/>
          <w:rtl/>
        </w:rPr>
      </w:pPr>
      <w:r>
        <w:rPr>
          <w:rFonts w:hint="cs"/>
          <w:rtl/>
        </w:rPr>
        <w:t>אהובה העידה, כי המתלוננת היא בתה. ביום האירוע המתלוננת יצאה מהבית בסביבות השעה 21:00. בשעה מאוחרת יותר, המתלוננת התקשרה בטלפון, שוחחה עם אחותה מירי. הדברים שאמרה לאחותה הם בבחינת עדות שמיעה. אהובה ובתה מירי ירדו לכניסה לבלוק, היכן שהיתה המתלוננת, וזו סיפרה להם בבכי כי הלכה לקנות  מספר סיגריות בודדות מהמכולת של הנאשם. הנאשם הציע למתלוננת 3 קופסאות סיגריה וניסה להתעסק איתה, משסירבה דחף אותה על ארגזי השתייה, נגע לה בחזה וניסה "להתעסק עמה". המתלוננת ואמה הגישו מייד תלונה במשטרה.</w:t>
      </w:r>
    </w:p>
    <w:p w14:paraId="3F5F2AE6" w14:textId="77777777" w:rsidR="00E81443" w:rsidRDefault="00E81443">
      <w:pPr>
        <w:rPr>
          <w:rFonts w:hint="cs"/>
          <w:rtl/>
        </w:rPr>
      </w:pPr>
    </w:p>
    <w:p w14:paraId="40FDA275" w14:textId="77777777" w:rsidR="00E81443" w:rsidRDefault="00E81443">
      <w:pPr>
        <w:rPr>
          <w:rFonts w:hint="cs"/>
          <w:u w:val="single"/>
          <w:rtl/>
        </w:rPr>
      </w:pPr>
      <w:r>
        <w:rPr>
          <w:rFonts w:hint="cs"/>
          <w:u w:val="single"/>
          <w:rtl/>
        </w:rPr>
        <w:t>נ. ב . (להלן:"המתלוננת")</w:t>
      </w:r>
      <w:r>
        <w:rPr>
          <w:rFonts w:hint="cs"/>
          <w:rtl/>
        </w:rPr>
        <w:t>:</w:t>
      </w:r>
    </w:p>
    <w:p w14:paraId="5D4E385F" w14:textId="77777777" w:rsidR="00E81443" w:rsidRDefault="00E81443">
      <w:pPr>
        <w:rPr>
          <w:rFonts w:hint="cs"/>
          <w:rtl/>
        </w:rPr>
      </w:pPr>
      <w:r>
        <w:rPr>
          <w:rFonts w:hint="cs"/>
          <w:rtl/>
        </w:rPr>
        <w:t xml:space="preserve">המתלוננת העידה בחקירתה הראשית כי ביום האירוע סמוך לשעה 21:30, ידיד שלה אסף אותה מבית הוריה. השנים נסעו לבקשתה לחנותו של הנאשם, כדי שהמתלוננת  תקנה מספר סיגריות בודדות. המתלוננת נכנסה בגפה לחנות. הנאשם נתן למתלוננת את הסיגריות ואמר לה :"למה מותק 4 סיגריות, אני אביא לך קופסא שלמה אם תתני לי". הנאשם הושיט את ידו ומשך אותה אליו מעבר לדלפק ודחף אותה על ארגזי השתייה. המתלוננת היתה מתוחה ומפוחדת והנאשם עמד מולה והחל נוגע בה בידיו תחילה בישבן ואח"כ במותניים ובחזה. המתלוננת ניסתה לדחוף את הנאשם. הנאשם אמר למתלוננת כי הוא רוצה לזיין אותה. המתלוננת דחפה בחוזקה את הנאשם, רצה לכיוון הכביש ונכנסה למכוניתו של הידיד. המתלוננת לא סיפרה לידיד את אשר ארע לה, אך דרשה ממנו להסיעה </w:t>
      </w:r>
      <w:r>
        <w:rPr>
          <w:rFonts w:hint="cs"/>
          <w:rtl/>
        </w:rPr>
        <w:lastRenderedPageBreak/>
        <w:t>בחזרה לביתה. המתלוננת התקשרה לביתה שוחחה עם אחותה וביקשה מאחותה מירי ואמה שירדו למטה. מייד לאחר האירוע הוגשה התלונה במשטרה.</w:t>
      </w:r>
    </w:p>
    <w:p w14:paraId="1CD5747F" w14:textId="77777777" w:rsidR="00E81443" w:rsidRDefault="00E81443">
      <w:pPr>
        <w:rPr>
          <w:rFonts w:hint="cs"/>
          <w:rtl/>
        </w:rPr>
      </w:pPr>
    </w:p>
    <w:p w14:paraId="43E2F9C3" w14:textId="77777777" w:rsidR="00E81443" w:rsidRDefault="00E81443">
      <w:pPr>
        <w:rPr>
          <w:rFonts w:hint="cs"/>
          <w:b/>
          <w:bCs/>
          <w:rtl/>
        </w:rPr>
      </w:pPr>
      <w:r>
        <w:rPr>
          <w:rFonts w:hint="cs"/>
          <w:b/>
          <w:bCs/>
          <w:u w:val="single"/>
          <w:rtl/>
        </w:rPr>
        <w:t>ראיות ההגנה</w:t>
      </w:r>
      <w:r>
        <w:rPr>
          <w:rFonts w:hint="cs"/>
          <w:b/>
          <w:bCs/>
          <w:rtl/>
        </w:rPr>
        <w:t>:</w:t>
      </w:r>
    </w:p>
    <w:p w14:paraId="75948E92" w14:textId="77777777" w:rsidR="00E81443" w:rsidRDefault="00E81443">
      <w:pPr>
        <w:rPr>
          <w:rFonts w:hint="cs"/>
          <w:u w:val="single"/>
          <w:rtl/>
        </w:rPr>
      </w:pPr>
      <w:r>
        <w:rPr>
          <w:rFonts w:hint="cs"/>
          <w:u w:val="single"/>
          <w:rtl/>
        </w:rPr>
        <w:t xml:space="preserve">עדות הנאשם </w:t>
      </w:r>
    </w:p>
    <w:p w14:paraId="5F2E63FC" w14:textId="77777777" w:rsidR="00E81443" w:rsidRDefault="00E81443">
      <w:pPr>
        <w:rPr>
          <w:rFonts w:hint="cs"/>
          <w:rtl/>
        </w:rPr>
      </w:pPr>
      <w:r>
        <w:rPr>
          <w:rFonts w:hint="cs"/>
          <w:rtl/>
        </w:rPr>
        <w:t>הנאשם העיד בחקירתו הראשית כי מעולם לא ראה ולא זכר את המתלוננת.</w:t>
      </w:r>
    </w:p>
    <w:p w14:paraId="11BE9896" w14:textId="77777777" w:rsidR="00E81443" w:rsidRDefault="00E81443">
      <w:pPr>
        <w:rPr>
          <w:rFonts w:hint="cs"/>
          <w:rtl/>
        </w:rPr>
      </w:pPr>
      <w:r>
        <w:rPr>
          <w:rFonts w:hint="cs"/>
          <w:rtl/>
        </w:rPr>
        <w:t xml:space="preserve">בחקירתו הנגדית העיד הנאשם כי ראה את המתלוננת פעם אחת בחנות שלו ופעם שניה בחנות של גיסו ותו לו.  </w:t>
      </w:r>
    </w:p>
    <w:p w14:paraId="57F06465" w14:textId="77777777" w:rsidR="00E81443" w:rsidRDefault="00E81443">
      <w:pPr>
        <w:rPr>
          <w:rFonts w:hint="cs"/>
          <w:b/>
          <w:bCs/>
          <w:u w:val="single"/>
          <w:rtl/>
        </w:rPr>
      </w:pPr>
    </w:p>
    <w:p w14:paraId="3C484F7B" w14:textId="77777777" w:rsidR="00E81443" w:rsidRDefault="00E81443">
      <w:pPr>
        <w:rPr>
          <w:rFonts w:hint="cs"/>
          <w:b/>
          <w:bCs/>
          <w:rtl/>
        </w:rPr>
      </w:pPr>
      <w:r>
        <w:rPr>
          <w:rFonts w:hint="cs"/>
          <w:b/>
          <w:bCs/>
          <w:u w:val="single"/>
          <w:rtl/>
        </w:rPr>
        <w:t>דיון</w:t>
      </w:r>
      <w:r>
        <w:rPr>
          <w:rFonts w:hint="cs"/>
          <w:b/>
          <w:bCs/>
          <w:rtl/>
        </w:rPr>
        <w:t>:</w:t>
      </w:r>
    </w:p>
    <w:p w14:paraId="3D1E04E4" w14:textId="77777777" w:rsidR="00E81443" w:rsidRDefault="00E81443">
      <w:pPr>
        <w:rPr>
          <w:rFonts w:hint="cs"/>
          <w:rtl/>
        </w:rPr>
      </w:pPr>
      <w:r>
        <w:rPr>
          <w:rFonts w:hint="cs"/>
          <w:b/>
          <w:bCs/>
          <w:rtl/>
        </w:rPr>
        <w:t>בית המשפט מזהיר עצמו כי בפניו עדות יחידה</w:t>
      </w:r>
      <w:r>
        <w:rPr>
          <w:rFonts w:hint="cs"/>
          <w:rtl/>
        </w:rPr>
        <w:t>. גם אם ימצאו לעדות היחידה חיזוקים ראיתים, ראוי כי בית המשפט יזהיר עצמו בטרם ירשיע נאשם בהסתמך על עדות יחידה.</w:t>
      </w:r>
    </w:p>
    <w:p w14:paraId="43AE6530" w14:textId="77777777" w:rsidR="00E81443" w:rsidRDefault="00E81443">
      <w:pPr>
        <w:rPr>
          <w:rFonts w:hint="cs"/>
          <w:rtl/>
        </w:rPr>
      </w:pPr>
    </w:p>
    <w:p w14:paraId="146CAB6C" w14:textId="77777777" w:rsidR="00E81443" w:rsidRDefault="00E81443">
      <w:pPr>
        <w:rPr>
          <w:rFonts w:hint="cs"/>
          <w:rtl/>
        </w:rPr>
      </w:pPr>
      <w:r>
        <w:rPr>
          <w:rFonts w:hint="cs"/>
          <w:rtl/>
        </w:rPr>
        <w:t>בחנתי את גרסת הנאשם, אל מול גרסת המתלוננת ומצאתי שיש להעדיף את גרסת המתלוננת על פני גרסתו של הנאשם, מהטעמים הבאים:</w:t>
      </w:r>
    </w:p>
    <w:p w14:paraId="27F8FE91" w14:textId="77777777" w:rsidR="00E81443" w:rsidRDefault="00E81443">
      <w:pPr>
        <w:rPr>
          <w:rFonts w:hint="cs"/>
          <w:rtl/>
        </w:rPr>
      </w:pPr>
    </w:p>
    <w:p w14:paraId="164ABA39" w14:textId="77777777" w:rsidR="00E81443" w:rsidRDefault="00E81443">
      <w:pPr>
        <w:rPr>
          <w:rFonts w:hint="cs"/>
          <w:rtl/>
        </w:rPr>
      </w:pPr>
      <w:r>
        <w:rPr>
          <w:rFonts w:hint="cs"/>
          <w:rtl/>
        </w:rPr>
        <w:t xml:space="preserve">א. </w:t>
      </w:r>
      <w:r>
        <w:rPr>
          <w:rFonts w:hint="cs"/>
          <w:rtl/>
        </w:rPr>
        <w:tab/>
      </w:r>
      <w:r>
        <w:rPr>
          <w:rFonts w:hint="cs"/>
          <w:u w:val="single"/>
          <w:rtl/>
        </w:rPr>
        <w:t>חוסר עקביות בדברי הנאשם:</w:t>
      </w:r>
    </w:p>
    <w:p w14:paraId="4BD6E35D" w14:textId="77777777" w:rsidR="00E81443" w:rsidRDefault="00E81443">
      <w:pPr>
        <w:ind w:left="720"/>
        <w:rPr>
          <w:rFonts w:hint="cs"/>
          <w:rtl/>
        </w:rPr>
      </w:pPr>
      <w:r>
        <w:rPr>
          <w:rFonts w:hint="cs"/>
          <w:rtl/>
        </w:rPr>
        <w:t xml:space="preserve">הנאשם בתחילת חקירתו בתחנת המשטרה מיום  16.02.04  (ת/1) טען באופן נחרץ כי אינו מכיר את המתלוננת. כשנכנסה המתלוננת למשרדה של החוקרת רוית, החל הנאשם לצעוק כי אינו מכיר את הבחורה. כך נרשמו הדברים: </w:t>
      </w:r>
    </w:p>
    <w:p w14:paraId="0DDD4BA4" w14:textId="77777777" w:rsidR="00E81443" w:rsidRDefault="00E81443">
      <w:pPr>
        <w:ind w:left="720" w:right="851"/>
        <w:rPr>
          <w:rFonts w:hint="cs"/>
          <w:b/>
          <w:bCs/>
          <w:rtl/>
        </w:rPr>
      </w:pPr>
      <w:r>
        <w:rPr>
          <w:rFonts w:hint="cs"/>
          <w:b/>
          <w:bCs/>
          <w:rtl/>
        </w:rPr>
        <w:t>"הערת החוקרת: בשלב זה נכנסת המתלוננת למשרדי, מביטה על החשוד ומהנהנת בראשה, והחשוד מתחיל לצעוק אני לא מכיר את הבחורה הזאת, בקשתי מהמתלוננת לעזוב את המשרד ולהמתין בחוץ".</w:t>
      </w:r>
    </w:p>
    <w:p w14:paraId="7DAB98C8" w14:textId="77777777" w:rsidR="00E81443" w:rsidRDefault="00E81443">
      <w:pPr>
        <w:rPr>
          <w:rFonts w:hint="cs"/>
          <w:rtl/>
        </w:rPr>
      </w:pPr>
      <w:r>
        <w:rPr>
          <w:rFonts w:hint="cs"/>
          <w:rtl/>
        </w:rPr>
        <w:tab/>
        <w:t>(ת/1 עמ' 2 שורות 44-47).</w:t>
      </w:r>
    </w:p>
    <w:p w14:paraId="3B11386D" w14:textId="77777777" w:rsidR="00E81443" w:rsidRDefault="00E81443">
      <w:pPr>
        <w:rPr>
          <w:rFonts w:hint="cs"/>
          <w:rtl/>
        </w:rPr>
      </w:pPr>
    </w:p>
    <w:p w14:paraId="1EAE8C89" w14:textId="77777777" w:rsidR="00E81443" w:rsidRDefault="00E81443">
      <w:pPr>
        <w:ind w:firstLine="720"/>
        <w:rPr>
          <w:rFonts w:hint="cs"/>
          <w:rtl/>
        </w:rPr>
      </w:pPr>
      <w:r>
        <w:rPr>
          <w:rFonts w:hint="cs"/>
          <w:rtl/>
        </w:rPr>
        <w:t>לשאלת החוקרת כיצד ידע הנאשם כי המתלוננת היא זו שנכנסה למשרד, השיב הנאשם:</w:t>
      </w:r>
    </w:p>
    <w:p w14:paraId="29521C91" w14:textId="77777777" w:rsidR="00E81443" w:rsidRDefault="00E81443">
      <w:pPr>
        <w:ind w:left="720" w:right="993"/>
        <w:rPr>
          <w:rFonts w:hint="cs"/>
          <w:rtl/>
        </w:rPr>
      </w:pPr>
      <w:r>
        <w:rPr>
          <w:rFonts w:hint="cs"/>
          <w:b/>
          <w:bCs/>
          <w:rtl/>
        </w:rPr>
        <w:t>"</w:t>
      </w:r>
      <w:r>
        <w:rPr>
          <w:rFonts w:hint="cs"/>
          <w:b/>
          <w:bCs/>
          <w:u w:val="single"/>
          <w:rtl/>
        </w:rPr>
        <w:t>כי אחרי שהיא נכנסה</w:t>
      </w:r>
      <w:r>
        <w:rPr>
          <w:rFonts w:hint="cs"/>
          <w:b/>
          <w:bCs/>
          <w:rtl/>
        </w:rPr>
        <w:t xml:space="preserve"> שאלתי אותה את המתלוננת והיא אמרה ועשתה כן עם הראש" </w:t>
      </w:r>
      <w:r>
        <w:rPr>
          <w:rFonts w:hint="cs"/>
          <w:rtl/>
        </w:rPr>
        <w:t>(הדגשה אינה במקור ד.פ.)</w:t>
      </w:r>
    </w:p>
    <w:p w14:paraId="4E1EB460" w14:textId="77777777" w:rsidR="00E81443" w:rsidRDefault="00E81443">
      <w:pPr>
        <w:ind w:firstLine="720"/>
        <w:rPr>
          <w:rFonts w:hint="cs"/>
          <w:rtl/>
        </w:rPr>
      </w:pPr>
      <w:r>
        <w:rPr>
          <w:rFonts w:hint="cs"/>
          <w:rtl/>
        </w:rPr>
        <w:t xml:space="preserve"> (ת/1 עמ' 2 שורות 50-51).</w:t>
      </w:r>
    </w:p>
    <w:p w14:paraId="0AFAAE94" w14:textId="77777777" w:rsidR="00E81443" w:rsidRDefault="00E81443">
      <w:pPr>
        <w:rPr>
          <w:rFonts w:hint="cs"/>
          <w:rtl/>
        </w:rPr>
      </w:pPr>
    </w:p>
    <w:p w14:paraId="4E08263A" w14:textId="77777777" w:rsidR="00E81443" w:rsidRDefault="00E81443">
      <w:pPr>
        <w:ind w:left="720"/>
        <w:rPr>
          <w:rFonts w:hint="cs"/>
          <w:rtl/>
        </w:rPr>
      </w:pPr>
      <w:r>
        <w:rPr>
          <w:rFonts w:hint="cs"/>
          <w:rtl/>
        </w:rPr>
        <w:t>לאחר שהקשתה החוקרת על הנאשם ואמרה לו כי עוד לפני שפצה פה מיד כשהמתלוננת נכנסה החל צועק, כי אינו מכיר אותה השיב:</w:t>
      </w:r>
    </w:p>
    <w:p w14:paraId="29AF5D55" w14:textId="77777777" w:rsidR="00E81443" w:rsidRDefault="00E81443">
      <w:pPr>
        <w:ind w:firstLine="720"/>
        <w:rPr>
          <w:rFonts w:hint="cs"/>
          <w:b/>
          <w:bCs/>
          <w:rtl/>
        </w:rPr>
      </w:pPr>
      <w:r>
        <w:rPr>
          <w:rFonts w:hint="cs"/>
          <w:b/>
          <w:bCs/>
          <w:rtl/>
        </w:rPr>
        <w:t>"זה לא נכון, שאלתי אותה אם היא המתלוננת והיא הזיזה את הראש שכן"</w:t>
      </w:r>
    </w:p>
    <w:p w14:paraId="479C4CB0" w14:textId="77777777" w:rsidR="00E81443" w:rsidRDefault="00E81443">
      <w:pPr>
        <w:ind w:firstLine="720"/>
        <w:rPr>
          <w:rFonts w:hint="cs"/>
          <w:rtl/>
        </w:rPr>
      </w:pPr>
      <w:r>
        <w:rPr>
          <w:rFonts w:hint="cs"/>
          <w:rtl/>
        </w:rPr>
        <w:t>(ת/1 עמ' 2 שורות 54-55)</w:t>
      </w:r>
    </w:p>
    <w:p w14:paraId="5236C85D" w14:textId="77777777" w:rsidR="00E81443" w:rsidRDefault="00E81443">
      <w:pPr>
        <w:rPr>
          <w:rFonts w:hint="cs"/>
          <w:rtl/>
        </w:rPr>
      </w:pPr>
    </w:p>
    <w:p w14:paraId="1AB17C1E" w14:textId="77777777" w:rsidR="00E81443" w:rsidRDefault="00E81443">
      <w:pPr>
        <w:rPr>
          <w:rFonts w:hint="cs"/>
          <w:rtl/>
        </w:rPr>
      </w:pPr>
      <w:r>
        <w:rPr>
          <w:rFonts w:hint="cs"/>
          <w:rtl/>
        </w:rPr>
        <w:lastRenderedPageBreak/>
        <w:t>לשאלת החוקרת למה שאל אותה אם היא המתלוננת השיב:</w:t>
      </w:r>
    </w:p>
    <w:p w14:paraId="25F346B1" w14:textId="77777777" w:rsidR="00E81443" w:rsidRDefault="00E81443">
      <w:pPr>
        <w:ind w:left="720" w:right="851"/>
        <w:rPr>
          <w:rFonts w:hint="cs"/>
          <w:b/>
          <w:bCs/>
          <w:rtl/>
        </w:rPr>
      </w:pPr>
      <w:r>
        <w:rPr>
          <w:rFonts w:hint="cs"/>
          <w:b/>
          <w:bCs/>
          <w:rtl/>
        </w:rPr>
        <w:t>"כי שיערתי שהיא צריכה להגיע, כי היא נכנסה למשרד ואני לא מכיר אותה אין לי מושג מי זאת".</w:t>
      </w:r>
    </w:p>
    <w:p w14:paraId="00EBCC32" w14:textId="77777777" w:rsidR="00E81443" w:rsidRDefault="00E81443">
      <w:pPr>
        <w:ind w:firstLine="720"/>
        <w:rPr>
          <w:rFonts w:hint="cs"/>
          <w:rtl/>
        </w:rPr>
      </w:pPr>
      <w:r>
        <w:rPr>
          <w:rFonts w:hint="cs"/>
          <w:rtl/>
        </w:rPr>
        <w:t>(ת/1 עמ' 2 שורות 57-58).</w:t>
      </w:r>
    </w:p>
    <w:p w14:paraId="7105501C" w14:textId="77777777" w:rsidR="00E81443" w:rsidRDefault="00E81443">
      <w:pPr>
        <w:rPr>
          <w:rFonts w:hint="cs"/>
          <w:rtl/>
        </w:rPr>
      </w:pPr>
    </w:p>
    <w:p w14:paraId="73DF39FB" w14:textId="77777777" w:rsidR="00E81443" w:rsidRDefault="00E81443">
      <w:pPr>
        <w:rPr>
          <w:rFonts w:hint="cs"/>
          <w:rtl/>
        </w:rPr>
      </w:pPr>
      <w:r>
        <w:rPr>
          <w:rFonts w:hint="cs"/>
          <w:rtl/>
        </w:rPr>
        <w:t>בחקירתו הנגדית העיד הנאשם :</w:t>
      </w:r>
    </w:p>
    <w:p w14:paraId="55C048A5" w14:textId="77777777" w:rsidR="00E81443" w:rsidRDefault="00E81443">
      <w:pPr>
        <w:ind w:left="720" w:right="851"/>
        <w:rPr>
          <w:rFonts w:hint="cs"/>
          <w:rtl/>
        </w:rPr>
      </w:pPr>
      <w:r>
        <w:rPr>
          <w:rFonts w:hint="cs"/>
          <w:b/>
          <w:bCs/>
          <w:rtl/>
        </w:rPr>
        <w:t xml:space="preserve">"...שנכנסתי למשרד של החקירות של השוטרת </w:t>
      </w:r>
      <w:r>
        <w:rPr>
          <w:rFonts w:hint="cs"/>
          <w:b/>
          <w:bCs/>
          <w:u w:val="single"/>
          <w:rtl/>
        </w:rPr>
        <w:t>לפני שתבצע חקירה</w:t>
      </w:r>
      <w:r>
        <w:rPr>
          <w:rFonts w:hint="cs"/>
          <w:b/>
          <w:bCs/>
          <w:rtl/>
        </w:rPr>
        <w:t>, פגשתי את האמא ואת הילדה נ.ב (השם המלא מופיע במקור) ובמשרד ואמרו שארד לתחנה שיש תלונה נגד בחורה, שואל אותה את המתלוננת ועשתה כן בראש ואז נכנסתי לשוטרת שהיא תחקור והשוטרת לא ידעה זאת ושהיא נכנסה לשוטרת אז אמרתי את זאת אני לא מכיר.."</w:t>
      </w:r>
      <w:r>
        <w:rPr>
          <w:rFonts w:hint="cs"/>
          <w:rtl/>
        </w:rPr>
        <w:t xml:space="preserve"> (הדגשה אינה במקור ד.פ.). </w:t>
      </w:r>
    </w:p>
    <w:p w14:paraId="4CAFC286" w14:textId="77777777" w:rsidR="00E81443" w:rsidRDefault="00E81443">
      <w:pPr>
        <w:ind w:firstLine="720"/>
        <w:rPr>
          <w:rFonts w:hint="cs"/>
          <w:rtl/>
        </w:rPr>
      </w:pPr>
      <w:r>
        <w:rPr>
          <w:rFonts w:hint="cs"/>
          <w:rtl/>
        </w:rPr>
        <w:t>(פרוטוקול מיום 25.09.05 עמ' 22 שורות 16-19).</w:t>
      </w:r>
    </w:p>
    <w:p w14:paraId="0DC66DB1" w14:textId="77777777" w:rsidR="00E81443" w:rsidRDefault="00E81443">
      <w:pPr>
        <w:rPr>
          <w:rFonts w:hint="cs"/>
          <w:rtl/>
        </w:rPr>
      </w:pPr>
    </w:p>
    <w:p w14:paraId="106ADF11" w14:textId="77777777" w:rsidR="00E81443" w:rsidRDefault="00E81443">
      <w:pPr>
        <w:rPr>
          <w:rFonts w:hint="cs"/>
          <w:rtl/>
        </w:rPr>
      </w:pPr>
      <w:r>
        <w:rPr>
          <w:rFonts w:hint="cs"/>
          <w:rtl/>
        </w:rPr>
        <w:t xml:space="preserve">על הבדלי הגרסאות השיב הנאשם בחקירתו הנגדית, כי אמר לחוקרת שפגש את המתלוננת ואמא שלה בפרוזדור אולם החוקרת הפסיקה את החקירה: </w:t>
      </w:r>
    </w:p>
    <w:p w14:paraId="6EFC58C1" w14:textId="77777777" w:rsidR="00E81443" w:rsidRDefault="00E81443">
      <w:pPr>
        <w:ind w:left="720" w:right="851"/>
        <w:rPr>
          <w:rFonts w:hint="cs"/>
          <w:b/>
          <w:bCs/>
          <w:rtl/>
        </w:rPr>
      </w:pPr>
      <w:r>
        <w:rPr>
          <w:rFonts w:hint="cs"/>
          <w:b/>
          <w:bCs/>
          <w:rtl/>
        </w:rPr>
        <w:t>"החוקרת הפסיקה ואמרה שהיא קמה שלא יכולה לנהל את החקירה ושמו את הבחור שבא לכאן היום".</w:t>
      </w:r>
    </w:p>
    <w:p w14:paraId="61E5CC30" w14:textId="77777777" w:rsidR="00E81443" w:rsidRDefault="00E81443">
      <w:pPr>
        <w:ind w:firstLine="720"/>
        <w:rPr>
          <w:rFonts w:hint="cs"/>
          <w:rtl/>
        </w:rPr>
      </w:pPr>
      <w:r>
        <w:rPr>
          <w:rFonts w:hint="cs"/>
          <w:rtl/>
        </w:rPr>
        <w:t xml:space="preserve"> (פרוטוקול מיום 25.09.05 עמ' 23 שורות 1-2).</w:t>
      </w:r>
    </w:p>
    <w:p w14:paraId="47D732D1" w14:textId="77777777" w:rsidR="00E81443" w:rsidRDefault="00E81443">
      <w:pPr>
        <w:rPr>
          <w:rFonts w:hint="cs"/>
          <w:rtl/>
        </w:rPr>
      </w:pPr>
    </w:p>
    <w:p w14:paraId="25C54C8D" w14:textId="77777777" w:rsidR="00E81443" w:rsidRDefault="00E81443">
      <w:pPr>
        <w:rPr>
          <w:rFonts w:hint="cs"/>
          <w:rtl/>
        </w:rPr>
      </w:pPr>
      <w:r>
        <w:rPr>
          <w:rFonts w:hint="cs"/>
          <w:rtl/>
        </w:rPr>
        <w:t>הנאשם מעלה מספר גרסאות סותרות, אשר נועדו לספק הסבר לתגובתו, כפי שנרשמה בת/1, כאשר המתלוננת נכנסה למשרד החקירות. הגרסה הראשונה היא כי הנאשם הבחין במתלוננת ובאמה עוד בטרם החלה חקירתו, והוא שוחח עמהן. (פרוטוקול מיום 25.09.05 עמ' 22 שורות 16-19) . מצאתי לדחות גרסה זו, מאחר ולפי עדות החוקרת רוית, לא נוצר מצב בו הנאשם המתין יחד עם המתלוננת ואמה.  לגרסת רוית, המתלוננת הגיעה במפתיע באמצע החקירה של הנאשם ונכנסה לחדר החקירות. אילו היה אמת בגרסה זו, הרי הנאשם היה מעלה אותה מייד בחקירתו (ת/1) ולא נוצר אותה עד לחקירתו בבית המשפט.</w:t>
      </w:r>
    </w:p>
    <w:p w14:paraId="1D1681C9" w14:textId="77777777" w:rsidR="00E81443" w:rsidRDefault="00E81443">
      <w:pPr>
        <w:rPr>
          <w:rFonts w:hint="cs"/>
          <w:rtl/>
        </w:rPr>
      </w:pPr>
    </w:p>
    <w:p w14:paraId="037DB738" w14:textId="77777777" w:rsidR="00E81443" w:rsidRDefault="00E81443">
      <w:pPr>
        <w:rPr>
          <w:rFonts w:hint="cs"/>
          <w:rtl/>
        </w:rPr>
      </w:pPr>
      <w:r>
        <w:rPr>
          <w:rFonts w:hint="cs"/>
          <w:rtl/>
        </w:rPr>
        <w:t>גרסתו השניה של הנאשם, אשר אף היא באה לתת הסבר לתגובתו אשר בת/1, היא כי הוא שאל אותה אם היא המתלוננת והיא הזיזה את הראש שכן (ת/1 עמ' 2 שורות 54-55) . גם גרסה זו אינה עולה בקנה אחד עם תאור האירוע כפי שרשמה רוית. מדוע על הנאשם לפנות למתלוננת בשאלה שכזו? אם פנה הנאשם בשאלה זו למתלוננת וקיבל תשובה מדוע עליו לפתוח בצעקות, כי הוא לא מכיר את המתלוננת? הסבריו של הנאשם אינם מניחים את הדעת.</w:t>
      </w:r>
    </w:p>
    <w:p w14:paraId="08EA7F7E" w14:textId="77777777" w:rsidR="00E81443" w:rsidRDefault="00E81443">
      <w:pPr>
        <w:rPr>
          <w:rFonts w:hint="cs"/>
          <w:rtl/>
        </w:rPr>
      </w:pPr>
    </w:p>
    <w:p w14:paraId="2729B554" w14:textId="77777777" w:rsidR="00E81443" w:rsidRDefault="00E81443">
      <w:pPr>
        <w:rPr>
          <w:rFonts w:hint="cs"/>
          <w:rtl/>
        </w:rPr>
      </w:pPr>
      <w:r>
        <w:rPr>
          <w:rFonts w:hint="cs"/>
          <w:rtl/>
        </w:rPr>
        <w:t xml:space="preserve">הנאשם בגרסאותיו השונות אינו עקבי באשר לסדר האירועים. הנאשם מתקשה לדבוק בגרסה אחת, מתי לראשונה פגש במתלוננת האם פגש בה, במסדרון בהמתנה לחקירה, או שהיה זה באמצע החקירה בחדר החקירות, או שהיה זה בסיום החקירה. </w:t>
      </w:r>
    </w:p>
    <w:p w14:paraId="061E25F8" w14:textId="77777777" w:rsidR="00E81443" w:rsidRDefault="00E81443">
      <w:pPr>
        <w:rPr>
          <w:rFonts w:hint="cs"/>
          <w:rtl/>
        </w:rPr>
      </w:pPr>
    </w:p>
    <w:p w14:paraId="4DA35563" w14:textId="77777777" w:rsidR="00E81443" w:rsidRDefault="00E81443">
      <w:pPr>
        <w:rPr>
          <w:rFonts w:hint="cs"/>
          <w:rtl/>
        </w:rPr>
      </w:pPr>
      <w:r>
        <w:rPr>
          <w:rFonts w:hint="cs"/>
          <w:rtl/>
        </w:rPr>
        <w:t>מצאתי לאמץ את גרסת רוית והמתלוננת כי המתלוננת נכנסה למשרד החקירות באמצע חקירתו של הנאשם. לא היה זה בתחילת העדות ולא בסיום העדות, כי לפני כניסתה של המתלוננת, נחקר הנאשם ונשאל לא מעט שאלות ולאחר כניסתה לחדר החקירות המשיכה החוקרת וחקרה אותו חקירה המשתרעת על פי שני עמודי חקירה. (פרוטוקול מיום 25.9.05 עמ' 9 שורות 2-3).</w:t>
      </w:r>
    </w:p>
    <w:p w14:paraId="0E0F9CF2" w14:textId="77777777" w:rsidR="00E81443" w:rsidRDefault="00E81443">
      <w:pPr>
        <w:rPr>
          <w:rFonts w:hint="cs"/>
          <w:rtl/>
        </w:rPr>
      </w:pPr>
    </w:p>
    <w:p w14:paraId="0804AB90" w14:textId="77777777" w:rsidR="00E81443" w:rsidRDefault="00E81443">
      <w:pPr>
        <w:rPr>
          <w:rFonts w:hint="cs"/>
          <w:b/>
          <w:bCs/>
          <w:u w:val="single"/>
          <w:rtl/>
        </w:rPr>
      </w:pPr>
      <w:r>
        <w:rPr>
          <w:rFonts w:hint="cs"/>
          <w:b/>
          <w:bCs/>
          <w:u w:val="single"/>
          <w:rtl/>
        </w:rPr>
        <w:t>היכרותו של הנאשם עם המתלוננת:</w:t>
      </w:r>
    </w:p>
    <w:p w14:paraId="363656E8" w14:textId="77777777" w:rsidR="00E81443" w:rsidRDefault="00E81443">
      <w:pPr>
        <w:rPr>
          <w:rFonts w:hint="cs"/>
          <w:rtl/>
        </w:rPr>
      </w:pPr>
      <w:r>
        <w:rPr>
          <w:rFonts w:hint="cs"/>
          <w:rtl/>
        </w:rPr>
        <w:t xml:space="preserve">  הנאשם נשאל האם המתלוננת הייתה אצלו פעם במכולת, והשיב:</w:t>
      </w:r>
    </w:p>
    <w:p w14:paraId="5DB0C078" w14:textId="77777777" w:rsidR="00E81443" w:rsidRDefault="00E81443">
      <w:pPr>
        <w:ind w:left="720" w:right="851"/>
        <w:rPr>
          <w:rFonts w:hint="cs"/>
          <w:b/>
          <w:bCs/>
          <w:rtl/>
        </w:rPr>
      </w:pPr>
      <w:r>
        <w:rPr>
          <w:rFonts w:hint="cs"/>
          <w:b/>
          <w:bCs/>
          <w:rtl/>
        </w:rPr>
        <w:t>"אולי פעם אחת שעברה, ומזמן לא ראיתי אותה...וראיתי אותה פעם אחת במכולת של גיסי, פעם אחת".</w:t>
      </w:r>
    </w:p>
    <w:p w14:paraId="60D4B2A7" w14:textId="77777777" w:rsidR="00E81443" w:rsidRDefault="00E81443">
      <w:pPr>
        <w:ind w:firstLine="720"/>
        <w:rPr>
          <w:rFonts w:hint="cs"/>
          <w:rtl/>
        </w:rPr>
      </w:pPr>
      <w:r>
        <w:rPr>
          <w:rFonts w:hint="cs"/>
          <w:rtl/>
        </w:rPr>
        <w:t>(ת/1 עמ' 2 שורות 60-63).</w:t>
      </w:r>
    </w:p>
    <w:p w14:paraId="5AD6A28F" w14:textId="77777777" w:rsidR="00E81443" w:rsidRDefault="00E81443">
      <w:pPr>
        <w:rPr>
          <w:rFonts w:hint="cs"/>
          <w:rtl/>
        </w:rPr>
      </w:pPr>
    </w:p>
    <w:p w14:paraId="77272562" w14:textId="77777777" w:rsidR="00E81443" w:rsidRDefault="00E81443">
      <w:pPr>
        <w:rPr>
          <w:rFonts w:hint="cs"/>
          <w:rtl/>
        </w:rPr>
      </w:pPr>
      <w:r>
        <w:rPr>
          <w:rFonts w:hint="cs"/>
          <w:rtl/>
        </w:rPr>
        <w:t>עוד בחקירתו במשטרה העיד הנאשם כי:</w:t>
      </w:r>
    </w:p>
    <w:p w14:paraId="33D20DD9" w14:textId="77777777" w:rsidR="00E81443" w:rsidRDefault="00E81443">
      <w:pPr>
        <w:ind w:left="720" w:right="851"/>
        <w:rPr>
          <w:rFonts w:hint="cs"/>
          <w:b/>
          <w:bCs/>
          <w:rtl/>
        </w:rPr>
      </w:pPr>
      <w:r>
        <w:rPr>
          <w:rFonts w:hint="cs"/>
          <w:b/>
          <w:bCs/>
          <w:rtl/>
        </w:rPr>
        <w:t>"את כל הלקוחות הקבועים שלי אני מכיר אבל אם נכנס מישהו לא קבוע לקנות אז אני לא זוכר את הפנים יש עשרות כאלו שנכנסים פעם אחת ויוצאים וזהו".</w:t>
      </w:r>
    </w:p>
    <w:p w14:paraId="1C6A1161" w14:textId="77777777" w:rsidR="00E81443" w:rsidRDefault="00E81443">
      <w:pPr>
        <w:ind w:firstLine="720"/>
        <w:rPr>
          <w:rFonts w:hint="cs"/>
          <w:rtl/>
        </w:rPr>
      </w:pPr>
      <w:r>
        <w:rPr>
          <w:rFonts w:hint="cs"/>
          <w:rtl/>
        </w:rPr>
        <w:t>(ת/1 עמ' 3 שורות 9-11).</w:t>
      </w:r>
    </w:p>
    <w:p w14:paraId="2C297E05" w14:textId="77777777" w:rsidR="00E81443" w:rsidRDefault="00E81443">
      <w:pPr>
        <w:rPr>
          <w:rFonts w:hint="cs"/>
          <w:rtl/>
        </w:rPr>
      </w:pPr>
    </w:p>
    <w:p w14:paraId="4ED4601B" w14:textId="77777777" w:rsidR="00E81443" w:rsidRDefault="00E81443">
      <w:pPr>
        <w:rPr>
          <w:rFonts w:hint="cs"/>
          <w:rtl/>
        </w:rPr>
      </w:pPr>
      <w:r>
        <w:rPr>
          <w:rFonts w:hint="cs"/>
          <w:rtl/>
        </w:rPr>
        <w:t>בחקירתו הנגדית השיב הנאשם כי ראה את המתלוננת פעם אחת בחנות שלו ופעם שניה אצל גיסו במכולת.</w:t>
      </w:r>
    </w:p>
    <w:p w14:paraId="4477C0ED" w14:textId="77777777" w:rsidR="00E81443" w:rsidRDefault="00E81443">
      <w:pPr>
        <w:rPr>
          <w:rFonts w:hint="cs"/>
          <w:rtl/>
        </w:rPr>
      </w:pPr>
      <w:r>
        <w:rPr>
          <w:rFonts w:hint="cs"/>
          <w:rtl/>
        </w:rPr>
        <w:t>בתשובה לשאלה מתי זה היה ביחס לאירוע השיב הנאשם:</w:t>
      </w:r>
    </w:p>
    <w:p w14:paraId="41312B20" w14:textId="77777777" w:rsidR="00E81443" w:rsidRDefault="00E81443">
      <w:pPr>
        <w:ind w:left="720" w:right="851"/>
        <w:rPr>
          <w:rFonts w:hint="cs"/>
          <w:rtl/>
        </w:rPr>
      </w:pPr>
      <w:r>
        <w:rPr>
          <w:rFonts w:hint="cs"/>
          <w:b/>
          <w:bCs/>
          <w:rtl/>
        </w:rPr>
        <w:t>"אחרי האירוע...ראיתי אותה אצל יוסי במכולת אני חושב אחרי שהעימות. לא זוכר בדיוק, עבר זמן."</w:t>
      </w:r>
      <w:r>
        <w:rPr>
          <w:rFonts w:hint="cs"/>
          <w:rtl/>
        </w:rPr>
        <w:t xml:space="preserve"> (כך נרשם במקור).</w:t>
      </w:r>
    </w:p>
    <w:p w14:paraId="16503B1A" w14:textId="77777777" w:rsidR="00E81443" w:rsidRDefault="00E81443">
      <w:pPr>
        <w:ind w:firstLine="720"/>
        <w:rPr>
          <w:rFonts w:hint="cs"/>
          <w:rtl/>
        </w:rPr>
      </w:pPr>
      <w:r>
        <w:rPr>
          <w:rFonts w:hint="cs"/>
          <w:rtl/>
        </w:rPr>
        <w:t>(פרוטוקול מיום 25.09.05 עמ' 20 שורות 24-26).</w:t>
      </w:r>
    </w:p>
    <w:p w14:paraId="1EF80B12" w14:textId="77777777" w:rsidR="00E81443" w:rsidRDefault="00E81443">
      <w:pPr>
        <w:rPr>
          <w:rFonts w:hint="cs"/>
          <w:rtl/>
        </w:rPr>
      </w:pPr>
    </w:p>
    <w:p w14:paraId="2CCD74FA" w14:textId="77777777" w:rsidR="00E81443" w:rsidRDefault="00E81443">
      <w:pPr>
        <w:rPr>
          <w:rFonts w:hint="cs"/>
          <w:rtl/>
        </w:rPr>
      </w:pPr>
      <w:r>
        <w:rPr>
          <w:rFonts w:hint="cs"/>
          <w:rtl/>
        </w:rPr>
        <w:t>הנאשם ציין כי ראה  את המתלוננת  לשניה או דקה (שם עמ' 21 שורה 2).</w:t>
      </w:r>
    </w:p>
    <w:p w14:paraId="610D6094" w14:textId="77777777" w:rsidR="00E81443" w:rsidRDefault="00E81443">
      <w:pPr>
        <w:rPr>
          <w:rFonts w:hint="cs"/>
          <w:rtl/>
        </w:rPr>
      </w:pPr>
      <w:r>
        <w:rPr>
          <w:rFonts w:hint="cs"/>
          <w:rtl/>
        </w:rPr>
        <w:t>דבריו של הנאשם אינם מתיישבים אלו עם אלו. בהנחה שאכן שני המפגשים של הנאשם התרחשו לפני האירוע, מדוע זכר דווקא את המתלוננת שראה אותה דקה או שניה ופעם נוספת בחנותו, שכן ציין שאינה לקוחה קבועה. האפשרות כי ראה את המתלוננת אחרי האירוע, אינה מתקבלת על הדעת, שכן הנאשם העיד על כך בתחנת המשטרה.</w:t>
      </w:r>
    </w:p>
    <w:p w14:paraId="593EEBB9" w14:textId="77777777" w:rsidR="00E81443" w:rsidRDefault="00E81443">
      <w:pPr>
        <w:rPr>
          <w:rFonts w:hint="cs"/>
          <w:rtl/>
        </w:rPr>
      </w:pPr>
    </w:p>
    <w:p w14:paraId="5DE60FDE" w14:textId="77777777" w:rsidR="00E81443" w:rsidRDefault="00E81443">
      <w:pPr>
        <w:rPr>
          <w:rFonts w:hint="cs"/>
          <w:rtl/>
        </w:rPr>
      </w:pPr>
      <w:r>
        <w:rPr>
          <w:rFonts w:hint="cs"/>
          <w:rtl/>
        </w:rPr>
        <w:t>הנאשם בעדותו בבית המשפט הרבה לכעוס, לצעוק וניכר כי לא שלט ברוחו. הנאשם העיד כשהוא ממש מרקד מרגל לרגל ואינו יכול לעמוד במקומו. מבטו של הנאשם ריצד בחלל בית המשפט כשהוא נמנע מלהישיר מבטו אל בית המשפט. הנאשם הותיר בי רושם של מי שאינו דובר אמת ושל אדם המתקשה לשלוט בגופו.</w:t>
      </w:r>
    </w:p>
    <w:p w14:paraId="5DFB948F" w14:textId="77777777" w:rsidR="00E81443" w:rsidRDefault="00E81443">
      <w:pPr>
        <w:rPr>
          <w:rFonts w:hint="cs"/>
          <w:rtl/>
        </w:rPr>
      </w:pPr>
    </w:p>
    <w:p w14:paraId="177F14C8" w14:textId="77777777" w:rsidR="00E81443" w:rsidRDefault="00E81443">
      <w:pPr>
        <w:rPr>
          <w:rFonts w:hint="cs"/>
          <w:rtl/>
        </w:rPr>
      </w:pPr>
      <w:r>
        <w:rPr>
          <w:rFonts w:hint="cs"/>
          <w:rtl/>
        </w:rPr>
        <w:t xml:space="preserve">המתלוננת העידה בפני וניכר עליה כי הדבר אינו קל עבורה. המתלוננת הייתה נסערת והרבתה לבכות במהלך הדיון. </w:t>
      </w:r>
    </w:p>
    <w:p w14:paraId="014D068A" w14:textId="77777777" w:rsidR="00E81443" w:rsidRDefault="00E81443">
      <w:pPr>
        <w:rPr>
          <w:rFonts w:hint="cs"/>
          <w:rtl/>
        </w:rPr>
      </w:pPr>
    </w:p>
    <w:p w14:paraId="0300935C" w14:textId="77777777" w:rsidR="00E81443" w:rsidRDefault="00E81443">
      <w:pPr>
        <w:rPr>
          <w:rFonts w:hint="cs"/>
          <w:rtl/>
        </w:rPr>
      </w:pPr>
      <w:r>
        <w:rPr>
          <w:rFonts w:hint="cs"/>
          <w:rtl/>
        </w:rPr>
        <w:t>מעדותה של אהובה עולה כי ביום האירוע בסביבות 21:00 התקשרה המתלוננת לאימה ואמרה לה כי מישהו תקף אותה.</w:t>
      </w:r>
    </w:p>
    <w:p w14:paraId="4821DEE1" w14:textId="77777777" w:rsidR="00E81443" w:rsidRDefault="00E81443">
      <w:pPr>
        <w:rPr>
          <w:rFonts w:hint="cs"/>
          <w:rtl/>
        </w:rPr>
      </w:pPr>
    </w:p>
    <w:p w14:paraId="56703464" w14:textId="77777777" w:rsidR="00E81443" w:rsidRDefault="00E81443">
      <w:pPr>
        <w:rPr>
          <w:rFonts w:hint="cs"/>
          <w:rtl/>
        </w:rPr>
      </w:pPr>
      <w:r>
        <w:rPr>
          <w:rFonts w:hint="cs"/>
          <w:rtl/>
        </w:rPr>
        <w:t>אומנם המתלוננת לא סיפרה לידיד אשר הסיע אותה אודות האירוע אותו עברה, אך אין זה חריג שבחורה ובפרט נערה צעירה שחווה מקרה מסוג שכזה כל שתרצה זה להגיע לביתה, מקום מבטחים, ולא תרצה לשתף בכך חברים או מכרים שונים. בנוסף ניתן לראות כי מיד כשחזרה המתלוננת לביתה הגישה תלונה במשטרה, דבר המחזק את גרסתה.</w:t>
      </w:r>
    </w:p>
    <w:p w14:paraId="2996B8F8" w14:textId="77777777" w:rsidR="00E81443" w:rsidRDefault="00E81443">
      <w:pPr>
        <w:rPr>
          <w:rFonts w:hint="cs"/>
          <w:rtl/>
        </w:rPr>
      </w:pPr>
    </w:p>
    <w:p w14:paraId="1642D75D" w14:textId="77777777" w:rsidR="00E81443" w:rsidRDefault="00E81443">
      <w:pPr>
        <w:rPr>
          <w:rFonts w:hint="cs"/>
          <w:rtl/>
        </w:rPr>
      </w:pPr>
      <w:r>
        <w:rPr>
          <w:rFonts w:hint="cs"/>
          <w:rtl/>
        </w:rPr>
        <w:t>הנאשם צירף תמונות של החנות כראיה (נ/1-נ/4) אשר לדעת ההגנה יש בהן כדי להוכיח כי גרסת המתלוננת איננה אפשרית. המתלוננת העידה כי הסידור הפנימי של החנות היה שונה ביום האירוע וכי התמונות אינן מציגות נאמנה את מצב החנות ביום האירוע. מצאתי להאמין למתלוננת גם בעניין זה ולדחות את גרסת הנאשם ותמונותיו.</w:t>
      </w:r>
    </w:p>
    <w:p w14:paraId="1D4CD963" w14:textId="77777777" w:rsidR="00E81443" w:rsidRDefault="00E81443">
      <w:pPr>
        <w:rPr>
          <w:rFonts w:hint="cs"/>
          <w:rtl/>
        </w:rPr>
      </w:pPr>
    </w:p>
    <w:p w14:paraId="283C7333" w14:textId="77777777" w:rsidR="00E81443" w:rsidRDefault="00E81443">
      <w:pPr>
        <w:rPr>
          <w:rFonts w:hint="cs"/>
          <w:rtl/>
        </w:rPr>
      </w:pPr>
    </w:p>
    <w:p w14:paraId="321C22E7" w14:textId="77777777" w:rsidR="00E81443" w:rsidRDefault="00E81443">
      <w:pPr>
        <w:rPr>
          <w:rFonts w:hint="cs"/>
          <w:b/>
          <w:bCs/>
          <w:u w:val="single"/>
          <w:rtl/>
        </w:rPr>
      </w:pPr>
      <w:r>
        <w:rPr>
          <w:rFonts w:hint="cs"/>
          <w:b/>
          <w:bCs/>
          <w:u w:val="single"/>
          <w:rtl/>
        </w:rPr>
        <w:t>הפן המשפטי:</w:t>
      </w:r>
    </w:p>
    <w:p w14:paraId="7C73B44F" w14:textId="77777777" w:rsidR="00E81443" w:rsidRDefault="00E81443">
      <w:pPr>
        <w:rPr>
          <w:rFonts w:hint="cs"/>
          <w:b/>
          <w:bCs/>
          <w:u w:val="single"/>
          <w:rtl/>
        </w:rPr>
      </w:pPr>
      <w:r>
        <w:rPr>
          <w:rFonts w:hint="cs"/>
          <w:b/>
          <w:bCs/>
          <w:u w:val="single"/>
          <w:rtl/>
        </w:rPr>
        <w:t xml:space="preserve">היסוד הפיסי במעשה מגונה עפ"י </w:t>
      </w:r>
      <w:hyperlink r:id="rId11" w:history="1">
        <w:r w:rsidR="00D224EA" w:rsidRPr="00D224EA">
          <w:rPr>
            <w:rStyle w:val="Hyperlink"/>
            <w:rFonts w:hint="eastAsia"/>
            <w:rtl/>
          </w:rPr>
          <w:t>ס</w:t>
        </w:r>
        <w:r w:rsidR="00D224EA" w:rsidRPr="00D224EA">
          <w:rPr>
            <w:rStyle w:val="Hyperlink"/>
            <w:rtl/>
          </w:rPr>
          <w:t>' 348(ג)</w:t>
        </w:r>
      </w:hyperlink>
      <w:r>
        <w:rPr>
          <w:rFonts w:hint="cs"/>
          <w:b/>
          <w:bCs/>
          <w:u w:val="single"/>
          <w:rtl/>
        </w:rPr>
        <w:t>:</w:t>
      </w:r>
    </w:p>
    <w:p w14:paraId="7DD923F8" w14:textId="77777777" w:rsidR="00E81443" w:rsidRDefault="00E81443">
      <w:pPr>
        <w:ind w:left="720" w:right="851"/>
        <w:rPr>
          <w:rFonts w:hint="cs"/>
          <w:b/>
          <w:bCs/>
          <w:rtl/>
        </w:rPr>
      </w:pPr>
      <w:r>
        <w:rPr>
          <w:rFonts w:hint="cs"/>
          <w:b/>
          <w:bCs/>
          <w:rtl/>
        </w:rPr>
        <w:t>"העברה ... מדברת, אפוא, בעשיית "מעשה מגונה" באדם ... כאשר המעשה נעשה "בלא הסכמתו" של הקורבן ... נראה כי על אף שאין הכתוב מדבר כאן בהסכמה "חופשית" – כאמור בסעיף 345(א)(1) לחנ"ש- תינתן למושג "הסכמה" המשמעות שניתנה לו לעניין עברת האינוס שבסעיף 345(א)(1) הנ"ל, לאמור:"הסכמה" ממשית פוזיטיבית להבדיל מ"העדר התנגדות", כאשר די ב"פזיזות" בהקשר זה על כל המתחייב מכך לאמור: כאשר הנאשם הוא הנוטל את הסיכון שמא נעדרת הסכמה".</w:t>
      </w:r>
    </w:p>
    <w:p w14:paraId="0E45E93E" w14:textId="77777777" w:rsidR="00E81443" w:rsidRDefault="00E81443">
      <w:pPr>
        <w:ind w:left="720"/>
        <w:rPr>
          <w:rFonts w:hint="cs"/>
          <w:rtl/>
        </w:rPr>
      </w:pPr>
      <w:r>
        <w:rPr>
          <w:rFonts w:hint="cs"/>
          <w:rtl/>
        </w:rPr>
        <w:t xml:space="preserve">(ספרו של כב' השופט קדמי, על הדין בפלילים, חלק שני, הדין בראי הפסיקה, </w:t>
      </w:r>
    </w:p>
    <w:p w14:paraId="2B11A4A6" w14:textId="77777777" w:rsidR="00E81443" w:rsidRDefault="00E81443">
      <w:pPr>
        <w:ind w:left="720"/>
        <w:rPr>
          <w:rFonts w:hint="cs"/>
          <w:rtl/>
        </w:rPr>
      </w:pPr>
      <w:r>
        <w:rPr>
          <w:rFonts w:hint="cs"/>
          <w:rtl/>
        </w:rPr>
        <w:t>מהדורה מעודכנת, תשנ"ה-1995, עמ' 784-785).</w:t>
      </w:r>
    </w:p>
    <w:p w14:paraId="5EE645D3" w14:textId="77777777" w:rsidR="00E81443" w:rsidRDefault="00E81443">
      <w:pPr>
        <w:rPr>
          <w:rFonts w:hint="cs"/>
          <w:rtl/>
        </w:rPr>
      </w:pPr>
    </w:p>
    <w:p w14:paraId="4311A178" w14:textId="77777777" w:rsidR="00E81443" w:rsidRDefault="00E81443">
      <w:pPr>
        <w:rPr>
          <w:rFonts w:hint="cs"/>
          <w:b/>
          <w:bCs/>
          <w:u w:val="single"/>
          <w:rtl/>
        </w:rPr>
      </w:pPr>
      <w:r>
        <w:rPr>
          <w:rFonts w:hint="cs"/>
          <w:b/>
          <w:bCs/>
          <w:u w:val="single"/>
          <w:rtl/>
        </w:rPr>
        <w:t>היסוד הנפשי:</w:t>
      </w:r>
    </w:p>
    <w:p w14:paraId="166C4F10" w14:textId="77777777" w:rsidR="00E81443" w:rsidRDefault="00E81443">
      <w:pPr>
        <w:ind w:left="720" w:right="993"/>
        <w:rPr>
          <w:rFonts w:hint="cs"/>
          <w:b/>
          <w:bCs/>
          <w:rtl/>
        </w:rPr>
      </w:pPr>
      <w:r>
        <w:rPr>
          <w:rFonts w:hint="cs"/>
          <w:b/>
          <w:bCs/>
          <w:rtl/>
        </w:rPr>
        <w:t xml:space="preserve">"לשון הגדרתה של העבירה אינה מציגה דרישה להלך נפש מסוים, ויש לראות את העבירה, בעיקרון, כעברה של כוונה "סתם", אשר בעיקרון די לעניין ההרשעה לפיה בקיומה של פזיזות כלפי רכיבי היסוד הפיסי. עם זאת, כאמור לעיל, הגישה הרווחת היא, כי הנקיטה במושג "לשם" בהגדרתו של "מעשה מגונה" בס"ק(ו), מתחייבת דרישה לקיומו של "כוונה מיוחדת", ומכוחה – יש מקום להרשעה אך ורק אם נילוותה למעשה כוונה מיוחדת להשיג אחת משלוש התכליות המפורטות בהגדרה הנ"ל. </w:t>
      </w:r>
    </w:p>
    <w:p w14:paraId="5421E3D1" w14:textId="77777777" w:rsidR="00E81443" w:rsidRDefault="00E81443">
      <w:pPr>
        <w:ind w:left="720" w:right="993"/>
        <w:rPr>
          <w:rFonts w:hint="cs"/>
          <w:b/>
          <w:bCs/>
          <w:rtl/>
        </w:rPr>
      </w:pPr>
      <w:r>
        <w:rPr>
          <w:rFonts w:hint="cs"/>
          <w:b/>
          <w:bCs/>
          <w:rtl/>
        </w:rPr>
        <w:t>לעניין המודעות ל"הסכמת" הקורבן, די, אפוא, ב"פזיזות" ואין צורך בהוכחת "ידיעה" ממשית, וכתוצאה מכך – נאשם לא יהנה מההגנה של טעות בעובדה בהקשר זה אלא אם עמדה טעותו במבחן הכפול של כנות וסבירות הקבוע בסעיף 17 לחנ"ש".</w:t>
      </w:r>
    </w:p>
    <w:p w14:paraId="332D9BF3" w14:textId="77777777" w:rsidR="00E81443" w:rsidRDefault="00E81443">
      <w:pPr>
        <w:ind w:firstLine="720"/>
        <w:rPr>
          <w:rFonts w:hint="cs"/>
          <w:rtl/>
        </w:rPr>
      </w:pPr>
      <w:r>
        <w:rPr>
          <w:rFonts w:hint="cs"/>
          <w:rtl/>
        </w:rPr>
        <w:t xml:space="preserve">(ספרו של כב' השופט קדמי, על הדין בפלילים, חלק שני, הדין בראי הפסיקה, </w:t>
      </w:r>
    </w:p>
    <w:p w14:paraId="77C476A4" w14:textId="77777777" w:rsidR="00E81443" w:rsidRDefault="00E81443">
      <w:pPr>
        <w:ind w:firstLine="720"/>
        <w:rPr>
          <w:rFonts w:hint="cs"/>
          <w:rtl/>
        </w:rPr>
      </w:pPr>
      <w:r>
        <w:rPr>
          <w:rFonts w:hint="cs"/>
          <w:rtl/>
        </w:rPr>
        <w:t>מהדורה מעודכנת, תשנ"ה-1995, עמ' 785).</w:t>
      </w:r>
    </w:p>
    <w:p w14:paraId="470868B7" w14:textId="77777777" w:rsidR="00E81443" w:rsidRDefault="00E81443">
      <w:pPr>
        <w:rPr>
          <w:rFonts w:hint="cs"/>
          <w:b/>
          <w:bCs/>
          <w:u w:val="single"/>
          <w:rtl/>
        </w:rPr>
      </w:pPr>
    </w:p>
    <w:p w14:paraId="28A60721" w14:textId="77777777" w:rsidR="00E81443" w:rsidRDefault="00E81443">
      <w:pPr>
        <w:rPr>
          <w:rFonts w:hint="cs"/>
          <w:b/>
          <w:bCs/>
          <w:u w:val="single"/>
          <w:rtl/>
        </w:rPr>
      </w:pPr>
      <w:r>
        <w:rPr>
          <w:rFonts w:hint="cs"/>
          <w:b/>
          <w:bCs/>
          <w:u w:val="single"/>
          <w:rtl/>
        </w:rPr>
        <w:t>מהכלל אל הפרט:</w:t>
      </w:r>
    </w:p>
    <w:p w14:paraId="046C3DE1" w14:textId="77777777" w:rsidR="00E81443" w:rsidRDefault="00E81443">
      <w:pPr>
        <w:rPr>
          <w:rFonts w:hint="cs"/>
          <w:rtl/>
        </w:rPr>
      </w:pPr>
      <w:r>
        <w:rPr>
          <w:rFonts w:hint="cs"/>
          <w:rtl/>
        </w:rPr>
        <w:t xml:space="preserve">כאמור לעיל, העדפתי את גרסת המתלוננת על פני גרסת הנאשם. על פי גרסת המתלוננת, הנאשם אחז בידה, והחל נוגע בחלקי גופה השונים, בניגוד לרצונה. הנאשם גם אמר למתלוננת כי הוא מבקש לבצע בה מעשה בעל גוון מיני, דבר המעיד על כוונתו בעשייתו את המעשים בגופה של המתלוננת.   </w:t>
      </w:r>
    </w:p>
    <w:p w14:paraId="478E9FC1" w14:textId="77777777" w:rsidR="00E81443" w:rsidRDefault="00E81443">
      <w:pPr>
        <w:rPr>
          <w:rFonts w:hint="cs"/>
          <w:rtl/>
        </w:rPr>
      </w:pPr>
    </w:p>
    <w:p w14:paraId="45937FBC" w14:textId="77777777" w:rsidR="00E81443" w:rsidRDefault="00E81443">
      <w:pPr>
        <w:rPr>
          <w:rFonts w:hint="cs"/>
          <w:rtl/>
        </w:rPr>
      </w:pPr>
      <w:r>
        <w:rPr>
          <w:rFonts w:hint="cs"/>
          <w:rtl/>
        </w:rPr>
        <w:t>בחינה של עדותה של המתלוננת, מלמדת כי מתקיימים יסודות העבירה שכן הנאשם נגע במתלוננת שלא בהסכמתה, אף שהיא בקשה להודפו, אך לא הצליחה בכך. מעשיו של הנאשם נעשו מתוך כוונה מפורשת כפי שעולה מדבריו, לפיה ביקש להגיע לידי סיפוק מיני.</w:t>
      </w:r>
    </w:p>
    <w:p w14:paraId="46983A38" w14:textId="77777777" w:rsidR="00E81443" w:rsidRDefault="00E81443">
      <w:pPr>
        <w:rPr>
          <w:rFonts w:hint="cs"/>
          <w:rtl/>
        </w:rPr>
      </w:pPr>
    </w:p>
    <w:p w14:paraId="58FE57E6" w14:textId="77777777" w:rsidR="00E81443" w:rsidRDefault="00E81443">
      <w:pPr>
        <w:rPr>
          <w:rFonts w:hint="cs"/>
          <w:rtl/>
        </w:rPr>
      </w:pPr>
      <w:r>
        <w:rPr>
          <w:rFonts w:hint="cs"/>
          <w:rtl/>
        </w:rPr>
        <w:t xml:space="preserve">התביעה לא הוכיחה את גילה של המתלוננת, ובכך מצאתי  שיש להרשיע את הנאשם אך במעשה מגונה באדם בלא הסכמתו. </w:t>
      </w:r>
    </w:p>
    <w:p w14:paraId="307EFF6D" w14:textId="77777777" w:rsidR="00E81443" w:rsidRDefault="00E81443">
      <w:pPr>
        <w:rPr>
          <w:rFonts w:hint="cs"/>
          <w:rtl/>
        </w:rPr>
      </w:pPr>
    </w:p>
    <w:p w14:paraId="1319CF84" w14:textId="77777777" w:rsidR="00E81443" w:rsidRDefault="00E81443">
      <w:pPr>
        <w:rPr>
          <w:rFonts w:hint="cs"/>
          <w:b/>
          <w:bCs/>
          <w:u w:val="single"/>
          <w:rtl/>
        </w:rPr>
      </w:pPr>
      <w:r>
        <w:rPr>
          <w:rFonts w:hint="cs"/>
          <w:b/>
          <w:bCs/>
          <w:u w:val="single"/>
          <w:rtl/>
        </w:rPr>
        <w:t>סוף דבר:</w:t>
      </w:r>
    </w:p>
    <w:p w14:paraId="603AC967" w14:textId="77777777" w:rsidR="00E81443" w:rsidRDefault="00E81443">
      <w:pPr>
        <w:rPr>
          <w:rFonts w:hint="cs"/>
          <w:rtl/>
        </w:rPr>
      </w:pPr>
      <w:r>
        <w:rPr>
          <w:rFonts w:hint="cs"/>
          <w:rtl/>
        </w:rPr>
        <w:t xml:space="preserve">אני מרשיע את הנאשם בעבירת מעשה מגונה לפי </w:t>
      </w:r>
      <w:hyperlink r:id="rId12" w:history="1">
        <w:r w:rsidR="00D224EA" w:rsidRPr="00D224EA">
          <w:rPr>
            <w:rStyle w:val="Hyperlink"/>
            <w:rFonts w:hint="eastAsia"/>
            <w:rtl/>
          </w:rPr>
          <w:t>סעיף</w:t>
        </w:r>
        <w:r w:rsidR="00D224EA" w:rsidRPr="00D224EA">
          <w:rPr>
            <w:rStyle w:val="Hyperlink"/>
            <w:rtl/>
          </w:rPr>
          <w:t xml:space="preserve"> 348(ג)</w:t>
        </w:r>
      </w:hyperlink>
      <w:r>
        <w:rPr>
          <w:rFonts w:hint="cs"/>
          <w:rtl/>
        </w:rPr>
        <w:t xml:space="preserve"> ל</w:t>
      </w:r>
      <w:hyperlink r:id="rId13" w:history="1">
        <w:r w:rsidR="00141BAE" w:rsidRPr="00141BAE">
          <w:rPr>
            <w:rStyle w:val="Hyperlink"/>
            <w:rFonts w:hint="eastAsia"/>
            <w:rtl/>
          </w:rPr>
          <w:t>חוק</w:t>
        </w:r>
        <w:r w:rsidR="00141BAE" w:rsidRPr="00141BAE">
          <w:rPr>
            <w:rStyle w:val="Hyperlink"/>
            <w:rtl/>
          </w:rPr>
          <w:t xml:space="preserve"> העונשין</w:t>
        </w:r>
      </w:hyperlink>
      <w:r>
        <w:rPr>
          <w:rFonts w:hint="cs"/>
          <w:rtl/>
        </w:rPr>
        <w:t>, התשל"ז-1977.</w:t>
      </w:r>
    </w:p>
    <w:p w14:paraId="4A4D5513" w14:textId="77777777" w:rsidR="00E81443" w:rsidRDefault="00E81443">
      <w:pPr>
        <w:rPr>
          <w:rFonts w:hint="cs"/>
          <w:rtl/>
        </w:rPr>
      </w:pPr>
    </w:p>
    <w:p w14:paraId="13C59FE2" w14:textId="77777777" w:rsidR="00E81443" w:rsidRDefault="00E81443">
      <w:pPr>
        <w:rPr>
          <w:rFonts w:hint="cs"/>
          <w:b/>
          <w:bCs/>
          <w:color w:val="000000"/>
          <w:rtl/>
        </w:rPr>
      </w:pPr>
      <w:bookmarkStart w:id="9" w:name="Decision1"/>
      <w:r>
        <w:rPr>
          <w:rFonts w:hint="cs"/>
          <w:b/>
          <w:bCs/>
          <w:color w:val="000000"/>
          <w:rtl/>
        </w:rPr>
        <w:t>ניתן היום י' בכסלו, תשס"ו (11 בדצמבר 2005) במעמד התובע רנ"ג מאי</w:t>
      </w:r>
      <w:r>
        <w:rPr>
          <w:b/>
          <w:bCs/>
          <w:color w:val="000000"/>
          <w:rtl/>
        </w:rPr>
        <w:t xml:space="preserve"> </w:t>
      </w:r>
      <w:r>
        <w:rPr>
          <w:rFonts w:hint="cs"/>
          <w:b/>
          <w:bCs/>
          <w:color w:val="000000"/>
          <w:rtl/>
        </w:rPr>
        <w:t>ר אפרגן, הנאשם וסניגורו עו"ד אדריס.</w:t>
      </w:r>
    </w:p>
    <w:p w14:paraId="1F935CBF" w14:textId="77777777" w:rsidR="00E81443" w:rsidRDefault="00E81443">
      <w:pPr>
        <w:rPr>
          <w:rFonts w:hint="cs"/>
          <w:b/>
          <w:bCs/>
          <w:color w:val="FFFFFF"/>
          <w:sz w:val="2"/>
          <w:szCs w:val="2"/>
          <w:rtl/>
        </w:rPr>
      </w:pPr>
    </w:p>
    <w:p w14:paraId="7359D557" w14:textId="77777777" w:rsidR="00E81443" w:rsidRDefault="00E81443">
      <w:pPr>
        <w:rPr>
          <w:b/>
          <w:bCs/>
          <w:color w:val="FFFFFF"/>
          <w:sz w:val="2"/>
          <w:szCs w:val="2"/>
          <w:rtl/>
        </w:rPr>
      </w:pPr>
      <w:r>
        <w:rPr>
          <w:b/>
          <w:bCs/>
          <w:color w:val="FFFFFF"/>
          <w:sz w:val="2"/>
          <w:szCs w:val="2"/>
          <w:rtl/>
        </w:rPr>
        <w:t>5129371</w:t>
      </w:r>
    </w:p>
    <w:p w14:paraId="585A4F28" w14:textId="77777777" w:rsidR="00E81443" w:rsidRDefault="00E81443">
      <w:pPr>
        <w:rPr>
          <w:rFonts w:hint="cs"/>
          <w:b/>
          <w:bCs/>
          <w:color w:val="000000"/>
          <w:rtl/>
        </w:rPr>
      </w:pPr>
      <w:r>
        <w:rPr>
          <w:b/>
          <w:bCs/>
          <w:color w:val="FFFFFF"/>
          <w:sz w:val="2"/>
          <w:szCs w:val="2"/>
          <w:rtl/>
        </w:rPr>
        <w:t>54678313</w:t>
      </w:r>
    </w:p>
    <w:p w14:paraId="1B9BA8BF" w14:textId="77777777" w:rsidR="00E81443" w:rsidRDefault="00E81443">
      <w:pPr>
        <w:keepNext/>
        <w:jc w:val="left"/>
        <w:rPr>
          <w:rFonts w:hAnsi="David" w:hint="cs"/>
          <w:color w:val="000000"/>
          <w:sz w:val="22"/>
          <w:szCs w:val="22"/>
          <w:rtl/>
        </w:rPr>
      </w:pPr>
    </w:p>
    <w:p w14:paraId="3DA55A7D" w14:textId="77777777" w:rsidR="00E81443" w:rsidRDefault="00E81443">
      <w:pPr>
        <w:keepNext/>
        <w:jc w:val="left"/>
        <w:rPr>
          <w:rFonts w:hAnsi="David"/>
          <w:color w:val="000000"/>
          <w:sz w:val="22"/>
          <w:szCs w:val="22"/>
          <w:rtl/>
        </w:rPr>
      </w:pPr>
      <w:r>
        <w:rPr>
          <w:rFonts w:hAnsi="David"/>
          <w:color w:val="000000"/>
          <w:sz w:val="22"/>
          <w:szCs w:val="22"/>
          <w:rtl/>
        </w:rPr>
        <w:t>דורון פורת 54678313-1993/04</w:t>
      </w:r>
    </w:p>
    <w:p w14:paraId="0B8D429B" w14:textId="77777777" w:rsidR="00E81443" w:rsidRDefault="00E81443">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51"/>
      </w:tblGrid>
      <w:tr w:rsidR="00E81443" w14:paraId="690E18E7" w14:textId="77777777">
        <w:tc>
          <w:tcPr>
            <w:tcW w:w="1951" w:type="dxa"/>
            <w:tcBorders>
              <w:top w:val="single" w:sz="4" w:space="0" w:color="auto"/>
              <w:left w:val="nil"/>
              <w:bottom w:val="nil"/>
              <w:right w:val="nil"/>
            </w:tcBorders>
          </w:tcPr>
          <w:p w14:paraId="4540FBF1" w14:textId="77777777" w:rsidR="00E81443" w:rsidRDefault="00E81443">
            <w:pPr>
              <w:rPr>
                <w:b/>
                <w:bCs/>
              </w:rPr>
            </w:pPr>
            <w:r>
              <w:rPr>
                <w:rFonts w:hint="cs"/>
                <w:b/>
                <w:bCs/>
                <w:rtl/>
              </w:rPr>
              <w:t>דורון פורת, שופט</w:t>
            </w:r>
          </w:p>
        </w:tc>
      </w:tr>
    </w:tbl>
    <w:p w14:paraId="5CDE3347" w14:textId="77777777" w:rsidR="00E81443" w:rsidRDefault="00E81443">
      <w:pPr>
        <w:jc w:val="right"/>
        <w:rPr>
          <w:rFonts w:hint="cs"/>
          <w:b/>
          <w:bCs/>
          <w:color w:val="FF0000"/>
          <w:rtl/>
        </w:rPr>
      </w:pPr>
    </w:p>
    <w:p w14:paraId="53621112" w14:textId="77777777" w:rsidR="00E81443" w:rsidRDefault="00E81443">
      <w:pPr>
        <w:rPr>
          <w:rtl/>
        </w:rPr>
      </w:pPr>
    </w:p>
    <w:bookmarkEnd w:id="9"/>
    <w:p w14:paraId="7435B70D" w14:textId="77777777" w:rsidR="00E81443" w:rsidRDefault="00E81443">
      <w:pPr>
        <w:rPr>
          <w:rtl/>
        </w:rPr>
      </w:pPr>
      <w:r>
        <w:rPr>
          <w:rFonts w:hint="cs"/>
          <w:rtl/>
        </w:rPr>
        <w:t>מסמך זה כפוף לשינוי עריכה וניסוח.</w:t>
      </w:r>
    </w:p>
    <w:p w14:paraId="4BBC73EB" w14:textId="77777777" w:rsidR="00E81443" w:rsidRDefault="00E81443">
      <w:pPr>
        <w:jc w:val="left"/>
        <w:rPr>
          <w:rFonts w:hint="cs"/>
          <w:color w:val="000000"/>
          <w:rtl/>
        </w:rPr>
      </w:pPr>
      <w:r>
        <w:rPr>
          <w:rFonts w:hint="cs"/>
          <w:rtl/>
        </w:rPr>
        <w:t>001993/04פ  111 אורית מור</w:t>
      </w:r>
    </w:p>
    <w:p w14:paraId="17B7E480" w14:textId="77777777" w:rsidR="00E81443" w:rsidRDefault="00E81443">
      <w:pPr>
        <w:jc w:val="left"/>
        <w:rPr>
          <w:rtl/>
        </w:rPr>
      </w:pPr>
      <w:r>
        <w:rPr>
          <w:color w:val="000000"/>
          <w:rtl/>
        </w:rPr>
        <w:t>נוסח מסמך זה כפוף לשינויי ניסוח ועריכה</w:t>
      </w:r>
    </w:p>
    <w:sectPr w:rsidR="00E81443">
      <w:headerReference w:type="even" r:id="rId14"/>
      <w:headerReference w:type="default" r:id="rId15"/>
      <w:footerReference w:type="even" r:id="rId16"/>
      <w:footerReference w:type="default" r:id="rId17"/>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A3A7" w14:textId="77777777" w:rsidR="0029223A" w:rsidRDefault="0029223A">
      <w:r>
        <w:separator/>
      </w:r>
    </w:p>
  </w:endnote>
  <w:endnote w:type="continuationSeparator" w:id="0">
    <w:p w14:paraId="5EC85B39" w14:textId="77777777" w:rsidR="0029223A" w:rsidRDefault="0029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6B9D" w14:textId="77777777" w:rsidR="00315C03" w:rsidRDefault="00315C0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1100153E" w14:textId="77777777" w:rsidR="00315C03" w:rsidRDefault="00315C0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3BAFA2" w14:textId="77777777" w:rsidR="00315C03" w:rsidRDefault="00315C0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1BAE">
      <w:rPr>
        <w:rFonts w:cs="TopType Jerushalmi"/>
        <w:noProof/>
        <w:color w:val="000000"/>
        <w:sz w:val="14"/>
        <w:szCs w:val="14"/>
      </w:rPr>
      <w:t>Z:\00000000000000000000000000000000000-2016---------------\HAKIKA-KIDUD-2016\2005\shalom\word\outdoc-nohyper\03\OutDoc-Makor\s04001993-315.doc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7379A" w14:textId="77777777" w:rsidR="00315C03" w:rsidRDefault="00315C0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22396">
      <w:rPr>
        <w:rFonts w:hAnsi="FrankRuehl" w:cs="FrankRuehl"/>
        <w:noProof/>
        <w:sz w:val="24"/>
        <w:rtl/>
      </w:rPr>
      <w:t>1</w:t>
    </w:r>
    <w:r>
      <w:rPr>
        <w:rFonts w:hAnsi="FrankRuehl" w:cs="FrankRuehl"/>
        <w:sz w:val="24"/>
        <w:rtl/>
      </w:rPr>
      <w:fldChar w:fldCharType="end"/>
    </w:r>
  </w:p>
  <w:p w14:paraId="4BBCE39D" w14:textId="77777777" w:rsidR="00315C03" w:rsidRDefault="00315C0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74E19E" w14:textId="77777777" w:rsidR="00315C03" w:rsidRDefault="00315C0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1BAE">
      <w:rPr>
        <w:rFonts w:cs="TopType Jerushalmi"/>
        <w:noProof/>
        <w:color w:val="000000"/>
        <w:sz w:val="14"/>
        <w:szCs w:val="14"/>
      </w:rPr>
      <w:t>Z:\00000000000000000000000000000000000-2016---------------\HAKIKA-KIDUD-2016\2005\shalom\word\outdoc-nohyper\03\OutDoc-Makor\s04001993-315.doc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CC15" w14:textId="77777777" w:rsidR="0029223A" w:rsidRDefault="0029223A">
      <w:r>
        <w:separator/>
      </w:r>
    </w:p>
  </w:footnote>
  <w:footnote w:type="continuationSeparator" w:id="0">
    <w:p w14:paraId="471405E9" w14:textId="77777777" w:rsidR="0029223A" w:rsidRDefault="00292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F502" w14:textId="77777777" w:rsidR="00315C03" w:rsidRDefault="00315C0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(טב') 1993/04</w:t>
    </w:r>
    <w:r>
      <w:rPr>
        <w:rFonts w:hAnsi="David"/>
        <w:color w:val="000000"/>
        <w:sz w:val="22"/>
        <w:szCs w:val="22"/>
        <w:rtl/>
      </w:rPr>
      <w:tab/>
      <w:t xml:space="preserve"> מדינת ישראל נ' בוטבול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CD2F" w14:textId="77777777" w:rsidR="00315C03" w:rsidRDefault="00315C0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(טב') 1993/04</w:t>
    </w:r>
    <w:r>
      <w:rPr>
        <w:rFonts w:hAnsi="David"/>
        <w:color w:val="000000"/>
        <w:sz w:val="22"/>
        <w:szCs w:val="22"/>
        <w:rtl/>
      </w:rPr>
      <w:tab/>
      <w:t xml:space="preserve"> מדינת ישראל נ' בוטבול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81443"/>
    <w:rsid w:val="00141BAE"/>
    <w:rsid w:val="0029223A"/>
    <w:rsid w:val="00315C03"/>
    <w:rsid w:val="00605C63"/>
    <w:rsid w:val="00922396"/>
    <w:rsid w:val="00B811AE"/>
    <w:rsid w:val="00D224EA"/>
    <w:rsid w:val="00D84977"/>
    <w:rsid w:val="00E814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410A8A"/>
  <w15:chartTrackingRefBased/>
  <w15:docId w15:val="{03E502C9-8194-448B-9A31-2EB55FF6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jc w:val="center"/>
      <w:outlineLvl w:val="4"/>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141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348.c"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1675</Words>
  <Characters>9552</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11205</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131166</vt:i4>
      </vt:variant>
      <vt:variant>
        <vt:i4>9</vt:i4>
      </vt:variant>
      <vt:variant>
        <vt:i4>0</vt:i4>
      </vt:variant>
      <vt:variant>
        <vt:i4>5</vt:i4>
      </vt:variant>
      <vt:variant>
        <vt:lpwstr>http://www.nevo.co.il/law/70301/348c</vt:lpwstr>
      </vt:variant>
      <vt:variant>
        <vt:lpwstr/>
      </vt:variant>
      <vt:variant>
        <vt:i4>131166</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2005-11-07T13:30:00Z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1993</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בוטבול דוד</vt:lpwstr>
  </property>
  <property fmtid="{D5CDD505-2E9C-101B-9397-08002B2CF9AE}" pid="9" name="LAWYER">
    <vt:lpwstr>אדריס </vt:lpwstr>
  </property>
  <property fmtid="{D5CDD505-2E9C-101B-9397-08002B2CF9AE}" pid="10" name="JUDGE">
    <vt:lpwstr>דורון פורת</vt:lpwstr>
  </property>
  <property fmtid="{D5CDD505-2E9C-101B-9397-08002B2CF9AE}" pid="11" name="CITY">
    <vt:lpwstr>טב'</vt:lpwstr>
  </property>
  <property fmtid="{D5CDD505-2E9C-101B-9397-08002B2CF9AE}" pid="12" name="DATE">
    <vt:lpwstr>20051211</vt:lpwstr>
  </property>
  <property fmtid="{D5CDD505-2E9C-101B-9397-08002B2CF9AE}" pid="13" name="WORDNUMPAGES">
    <vt:lpwstr>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NOTES1">
    <vt:lpwstr>ProcID=213&amp;PartA=44&amp;PartC=47</vt:lpwstr>
  </property>
  <property fmtid="{D5CDD505-2E9C-101B-9397-08002B2CF9AE}" pid="32" name="CASENOTES2">
    <vt:lpwstr>ProcID=213&amp;PartA=50&amp;PartC=51</vt:lpwstr>
  </property>
  <property fmtid="{D5CDD505-2E9C-101B-9397-08002B2CF9AE}" pid="33" name="CASENOTES3">
    <vt:lpwstr>ProcID=213&amp;PartA=54&amp;PartC=55</vt:lpwstr>
  </property>
  <property fmtid="{D5CDD505-2E9C-101B-9397-08002B2CF9AE}" pid="34" name="CASENOTES4">
    <vt:lpwstr>ProcID=213&amp;PartA=57&amp;PartC=58</vt:lpwstr>
  </property>
  <property fmtid="{D5CDD505-2E9C-101B-9397-08002B2CF9AE}" pid="35" name="CASENOTES5">
    <vt:lpwstr>ProcID=213&amp;PartA=16&amp;PartC=19</vt:lpwstr>
  </property>
  <property fmtid="{D5CDD505-2E9C-101B-9397-08002B2CF9AE}" pid="36" name="CASENOTES6">
    <vt:lpwstr>ProcID=213&amp;PartA=60&amp;PartC=63</vt:lpwstr>
  </property>
  <property fmtid="{D5CDD505-2E9C-101B-9397-08002B2CF9AE}" pid="37" name="CASENOTES7">
    <vt:lpwstr>ProcID=213&amp;PartA=24&amp;PartC=26</vt:lpwstr>
  </property>
  <property fmtid="{D5CDD505-2E9C-101B-9397-08002B2CF9AE}" pid="38" name="LAWLISTTMP1">
    <vt:lpwstr>70301/348c;348.c:2</vt:lpwstr>
  </property>
</Properties>
</file>