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378D" w14:textId="77777777" w:rsidR="005534B7" w:rsidRDefault="005534B7">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47"/>
        <w:gridCol w:w="1007"/>
        <w:gridCol w:w="1907"/>
      </w:tblGrid>
      <w:tr w:rsidR="005534B7" w14:paraId="38CD48DE" w14:textId="77777777">
        <w:trPr>
          <w:trHeight w:val="195"/>
        </w:trPr>
        <w:tc>
          <w:tcPr>
            <w:tcW w:w="8522" w:type="dxa"/>
            <w:gridSpan w:val="4"/>
            <w:tcBorders>
              <w:top w:val="single" w:sz="4" w:space="0" w:color="auto"/>
              <w:left w:val="single" w:sz="4" w:space="0" w:color="auto"/>
              <w:bottom w:val="single" w:sz="4" w:space="0" w:color="auto"/>
              <w:right w:val="single" w:sz="4" w:space="0" w:color="auto"/>
            </w:tcBorders>
          </w:tcPr>
          <w:p w14:paraId="56F60FE9" w14:textId="77777777" w:rsidR="005534B7" w:rsidRDefault="005534B7">
            <w:pPr>
              <w:jc w:val="center"/>
              <w:rPr>
                <w:b/>
                <w:bCs/>
                <w:spacing w:val="110"/>
                <w:sz w:val="26"/>
                <w:szCs w:val="40"/>
              </w:rPr>
            </w:pPr>
          </w:p>
        </w:tc>
      </w:tr>
      <w:tr w:rsidR="005534B7" w14:paraId="4DE4E010"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367143B7" w14:textId="77777777" w:rsidR="005534B7" w:rsidRDefault="005534B7">
            <w:pPr>
              <w:rPr>
                <w:b/>
                <w:bCs/>
                <w:sz w:val="26"/>
              </w:rPr>
            </w:pPr>
            <w:r>
              <w:rPr>
                <w:rFonts w:hint="cs"/>
                <w:b/>
                <w:bCs/>
                <w:sz w:val="26"/>
                <w:rtl/>
              </w:rPr>
              <w:t>בית משפט השלום ראשון לציון</w:t>
            </w:r>
          </w:p>
        </w:tc>
        <w:tc>
          <w:tcPr>
            <w:tcW w:w="2914" w:type="dxa"/>
            <w:gridSpan w:val="2"/>
            <w:tcBorders>
              <w:top w:val="single" w:sz="4" w:space="0" w:color="auto"/>
              <w:left w:val="single" w:sz="4" w:space="0" w:color="auto"/>
              <w:bottom w:val="single" w:sz="4" w:space="0" w:color="auto"/>
              <w:right w:val="single" w:sz="4" w:space="0" w:color="auto"/>
            </w:tcBorders>
          </w:tcPr>
          <w:p w14:paraId="323F9FDE" w14:textId="77777777" w:rsidR="005534B7" w:rsidRDefault="005534B7">
            <w:pPr>
              <w:rPr>
                <w:b/>
                <w:bCs/>
                <w:sz w:val="26"/>
              </w:rPr>
            </w:pPr>
            <w:r>
              <w:rPr>
                <w:rFonts w:hint="cs"/>
                <w:b/>
                <w:bCs/>
                <w:sz w:val="26"/>
                <w:rtl/>
              </w:rPr>
              <w:t>פ  002129/04</w:t>
            </w:r>
          </w:p>
        </w:tc>
      </w:tr>
      <w:tr w:rsidR="005534B7" w14:paraId="232C573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074AC8A" w14:textId="77777777" w:rsidR="005534B7" w:rsidRDefault="005534B7">
            <w:pPr>
              <w:bidi w:val="0"/>
              <w:spacing w:line="240" w:lineRule="auto"/>
              <w:jc w:val="left"/>
              <w:rPr>
                <w:b/>
                <w:bCs/>
                <w:sz w:val="26"/>
              </w:rPr>
            </w:pPr>
          </w:p>
        </w:tc>
        <w:tc>
          <w:tcPr>
            <w:tcW w:w="2914" w:type="dxa"/>
            <w:gridSpan w:val="2"/>
            <w:tcBorders>
              <w:top w:val="single" w:sz="4" w:space="0" w:color="auto"/>
              <w:left w:val="single" w:sz="4" w:space="0" w:color="auto"/>
              <w:bottom w:val="single" w:sz="4" w:space="0" w:color="auto"/>
              <w:right w:val="single" w:sz="4" w:space="0" w:color="auto"/>
            </w:tcBorders>
          </w:tcPr>
          <w:p w14:paraId="770C0518" w14:textId="77777777" w:rsidR="005534B7" w:rsidRDefault="005534B7">
            <w:pPr>
              <w:rPr>
                <w:b/>
                <w:bCs/>
                <w:sz w:val="26"/>
              </w:rPr>
            </w:pPr>
          </w:p>
        </w:tc>
      </w:tr>
      <w:tr w:rsidR="005534B7" w14:paraId="486ED53F" w14:textId="77777777">
        <w:trPr>
          <w:trHeight w:val="286"/>
        </w:trPr>
        <w:tc>
          <w:tcPr>
            <w:tcW w:w="861" w:type="dxa"/>
            <w:tcBorders>
              <w:top w:val="single" w:sz="4" w:space="0" w:color="auto"/>
              <w:left w:val="single" w:sz="4" w:space="0" w:color="auto"/>
              <w:bottom w:val="single" w:sz="4" w:space="0" w:color="auto"/>
              <w:right w:val="single" w:sz="4" w:space="0" w:color="auto"/>
            </w:tcBorders>
          </w:tcPr>
          <w:p w14:paraId="7719B4CF" w14:textId="77777777" w:rsidR="005534B7" w:rsidRDefault="005534B7">
            <w:pPr>
              <w:rPr>
                <w:b/>
                <w:bCs/>
                <w:sz w:val="26"/>
              </w:rPr>
            </w:pPr>
            <w:r>
              <w:rPr>
                <w:rFonts w:hint="cs"/>
                <w:b/>
                <w:bCs/>
                <w:sz w:val="26"/>
                <w:rtl/>
              </w:rPr>
              <w:t>בפני:</w:t>
            </w:r>
          </w:p>
        </w:tc>
        <w:tc>
          <w:tcPr>
            <w:tcW w:w="4747" w:type="dxa"/>
            <w:tcBorders>
              <w:top w:val="single" w:sz="4" w:space="0" w:color="auto"/>
              <w:left w:val="single" w:sz="4" w:space="0" w:color="auto"/>
              <w:bottom w:val="single" w:sz="4" w:space="0" w:color="auto"/>
              <w:right w:val="single" w:sz="4" w:space="0" w:color="auto"/>
            </w:tcBorders>
          </w:tcPr>
          <w:p w14:paraId="303A6A60" w14:textId="77777777" w:rsidR="005534B7" w:rsidRDefault="005534B7">
            <w:pPr>
              <w:rPr>
                <w:b/>
                <w:bCs/>
                <w:sz w:val="26"/>
              </w:rPr>
            </w:pPr>
            <w:r>
              <w:rPr>
                <w:rFonts w:hint="cs"/>
                <w:b/>
                <w:bCs/>
                <w:sz w:val="26"/>
                <w:rtl/>
              </w:rPr>
              <w:t>כבוד השופטת שירה בן שלמה</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C0FC468" w14:textId="77777777" w:rsidR="005534B7" w:rsidRDefault="005534B7">
            <w:pPr>
              <w:rPr>
                <w:b/>
                <w:bCs/>
                <w:sz w:val="26"/>
              </w:rPr>
            </w:pPr>
            <w:r>
              <w:rPr>
                <w:rFonts w:hint="cs"/>
                <w:b/>
                <w:bCs/>
                <w:sz w:val="26"/>
                <w:rtl/>
              </w:rPr>
              <w:t>תאריך:</w:t>
            </w:r>
          </w:p>
        </w:tc>
        <w:tc>
          <w:tcPr>
            <w:tcW w:w="1907" w:type="dxa"/>
            <w:tcBorders>
              <w:top w:val="single" w:sz="4" w:space="0" w:color="auto"/>
              <w:left w:val="single" w:sz="4" w:space="0" w:color="auto"/>
              <w:bottom w:val="single" w:sz="4" w:space="0" w:color="auto"/>
              <w:right w:val="single" w:sz="4" w:space="0" w:color="auto"/>
            </w:tcBorders>
          </w:tcPr>
          <w:p w14:paraId="13EEBA54" w14:textId="77777777" w:rsidR="005534B7" w:rsidRDefault="005534B7">
            <w:pPr>
              <w:rPr>
                <w:b/>
                <w:bCs/>
                <w:sz w:val="26"/>
              </w:rPr>
            </w:pPr>
            <w:r>
              <w:rPr>
                <w:rFonts w:hint="cs"/>
                <w:b/>
                <w:bCs/>
                <w:sz w:val="26"/>
                <w:rtl/>
              </w:rPr>
              <w:t>23/09/2004</w:t>
            </w:r>
          </w:p>
        </w:tc>
      </w:tr>
    </w:tbl>
    <w:p w14:paraId="5EF7BC95" w14:textId="77777777" w:rsidR="005534B7" w:rsidRDefault="005534B7">
      <w:pPr>
        <w:rPr>
          <w:sz w:val="26"/>
          <w:rtl/>
        </w:rPr>
      </w:pPr>
    </w:p>
    <w:p w14:paraId="610A9324" w14:textId="77777777" w:rsidR="00F21118" w:rsidRDefault="00F21118">
      <w:pPr>
        <w:rPr>
          <w:rFonts w:hint="cs"/>
          <w:sz w:val="26"/>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5534B7" w14:paraId="3F123605" w14:textId="77777777">
        <w:tc>
          <w:tcPr>
            <w:tcW w:w="1362" w:type="dxa"/>
          </w:tcPr>
          <w:p w14:paraId="6DBBC54F" w14:textId="77777777" w:rsidR="005534B7" w:rsidRDefault="005534B7">
            <w:bookmarkStart w:id="1" w:name="FirstAppellant"/>
            <w:r>
              <w:rPr>
                <w:rFonts w:hint="cs"/>
                <w:rtl/>
              </w:rPr>
              <w:t>בעניין:</w:t>
            </w:r>
          </w:p>
        </w:tc>
        <w:tc>
          <w:tcPr>
            <w:tcW w:w="4820" w:type="dxa"/>
            <w:gridSpan w:val="2"/>
          </w:tcPr>
          <w:p w14:paraId="578D63DB" w14:textId="77777777" w:rsidR="005534B7" w:rsidRDefault="005534B7">
            <w:r>
              <w:rPr>
                <w:rFonts w:hint="cs"/>
                <w:rtl/>
              </w:rPr>
              <w:t>מדינת ישראל</w:t>
            </w:r>
          </w:p>
        </w:tc>
        <w:tc>
          <w:tcPr>
            <w:tcW w:w="2409" w:type="dxa"/>
          </w:tcPr>
          <w:p w14:paraId="663CA1A5" w14:textId="77777777" w:rsidR="005534B7" w:rsidRDefault="005534B7"/>
        </w:tc>
      </w:tr>
      <w:tr w:rsidR="005534B7" w14:paraId="43E042A9" w14:textId="77777777">
        <w:tc>
          <w:tcPr>
            <w:tcW w:w="1362" w:type="dxa"/>
          </w:tcPr>
          <w:p w14:paraId="38AF3A0E" w14:textId="77777777" w:rsidR="005534B7" w:rsidRDefault="005534B7">
            <w:bookmarkStart w:id="2" w:name="בא_כוח_א" w:colFirst="2" w:colLast="2"/>
            <w:bookmarkStart w:id="3" w:name="FirstLawyer"/>
            <w:bookmarkEnd w:id="1"/>
          </w:p>
        </w:tc>
        <w:tc>
          <w:tcPr>
            <w:tcW w:w="1757" w:type="dxa"/>
          </w:tcPr>
          <w:p w14:paraId="3552F591" w14:textId="77777777" w:rsidR="005534B7" w:rsidRDefault="005534B7">
            <w:r>
              <w:rPr>
                <w:rFonts w:hint="cs"/>
                <w:rtl/>
              </w:rPr>
              <w:t>ע"י ב"כ עו"ד</w:t>
            </w:r>
          </w:p>
        </w:tc>
        <w:tc>
          <w:tcPr>
            <w:tcW w:w="3063" w:type="dxa"/>
          </w:tcPr>
          <w:p w14:paraId="4AA38448" w14:textId="77777777" w:rsidR="005534B7" w:rsidRDefault="005534B7">
            <w:r>
              <w:rPr>
                <w:rFonts w:hint="cs"/>
                <w:rtl/>
              </w:rPr>
              <w:t>גרינברג ליס</w:t>
            </w:r>
          </w:p>
        </w:tc>
        <w:tc>
          <w:tcPr>
            <w:tcW w:w="2409" w:type="dxa"/>
          </w:tcPr>
          <w:p w14:paraId="7E16985E" w14:textId="77777777" w:rsidR="005534B7" w:rsidRDefault="005534B7">
            <w:r>
              <w:rPr>
                <w:rFonts w:hint="cs"/>
                <w:rtl/>
              </w:rPr>
              <w:t>המאשימה</w:t>
            </w:r>
          </w:p>
        </w:tc>
      </w:tr>
      <w:bookmarkEnd w:id="2"/>
      <w:bookmarkEnd w:id="3"/>
      <w:tr w:rsidR="005534B7" w14:paraId="2B838ED1" w14:textId="77777777">
        <w:tc>
          <w:tcPr>
            <w:tcW w:w="1362" w:type="dxa"/>
          </w:tcPr>
          <w:p w14:paraId="0D6A389F" w14:textId="77777777" w:rsidR="005534B7" w:rsidRDefault="005534B7"/>
        </w:tc>
        <w:tc>
          <w:tcPr>
            <w:tcW w:w="4820" w:type="dxa"/>
            <w:gridSpan w:val="2"/>
          </w:tcPr>
          <w:p w14:paraId="3F0ADC77" w14:textId="77777777" w:rsidR="005534B7" w:rsidRDefault="005534B7">
            <w:pPr>
              <w:jc w:val="center"/>
            </w:pPr>
            <w:r>
              <w:rPr>
                <w:rFonts w:hint="cs"/>
                <w:rtl/>
              </w:rPr>
              <w:t>נ  ג  ד</w:t>
            </w:r>
          </w:p>
        </w:tc>
        <w:tc>
          <w:tcPr>
            <w:tcW w:w="2409" w:type="dxa"/>
          </w:tcPr>
          <w:p w14:paraId="1EB89D9F" w14:textId="77777777" w:rsidR="005534B7" w:rsidRDefault="005534B7"/>
        </w:tc>
      </w:tr>
      <w:tr w:rsidR="005534B7" w14:paraId="75FB5F3A" w14:textId="77777777">
        <w:tc>
          <w:tcPr>
            <w:tcW w:w="1362" w:type="dxa"/>
          </w:tcPr>
          <w:p w14:paraId="710AA849" w14:textId="77777777" w:rsidR="005534B7" w:rsidRDefault="005534B7">
            <w:bookmarkStart w:id="4" w:name="שם_ב" w:colFirst="1" w:colLast="1"/>
          </w:p>
        </w:tc>
        <w:tc>
          <w:tcPr>
            <w:tcW w:w="4820" w:type="dxa"/>
            <w:gridSpan w:val="2"/>
          </w:tcPr>
          <w:p w14:paraId="40E6F9D9" w14:textId="77777777" w:rsidR="005534B7" w:rsidRDefault="005534B7">
            <w:r>
              <w:rPr>
                <w:rFonts w:hint="cs"/>
                <w:rtl/>
              </w:rPr>
              <w:t>נתנאל חיים</w:t>
            </w:r>
          </w:p>
        </w:tc>
        <w:tc>
          <w:tcPr>
            <w:tcW w:w="2409" w:type="dxa"/>
          </w:tcPr>
          <w:p w14:paraId="780BC116" w14:textId="77777777" w:rsidR="005534B7" w:rsidRDefault="005534B7"/>
        </w:tc>
      </w:tr>
      <w:tr w:rsidR="005534B7" w14:paraId="5DC64CAD" w14:textId="77777777">
        <w:tc>
          <w:tcPr>
            <w:tcW w:w="1362" w:type="dxa"/>
          </w:tcPr>
          <w:p w14:paraId="47812630" w14:textId="77777777" w:rsidR="005534B7" w:rsidRDefault="005534B7">
            <w:bookmarkStart w:id="5" w:name="בא_כוח_ב" w:colFirst="2" w:colLast="2"/>
            <w:bookmarkEnd w:id="4"/>
          </w:p>
        </w:tc>
        <w:tc>
          <w:tcPr>
            <w:tcW w:w="1757" w:type="dxa"/>
          </w:tcPr>
          <w:p w14:paraId="40A2CB7D" w14:textId="77777777" w:rsidR="005534B7" w:rsidRDefault="005534B7">
            <w:r>
              <w:rPr>
                <w:rFonts w:hint="cs"/>
                <w:rtl/>
              </w:rPr>
              <w:t>ע"י ב"כ עו"ד</w:t>
            </w:r>
          </w:p>
        </w:tc>
        <w:tc>
          <w:tcPr>
            <w:tcW w:w="3063" w:type="dxa"/>
          </w:tcPr>
          <w:p w14:paraId="40656243" w14:textId="77777777" w:rsidR="005534B7" w:rsidRDefault="005534B7">
            <w:r>
              <w:rPr>
                <w:rFonts w:hint="cs"/>
                <w:rtl/>
              </w:rPr>
              <w:t>פינקלמן יעל</w:t>
            </w:r>
          </w:p>
        </w:tc>
        <w:tc>
          <w:tcPr>
            <w:tcW w:w="2409" w:type="dxa"/>
          </w:tcPr>
          <w:p w14:paraId="0C7774BE" w14:textId="77777777" w:rsidR="005534B7" w:rsidRDefault="005534B7">
            <w:r>
              <w:rPr>
                <w:rFonts w:hint="cs"/>
                <w:rtl/>
              </w:rPr>
              <w:t>הנאשם</w:t>
            </w:r>
          </w:p>
        </w:tc>
      </w:tr>
    </w:tbl>
    <w:p w14:paraId="1B7876C5" w14:textId="77777777" w:rsidR="00F21118" w:rsidRDefault="00F21118">
      <w:pPr>
        <w:rPr>
          <w:rtl/>
        </w:rPr>
      </w:pPr>
      <w:bookmarkStart w:id="6" w:name="LawTable"/>
      <w:bookmarkEnd w:id="5"/>
      <w:bookmarkEnd w:id="6"/>
    </w:p>
    <w:p w14:paraId="777128F2" w14:textId="77777777" w:rsidR="00F21118" w:rsidRPr="00F21118" w:rsidRDefault="00F21118" w:rsidP="00F21118">
      <w:pPr>
        <w:spacing w:after="120" w:line="240" w:lineRule="exact"/>
        <w:ind w:left="283" w:hanging="283"/>
        <w:rPr>
          <w:rFonts w:ascii="FrankRuehl" w:hAnsi="FrankRuehl" w:cs="FrankRuehl"/>
          <w:sz w:val="24"/>
          <w:szCs w:val="24"/>
          <w:rtl/>
        </w:rPr>
      </w:pPr>
    </w:p>
    <w:p w14:paraId="4B3CD3C2" w14:textId="77777777" w:rsidR="00F21118" w:rsidRPr="00F21118" w:rsidRDefault="00F21118" w:rsidP="00F21118">
      <w:pPr>
        <w:spacing w:after="120" w:line="240" w:lineRule="exact"/>
        <w:ind w:left="283" w:hanging="283"/>
        <w:rPr>
          <w:rFonts w:ascii="FrankRuehl" w:hAnsi="FrankRuehl" w:cs="FrankRuehl"/>
          <w:sz w:val="24"/>
          <w:szCs w:val="24"/>
          <w:rtl/>
        </w:rPr>
      </w:pPr>
      <w:r w:rsidRPr="00F21118">
        <w:rPr>
          <w:rFonts w:ascii="FrankRuehl" w:hAnsi="FrankRuehl" w:cs="FrankRuehl"/>
          <w:sz w:val="24"/>
          <w:szCs w:val="24"/>
          <w:rtl/>
        </w:rPr>
        <w:t xml:space="preserve">חקיקה שאוזכרה: </w:t>
      </w:r>
    </w:p>
    <w:p w14:paraId="77949F73" w14:textId="77777777" w:rsidR="00F21118" w:rsidRPr="00F21118" w:rsidRDefault="00F21118" w:rsidP="00F21118">
      <w:pPr>
        <w:spacing w:after="120" w:line="240" w:lineRule="exact"/>
        <w:ind w:left="283" w:hanging="283"/>
        <w:rPr>
          <w:rFonts w:ascii="FrankRuehl" w:hAnsi="FrankRuehl" w:cs="FrankRuehl"/>
          <w:sz w:val="24"/>
          <w:szCs w:val="24"/>
          <w:rtl/>
        </w:rPr>
      </w:pPr>
      <w:hyperlink r:id="rId6" w:history="1">
        <w:r w:rsidRPr="00F21118">
          <w:rPr>
            <w:rFonts w:ascii="FrankRuehl" w:hAnsi="FrankRuehl" w:cs="FrankRuehl"/>
            <w:color w:val="0000FF"/>
            <w:sz w:val="24"/>
            <w:szCs w:val="24"/>
            <w:u w:val="single"/>
            <w:rtl/>
          </w:rPr>
          <w:t>חוק העונשין, תשל"ז-1977</w:t>
        </w:r>
      </w:hyperlink>
      <w:r w:rsidRPr="00F21118">
        <w:rPr>
          <w:rFonts w:ascii="FrankRuehl" w:hAnsi="FrankRuehl" w:cs="FrankRuehl"/>
          <w:sz w:val="24"/>
          <w:szCs w:val="24"/>
          <w:rtl/>
        </w:rPr>
        <w:t xml:space="preserve">: סע'  </w:t>
      </w:r>
      <w:hyperlink r:id="rId7" w:history="1">
        <w:r w:rsidRPr="00F21118">
          <w:rPr>
            <w:rFonts w:ascii="FrankRuehl" w:hAnsi="FrankRuehl" w:cs="FrankRuehl"/>
            <w:color w:val="0000FF"/>
            <w:sz w:val="24"/>
            <w:szCs w:val="24"/>
            <w:u w:val="single"/>
            <w:rtl/>
          </w:rPr>
          <w:t>287 (א)</w:t>
        </w:r>
      </w:hyperlink>
      <w:r w:rsidRPr="00F21118">
        <w:rPr>
          <w:rFonts w:ascii="FrankRuehl" w:hAnsi="FrankRuehl" w:cs="FrankRuehl"/>
          <w:sz w:val="24"/>
          <w:szCs w:val="24"/>
          <w:rtl/>
        </w:rPr>
        <w:t xml:space="preserve">, </w:t>
      </w:r>
      <w:hyperlink r:id="rId8" w:history="1">
        <w:r w:rsidRPr="00F21118">
          <w:rPr>
            <w:rFonts w:ascii="FrankRuehl" w:hAnsi="FrankRuehl" w:cs="FrankRuehl"/>
            <w:color w:val="0000FF"/>
            <w:sz w:val="24"/>
            <w:szCs w:val="24"/>
            <w:u w:val="single"/>
            <w:rtl/>
          </w:rPr>
          <w:t>348 (ג)</w:t>
        </w:r>
      </w:hyperlink>
    </w:p>
    <w:p w14:paraId="1BB60726" w14:textId="77777777" w:rsidR="00F21118" w:rsidRPr="00F21118" w:rsidRDefault="00F21118" w:rsidP="00F21118">
      <w:pPr>
        <w:spacing w:after="120" w:line="240" w:lineRule="exact"/>
        <w:ind w:left="283" w:hanging="283"/>
        <w:rPr>
          <w:rFonts w:ascii="FrankRuehl" w:hAnsi="FrankRuehl" w:cs="FrankRuehl"/>
          <w:sz w:val="24"/>
          <w:szCs w:val="24"/>
          <w:rtl/>
        </w:rPr>
      </w:pPr>
    </w:p>
    <w:p w14:paraId="313D06C3" w14:textId="77777777" w:rsidR="005534B7" w:rsidRPr="00487976" w:rsidRDefault="005534B7">
      <w:pPr>
        <w:rPr>
          <w:rFonts w:hint="cs"/>
          <w:rtl/>
        </w:rPr>
      </w:pPr>
      <w:bookmarkStart w:id="7" w:name="LawTable_End"/>
      <w:bookmarkEnd w:id="7"/>
    </w:p>
    <w:p w14:paraId="0D392509" w14:textId="77777777" w:rsidR="005534B7" w:rsidRDefault="005534B7">
      <w:pPr>
        <w:jc w:val="center"/>
        <w:rPr>
          <w:b/>
          <w:bCs/>
          <w:u w:val="single"/>
          <w:rtl/>
        </w:rPr>
      </w:pPr>
      <w:bookmarkStart w:id="8" w:name="סוג_מסמך"/>
      <w:bookmarkStart w:id="9" w:name="PsakDin"/>
      <w:bookmarkEnd w:id="0"/>
      <w:bookmarkEnd w:id="8"/>
      <w:r>
        <w:rPr>
          <w:b/>
          <w:bCs/>
          <w:u w:val="single"/>
          <w:rtl/>
        </w:rPr>
        <w:t>הכרעת דין</w:t>
      </w:r>
    </w:p>
    <w:p w14:paraId="644E749A" w14:textId="77777777" w:rsidR="00F21118" w:rsidRDefault="00F21118">
      <w:pPr>
        <w:jc w:val="center"/>
        <w:rPr>
          <w:b/>
          <w:bCs/>
          <w:u w:val="single"/>
          <w:rtl/>
        </w:rPr>
      </w:pPr>
    </w:p>
    <w:bookmarkEnd w:id="9"/>
    <w:p w14:paraId="30DC29D6" w14:textId="77777777" w:rsidR="005534B7" w:rsidRDefault="005534B7">
      <w:pPr>
        <w:ind w:left="720" w:hanging="720"/>
        <w:rPr>
          <w:rFonts w:hint="cs"/>
          <w:rtl/>
        </w:rPr>
      </w:pPr>
      <w:r>
        <w:rPr>
          <w:rFonts w:hint="cs"/>
          <w:rtl/>
        </w:rPr>
        <w:t>1.</w:t>
      </w:r>
      <w:r>
        <w:rPr>
          <w:rFonts w:hint="cs"/>
          <w:rtl/>
        </w:rPr>
        <w:tab/>
      </w:r>
      <w:bookmarkStart w:id="10" w:name="ABSTRACT_START"/>
      <w:bookmarkEnd w:id="10"/>
      <w:r>
        <w:rPr>
          <w:rFonts w:hint="cs"/>
          <w:rtl/>
        </w:rPr>
        <w:t>הנאשם הואשם בעבירה של מעשה מגונה, בביצועה כפר, ובהפרת הוראה חוקית, בה הודה</w:t>
      </w:r>
      <w:bookmarkStart w:id="11" w:name="ABSTRACT_END"/>
      <w:bookmarkEnd w:id="11"/>
      <w:r>
        <w:rPr>
          <w:rFonts w:hint="cs"/>
          <w:rtl/>
        </w:rPr>
        <w:t>.</w:t>
      </w:r>
    </w:p>
    <w:p w14:paraId="093DD42E" w14:textId="77777777" w:rsidR="005534B7" w:rsidRDefault="005534B7">
      <w:pPr>
        <w:ind w:left="720" w:hanging="720"/>
        <w:rPr>
          <w:rFonts w:hint="cs"/>
          <w:rtl/>
        </w:rPr>
      </w:pPr>
    </w:p>
    <w:p w14:paraId="2401AF98" w14:textId="77777777" w:rsidR="005534B7" w:rsidRDefault="005534B7">
      <w:pPr>
        <w:ind w:left="720" w:hanging="720"/>
        <w:rPr>
          <w:rFonts w:hint="cs"/>
          <w:sz w:val="26"/>
          <w:rtl/>
        </w:rPr>
      </w:pPr>
      <w:r>
        <w:rPr>
          <w:rFonts w:hint="cs"/>
          <w:rtl/>
        </w:rPr>
        <w:t>2.</w:t>
      </w:r>
      <w:r>
        <w:rPr>
          <w:rFonts w:hint="cs"/>
          <w:rtl/>
        </w:rPr>
        <w:tab/>
        <w:t xml:space="preserve">המעשים בוצעו בשתי קטינות, ע"ת 3 וע"ת 4, בנות </w:t>
      </w:r>
      <w:r>
        <w:rPr>
          <w:rFonts w:hint="cs"/>
          <w:sz w:val="20"/>
          <w:szCs w:val="20"/>
          <w:rtl/>
        </w:rPr>
        <w:t xml:space="preserve">1/2 </w:t>
      </w:r>
      <w:r>
        <w:rPr>
          <w:rFonts w:hint="cs"/>
          <w:sz w:val="26"/>
          <w:rtl/>
        </w:rPr>
        <w:t>15 ו - 15, אותה עת. הנאשם בן 59.</w:t>
      </w:r>
    </w:p>
    <w:p w14:paraId="6FBA2D9D" w14:textId="77777777" w:rsidR="005534B7" w:rsidRDefault="005534B7">
      <w:pPr>
        <w:ind w:left="720" w:hanging="720"/>
        <w:rPr>
          <w:rFonts w:hint="cs"/>
          <w:color w:val="FFFFFF"/>
          <w:sz w:val="4"/>
          <w:szCs w:val="4"/>
          <w:rtl/>
        </w:rPr>
      </w:pPr>
    </w:p>
    <w:p w14:paraId="5474C03E" w14:textId="77777777" w:rsidR="005534B7" w:rsidRDefault="005534B7">
      <w:pPr>
        <w:ind w:left="720" w:hanging="720"/>
        <w:rPr>
          <w:rFonts w:hint="cs"/>
          <w:sz w:val="26"/>
          <w:rtl/>
        </w:rPr>
      </w:pPr>
      <w:r>
        <w:rPr>
          <w:color w:val="FFFFFF"/>
          <w:sz w:val="4"/>
          <w:szCs w:val="4"/>
          <w:rtl/>
        </w:rPr>
        <w:t>5129371</w:t>
      </w:r>
    </w:p>
    <w:p w14:paraId="1DFFED0E" w14:textId="77777777" w:rsidR="005534B7" w:rsidRDefault="005534B7">
      <w:pPr>
        <w:ind w:left="720" w:hanging="720"/>
        <w:rPr>
          <w:rFonts w:hint="cs"/>
          <w:sz w:val="26"/>
          <w:rtl/>
        </w:rPr>
      </w:pPr>
      <w:r>
        <w:rPr>
          <w:rFonts w:hint="cs"/>
          <w:sz w:val="26"/>
          <w:rtl/>
        </w:rPr>
        <w:tab/>
        <w:t>אליבא לעדויות השתיים, הן ישבו בגן העיר, בראשל"צ, הנאשם ישב לצידן והחל לשאול שאלות. "מה העניינים מה נשמע?" "רוצים לבוא לים יש לי שם חבר עם אוטו נשב במסעדה, נשתה בירה, נאכל משהו" "נעשה צחוקים" והן לא השיבו.</w:t>
      </w:r>
      <w:r>
        <w:rPr>
          <w:color w:val="FFFFFF"/>
          <w:sz w:val="4"/>
          <w:szCs w:val="4"/>
          <w:rtl/>
        </w:rPr>
        <w:t>נ</w:t>
      </w:r>
    </w:p>
    <w:p w14:paraId="7E360674" w14:textId="77777777" w:rsidR="005534B7" w:rsidRDefault="005534B7">
      <w:pPr>
        <w:ind w:left="720" w:hanging="720"/>
        <w:rPr>
          <w:rFonts w:hint="cs"/>
          <w:sz w:val="26"/>
          <w:rtl/>
        </w:rPr>
      </w:pPr>
    </w:p>
    <w:p w14:paraId="79A27E35" w14:textId="77777777" w:rsidR="005534B7" w:rsidRDefault="005534B7">
      <w:pPr>
        <w:ind w:left="720" w:hanging="720"/>
        <w:rPr>
          <w:rFonts w:hint="cs"/>
          <w:sz w:val="26"/>
          <w:rtl/>
        </w:rPr>
      </w:pPr>
      <w:r>
        <w:rPr>
          <w:rFonts w:hint="cs"/>
          <w:sz w:val="26"/>
          <w:rtl/>
        </w:rPr>
        <w:tab/>
        <w:t>לע"ת 3, לצידה ישב, נגע באוזן ואמר "איזה עגילים יפים יש לך". היא דרשה ממנו להוריד את הידיים המסריחות שלו ולא לגעת בה. מהעגיל המשיך לכתף ולירך. היא נתנה לו "כאפה" בידיים ואיימה להזעיק משטרה.</w:t>
      </w:r>
      <w:r>
        <w:rPr>
          <w:color w:val="FFFFFF"/>
          <w:sz w:val="4"/>
          <w:szCs w:val="4"/>
          <w:rtl/>
        </w:rPr>
        <w:t>ב</w:t>
      </w:r>
    </w:p>
    <w:p w14:paraId="69D0B103" w14:textId="77777777" w:rsidR="005534B7" w:rsidRDefault="005534B7">
      <w:pPr>
        <w:ind w:left="720" w:hanging="720"/>
        <w:rPr>
          <w:rFonts w:hint="cs"/>
          <w:sz w:val="26"/>
          <w:rtl/>
        </w:rPr>
      </w:pPr>
    </w:p>
    <w:p w14:paraId="0623A060" w14:textId="77777777" w:rsidR="005534B7" w:rsidRDefault="005534B7">
      <w:pPr>
        <w:ind w:left="720" w:hanging="720"/>
        <w:rPr>
          <w:rFonts w:hint="cs"/>
          <w:sz w:val="26"/>
          <w:rtl/>
        </w:rPr>
      </w:pPr>
      <w:r>
        <w:rPr>
          <w:rFonts w:hint="cs"/>
          <w:sz w:val="26"/>
          <w:rtl/>
        </w:rPr>
        <w:lastRenderedPageBreak/>
        <w:tab/>
        <w:t>היא נעמדה, הוא התקרב לעבר חברתה, ע"ת 4, נגע בפניה ואמר "איזה חמודה". היא צעקה עליו שיעוף ממנה ותגובתו "למה, את חמודה, תני לי נשיקה" והחל לחבקה בשתי ידיו. ע"ת 3 שוב נתנה לו "כאפה" ואמרה לו להעיף את הידיים ואז נגע לע"ת 4 בישבן.</w:t>
      </w:r>
      <w:r>
        <w:rPr>
          <w:color w:val="FFFFFF"/>
          <w:sz w:val="4"/>
          <w:szCs w:val="4"/>
          <w:rtl/>
        </w:rPr>
        <w:t>ו</w:t>
      </w:r>
    </w:p>
    <w:p w14:paraId="1FCC4603" w14:textId="77777777" w:rsidR="005534B7" w:rsidRDefault="005534B7">
      <w:pPr>
        <w:ind w:left="720" w:hanging="720"/>
        <w:rPr>
          <w:rFonts w:hint="cs"/>
          <w:sz w:val="26"/>
          <w:rtl/>
        </w:rPr>
      </w:pPr>
    </w:p>
    <w:p w14:paraId="7AA6B156" w14:textId="77777777" w:rsidR="005534B7" w:rsidRDefault="005534B7">
      <w:pPr>
        <w:ind w:left="720" w:hanging="720"/>
        <w:rPr>
          <w:rFonts w:hint="cs"/>
          <w:sz w:val="26"/>
          <w:rtl/>
        </w:rPr>
      </w:pPr>
      <w:r>
        <w:rPr>
          <w:rFonts w:hint="cs"/>
          <w:sz w:val="26"/>
          <w:rtl/>
        </w:rPr>
        <w:tab/>
        <w:t>באותו שלב  הבחינו ב - 2 שוטרים, הפנו את תשומת ליבו, הוא, קם והתחיל ללכת, לברוח.</w:t>
      </w:r>
      <w:r>
        <w:rPr>
          <w:color w:val="FFFFFF"/>
          <w:sz w:val="4"/>
          <w:szCs w:val="4"/>
          <w:rtl/>
        </w:rPr>
        <w:t>נ</w:t>
      </w:r>
    </w:p>
    <w:p w14:paraId="67EE1EAF" w14:textId="77777777" w:rsidR="005534B7" w:rsidRDefault="005534B7">
      <w:pPr>
        <w:ind w:left="720" w:hanging="720"/>
        <w:rPr>
          <w:rFonts w:hint="cs"/>
          <w:sz w:val="26"/>
          <w:rtl/>
        </w:rPr>
      </w:pPr>
    </w:p>
    <w:p w14:paraId="351C15E3" w14:textId="77777777" w:rsidR="005534B7" w:rsidRDefault="005534B7">
      <w:pPr>
        <w:ind w:left="720" w:hanging="720"/>
        <w:rPr>
          <w:rFonts w:hint="cs"/>
          <w:sz w:val="26"/>
          <w:rtl/>
        </w:rPr>
      </w:pPr>
      <w:r>
        <w:rPr>
          <w:rFonts w:hint="cs"/>
          <w:sz w:val="26"/>
          <w:rtl/>
        </w:rPr>
        <w:tab/>
        <w:t>ע"ת 3 אמנם לא זכרה האם קודם נגע בה, כפי עדותה בראשית, או בחברתה, עדותה בנגדית, אך בחקירה החוזרת חזרה על הגרסה ולפיה  קודם נגע בה וכשקמה התקרב ונגע בחברתה, כפי שאך הגיוני וכפי עדות החברה.</w:t>
      </w:r>
      <w:r>
        <w:rPr>
          <w:color w:val="FFFFFF"/>
          <w:sz w:val="4"/>
          <w:szCs w:val="4"/>
          <w:rtl/>
        </w:rPr>
        <w:t>ב</w:t>
      </w:r>
    </w:p>
    <w:p w14:paraId="1180780A" w14:textId="77777777" w:rsidR="005534B7" w:rsidRDefault="005534B7">
      <w:pPr>
        <w:ind w:left="720" w:hanging="720"/>
        <w:rPr>
          <w:rFonts w:hint="cs"/>
          <w:sz w:val="26"/>
          <w:rtl/>
        </w:rPr>
      </w:pPr>
    </w:p>
    <w:p w14:paraId="0889D18E" w14:textId="77777777" w:rsidR="005534B7" w:rsidRDefault="005534B7">
      <w:pPr>
        <w:ind w:left="720" w:hanging="720"/>
        <w:rPr>
          <w:rFonts w:hint="cs"/>
          <w:sz w:val="26"/>
          <w:rtl/>
        </w:rPr>
      </w:pPr>
      <w:r>
        <w:rPr>
          <w:rFonts w:hint="cs"/>
          <w:sz w:val="26"/>
          <w:rtl/>
        </w:rPr>
        <w:t>3.</w:t>
      </w:r>
      <w:r>
        <w:rPr>
          <w:rFonts w:hint="cs"/>
          <w:sz w:val="26"/>
          <w:rtl/>
        </w:rPr>
        <w:tab/>
        <w:t>השתיים התלוננו באופן מידי בפני רס"ר רונן לביא - ע"ת 1, ראש קבוצת סיור, אשר ביצע סיור רגלי במקום בליווית המתנדב איתן לשם - ע"ת 2.</w:t>
      </w:r>
      <w:r>
        <w:rPr>
          <w:color w:val="FFFFFF"/>
          <w:sz w:val="4"/>
          <w:szCs w:val="4"/>
          <w:rtl/>
        </w:rPr>
        <w:t>ו</w:t>
      </w:r>
    </w:p>
    <w:p w14:paraId="2A38F7B9" w14:textId="77777777" w:rsidR="005534B7" w:rsidRDefault="005534B7">
      <w:pPr>
        <w:ind w:left="720" w:hanging="720"/>
        <w:rPr>
          <w:rFonts w:hint="cs"/>
          <w:sz w:val="26"/>
          <w:rtl/>
        </w:rPr>
      </w:pPr>
    </w:p>
    <w:p w14:paraId="66844474" w14:textId="77777777" w:rsidR="005534B7" w:rsidRDefault="005534B7">
      <w:pPr>
        <w:ind w:left="720" w:hanging="720"/>
        <w:rPr>
          <w:rFonts w:hint="cs"/>
          <w:sz w:val="26"/>
          <w:rtl/>
        </w:rPr>
      </w:pPr>
      <w:r>
        <w:rPr>
          <w:rFonts w:hint="cs"/>
          <w:sz w:val="26"/>
          <w:rtl/>
        </w:rPr>
        <w:tab/>
        <w:t>התאור שמסרו לו אמנם לא זהה לעדותן, אך נראה כי התמקדו בעיקר.</w:t>
      </w:r>
      <w:r>
        <w:rPr>
          <w:color w:val="FFFFFF"/>
          <w:sz w:val="4"/>
          <w:szCs w:val="4"/>
          <w:rtl/>
        </w:rPr>
        <w:t>נ</w:t>
      </w:r>
    </w:p>
    <w:p w14:paraId="7B430495" w14:textId="77777777" w:rsidR="005534B7" w:rsidRDefault="005534B7">
      <w:pPr>
        <w:ind w:left="720" w:hanging="720"/>
        <w:rPr>
          <w:rFonts w:hint="cs"/>
          <w:sz w:val="26"/>
          <w:rtl/>
        </w:rPr>
      </w:pPr>
    </w:p>
    <w:p w14:paraId="5513BE4A" w14:textId="77777777" w:rsidR="005534B7" w:rsidRDefault="005534B7">
      <w:pPr>
        <w:ind w:left="720" w:hanging="720"/>
        <w:rPr>
          <w:rFonts w:hint="cs"/>
          <w:sz w:val="26"/>
          <w:rtl/>
        </w:rPr>
      </w:pPr>
      <w:r>
        <w:rPr>
          <w:rFonts w:hint="cs"/>
          <w:sz w:val="26"/>
          <w:rtl/>
        </w:rPr>
        <w:t>4.</w:t>
      </w:r>
      <w:r>
        <w:rPr>
          <w:rFonts w:hint="cs"/>
          <w:sz w:val="26"/>
          <w:rtl/>
        </w:rPr>
        <w:tab/>
        <w:t>לעומתן מסר הנאשם מספר גרסאות, כיד הדמיון הטובה עליו.</w:t>
      </w:r>
      <w:r>
        <w:rPr>
          <w:color w:val="FFFFFF"/>
          <w:sz w:val="4"/>
          <w:szCs w:val="4"/>
          <w:rtl/>
        </w:rPr>
        <w:t>ב</w:t>
      </w:r>
    </w:p>
    <w:p w14:paraId="717807F4" w14:textId="77777777" w:rsidR="005534B7" w:rsidRDefault="005534B7">
      <w:pPr>
        <w:ind w:left="720" w:hanging="720"/>
        <w:rPr>
          <w:rFonts w:hint="cs"/>
          <w:sz w:val="26"/>
          <w:rtl/>
        </w:rPr>
      </w:pPr>
    </w:p>
    <w:p w14:paraId="24D60B23" w14:textId="77777777" w:rsidR="005534B7" w:rsidRDefault="005534B7">
      <w:pPr>
        <w:ind w:left="720" w:hanging="720"/>
        <w:rPr>
          <w:rFonts w:hint="cs"/>
          <w:sz w:val="26"/>
          <w:rtl/>
        </w:rPr>
      </w:pPr>
      <w:r>
        <w:rPr>
          <w:rFonts w:hint="cs"/>
          <w:sz w:val="26"/>
          <w:rtl/>
        </w:rPr>
        <w:tab/>
        <w:t>הראשונה, כאשר עוכב בגין חשד לביצוע מעשה מגונה. "אני שתיתי בירה ושתי בחורות ביקשו ממני סיגריה וישבתי לידן" - ת/2.</w:t>
      </w:r>
      <w:r>
        <w:rPr>
          <w:color w:val="FFFFFF"/>
          <w:sz w:val="4"/>
          <w:szCs w:val="4"/>
          <w:rtl/>
        </w:rPr>
        <w:t>ו</w:t>
      </w:r>
    </w:p>
    <w:p w14:paraId="4275FBFB" w14:textId="77777777" w:rsidR="005534B7" w:rsidRDefault="005534B7">
      <w:pPr>
        <w:ind w:left="720" w:hanging="720"/>
        <w:rPr>
          <w:rFonts w:hint="cs"/>
          <w:sz w:val="26"/>
          <w:rtl/>
        </w:rPr>
      </w:pPr>
    </w:p>
    <w:p w14:paraId="4350A3DA" w14:textId="77777777" w:rsidR="005534B7" w:rsidRDefault="005534B7">
      <w:pPr>
        <w:ind w:left="720" w:hanging="720"/>
        <w:rPr>
          <w:rFonts w:hint="cs"/>
          <w:sz w:val="26"/>
          <w:rtl/>
        </w:rPr>
      </w:pPr>
      <w:r>
        <w:rPr>
          <w:rFonts w:hint="cs"/>
          <w:sz w:val="26"/>
          <w:rtl/>
        </w:rPr>
        <w:tab/>
        <w:t xml:space="preserve">השניה, בהודעתו הראשונה - ת/3. הפעם הן התיישבו לידו ולא הוא לידן, כפי תגובתו בת/2. הן ביקשו סיגריות והוא נתן. הן שאלו אם יש לו 20 ₪ להגיע לרמלה </w:t>
      </w:r>
    </w:p>
    <w:p w14:paraId="07AAA99B" w14:textId="77777777" w:rsidR="005534B7" w:rsidRDefault="005534B7">
      <w:pPr>
        <w:ind w:left="720"/>
        <w:rPr>
          <w:rFonts w:hint="cs"/>
          <w:sz w:val="26"/>
          <w:rtl/>
        </w:rPr>
      </w:pPr>
      <w:r>
        <w:rPr>
          <w:rFonts w:hint="cs"/>
          <w:sz w:val="26"/>
          <w:rtl/>
        </w:rPr>
        <w:t>והיה  לו רק 5 ₪. הוא לא נגע בהן, לא ליטף, לא אמר ולא עשה דבר. בהמשך ביקש לשמור על זכות השתיקה ודרש עו"ד.</w:t>
      </w:r>
      <w:r>
        <w:rPr>
          <w:color w:val="FFFFFF"/>
          <w:sz w:val="4"/>
          <w:szCs w:val="4"/>
          <w:rtl/>
        </w:rPr>
        <w:t>נ</w:t>
      </w:r>
    </w:p>
    <w:p w14:paraId="393956C2" w14:textId="77777777" w:rsidR="005534B7" w:rsidRDefault="005534B7">
      <w:pPr>
        <w:ind w:left="720" w:hanging="720"/>
        <w:rPr>
          <w:rFonts w:hint="cs"/>
          <w:sz w:val="26"/>
          <w:rtl/>
        </w:rPr>
      </w:pPr>
    </w:p>
    <w:p w14:paraId="67C213D6" w14:textId="77777777" w:rsidR="005534B7" w:rsidRDefault="005534B7">
      <w:pPr>
        <w:ind w:left="720" w:hanging="720"/>
        <w:rPr>
          <w:rFonts w:hint="cs"/>
          <w:sz w:val="26"/>
          <w:rtl/>
        </w:rPr>
      </w:pPr>
      <w:r>
        <w:rPr>
          <w:rFonts w:hint="cs"/>
          <w:sz w:val="26"/>
          <w:rtl/>
        </w:rPr>
        <w:tab/>
        <w:t>השלישית, בהודעה השניה - ת/1, בה נאות לומר שרצו 20 ₪ כדי להגיע לרמלה. מעבר לכך סרב לדבר ואמר שעוה"ד ידבר.</w:t>
      </w:r>
      <w:r>
        <w:rPr>
          <w:color w:val="FFFFFF"/>
          <w:sz w:val="4"/>
          <w:szCs w:val="4"/>
          <w:rtl/>
        </w:rPr>
        <w:t>ב</w:t>
      </w:r>
    </w:p>
    <w:p w14:paraId="1B7FDDE6" w14:textId="77777777" w:rsidR="005534B7" w:rsidRDefault="005534B7">
      <w:pPr>
        <w:ind w:left="720" w:hanging="720"/>
        <w:rPr>
          <w:rFonts w:hint="cs"/>
          <w:sz w:val="26"/>
          <w:rtl/>
        </w:rPr>
      </w:pPr>
    </w:p>
    <w:p w14:paraId="13707C47" w14:textId="77777777" w:rsidR="005534B7" w:rsidRDefault="005534B7">
      <w:pPr>
        <w:ind w:left="720" w:hanging="720"/>
        <w:rPr>
          <w:rFonts w:hint="cs"/>
          <w:sz w:val="26"/>
          <w:rtl/>
        </w:rPr>
      </w:pPr>
      <w:r>
        <w:rPr>
          <w:rFonts w:hint="cs"/>
          <w:sz w:val="26"/>
          <w:rtl/>
        </w:rPr>
        <w:tab/>
        <w:t>על שתי ההודעות סרב לחתום.</w:t>
      </w:r>
      <w:r>
        <w:rPr>
          <w:color w:val="FFFFFF"/>
          <w:sz w:val="4"/>
          <w:szCs w:val="4"/>
          <w:rtl/>
        </w:rPr>
        <w:t>ו</w:t>
      </w:r>
    </w:p>
    <w:p w14:paraId="5D5C5A5A" w14:textId="77777777" w:rsidR="005534B7" w:rsidRDefault="005534B7">
      <w:pPr>
        <w:ind w:left="720" w:hanging="720"/>
        <w:rPr>
          <w:rFonts w:hint="cs"/>
          <w:sz w:val="26"/>
          <w:rtl/>
        </w:rPr>
      </w:pPr>
    </w:p>
    <w:p w14:paraId="3B030F21" w14:textId="77777777" w:rsidR="005534B7" w:rsidRDefault="005534B7">
      <w:pPr>
        <w:ind w:left="720" w:hanging="720"/>
        <w:rPr>
          <w:rFonts w:hint="cs"/>
          <w:sz w:val="26"/>
          <w:rtl/>
        </w:rPr>
      </w:pPr>
      <w:r>
        <w:rPr>
          <w:rFonts w:hint="cs"/>
          <w:sz w:val="26"/>
          <w:rtl/>
        </w:rPr>
        <w:tab/>
        <w:t>הרביעית, בישיבת ההקראה, מיום 31.5.04. הן ישבו לידו וניסו לגנוב ממנו ארנק?!! לא ברור מדוע לא התלונן על ניסיון הגניבה עוד בהודעותיו במשטרה, בהזדמנות הראשונה.</w:t>
      </w:r>
      <w:r>
        <w:rPr>
          <w:color w:val="FFFFFF"/>
          <w:sz w:val="4"/>
          <w:szCs w:val="4"/>
          <w:rtl/>
        </w:rPr>
        <w:t>נ</w:t>
      </w:r>
    </w:p>
    <w:p w14:paraId="7F68360F" w14:textId="77777777" w:rsidR="005534B7" w:rsidRDefault="005534B7">
      <w:pPr>
        <w:ind w:left="720" w:hanging="720"/>
        <w:rPr>
          <w:rFonts w:hint="cs"/>
          <w:sz w:val="26"/>
          <w:rtl/>
        </w:rPr>
      </w:pPr>
      <w:r>
        <w:rPr>
          <w:rFonts w:hint="cs"/>
          <w:sz w:val="26"/>
          <w:rtl/>
        </w:rPr>
        <w:lastRenderedPageBreak/>
        <w:tab/>
        <w:t>החמישית, המפורטת מכולן, בעדותו בביהמ"ש. הוא ישב לבד, שתה 3 וודקה ו - 2 בירות והיה בגילופין. לא שתוי שתוי, קצת מעורפל.</w:t>
      </w:r>
      <w:r>
        <w:rPr>
          <w:color w:val="FFFFFF"/>
          <w:sz w:val="4"/>
          <w:szCs w:val="4"/>
          <w:rtl/>
        </w:rPr>
        <w:t>ב</w:t>
      </w:r>
    </w:p>
    <w:p w14:paraId="5BEECBD1" w14:textId="77777777" w:rsidR="005534B7" w:rsidRDefault="005534B7">
      <w:pPr>
        <w:ind w:left="720" w:hanging="720"/>
        <w:rPr>
          <w:rFonts w:hint="cs"/>
          <w:sz w:val="26"/>
          <w:rtl/>
        </w:rPr>
      </w:pPr>
    </w:p>
    <w:p w14:paraId="730E0031" w14:textId="77777777" w:rsidR="005534B7" w:rsidRDefault="005534B7">
      <w:pPr>
        <w:ind w:left="720" w:hanging="720"/>
        <w:rPr>
          <w:rFonts w:hint="cs"/>
          <w:sz w:val="26"/>
          <w:rtl/>
        </w:rPr>
      </w:pPr>
      <w:r>
        <w:rPr>
          <w:rFonts w:hint="cs"/>
          <w:sz w:val="26"/>
          <w:rtl/>
        </w:rPr>
        <w:tab/>
        <w:t>ע"ת 3 התחילה להיצמד אליו ולהתחכך בו. ע"ת 4 החלה  להתחכך ברגליו. ע"ת 3 הציעה לו לעשן איתה גראס והבטיחה לשתף איתו פעולה בתנאי שיתן לה 200 ₪. היא החלה ל"חמם" אותו, הוא הרגיש שהחום שלה הולך לטרוף לו את הגוף ואז שלפה את הארנק שלו. היא נעמדה וכדי שלא תברח תפס בישבנה. הוא בדק את הארנק וראה שיש בו 400 ₪, קרי, הן לא לקחו דבר.</w:t>
      </w:r>
      <w:r>
        <w:rPr>
          <w:color w:val="FFFFFF"/>
          <w:sz w:val="4"/>
          <w:szCs w:val="4"/>
          <w:rtl/>
        </w:rPr>
        <w:t>ו</w:t>
      </w:r>
    </w:p>
    <w:p w14:paraId="7B2A4DE2" w14:textId="77777777" w:rsidR="005534B7" w:rsidRDefault="005534B7">
      <w:pPr>
        <w:ind w:left="720" w:hanging="720"/>
        <w:rPr>
          <w:rFonts w:hint="cs"/>
          <w:sz w:val="26"/>
          <w:rtl/>
        </w:rPr>
      </w:pPr>
      <w:r>
        <w:rPr>
          <w:rFonts w:hint="cs"/>
          <w:sz w:val="26"/>
          <w:rtl/>
        </w:rPr>
        <w:tab/>
        <w:t>לא ברור הכיצד 5 הש"ח  שהיו לו בהודעתו השניה טפחו ל - 400 ₪. לא ברור מדוע לא תאר את ההטרדה מצידן כבר בהזדמנות הראשונה. לא ברור מדוע טען בעקביות שלא נגע בהן בעוד בעדות הודה שתפס בישבנה של ע"ת 3.</w:t>
      </w:r>
      <w:r>
        <w:rPr>
          <w:color w:val="FFFFFF"/>
          <w:sz w:val="4"/>
          <w:szCs w:val="4"/>
          <w:rtl/>
        </w:rPr>
        <w:t>נ</w:t>
      </w:r>
    </w:p>
    <w:p w14:paraId="20FAE17F" w14:textId="77777777" w:rsidR="005534B7" w:rsidRDefault="005534B7">
      <w:pPr>
        <w:ind w:left="720" w:hanging="720"/>
        <w:rPr>
          <w:rFonts w:hint="cs"/>
          <w:sz w:val="26"/>
          <w:rtl/>
        </w:rPr>
      </w:pPr>
    </w:p>
    <w:p w14:paraId="53A98B7E" w14:textId="77777777" w:rsidR="005534B7" w:rsidRDefault="005534B7">
      <w:pPr>
        <w:ind w:left="720" w:hanging="720"/>
        <w:rPr>
          <w:rFonts w:hint="cs"/>
          <w:sz w:val="26"/>
          <w:rtl/>
        </w:rPr>
      </w:pPr>
      <w:r>
        <w:rPr>
          <w:rFonts w:hint="cs"/>
          <w:sz w:val="26"/>
          <w:rtl/>
        </w:rPr>
        <w:tab/>
        <w:t>בחקירה הנגדית מסר תשובות מגוונות. במשטרה לא נתתי עדות כי הייתי בהלם מהשוטרת, היא צעקה עלי. לא בא לי באותו רגע בראש לומר את הדברים. לא נשאלתי והייתי מבולבל.</w:t>
      </w:r>
      <w:r>
        <w:rPr>
          <w:color w:val="FFFFFF"/>
          <w:sz w:val="4"/>
          <w:szCs w:val="4"/>
          <w:rtl/>
        </w:rPr>
        <w:t>ב</w:t>
      </w:r>
    </w:p>
    <w:p w14:paraId="2A59501E" w14:textId="77777777" w:rsidR="005534B7" w:rsidRDefault="005534B7">
      <w:pPr>
        <w:ind w:left="720" w:hanging="720"/>
        <w:rPr>
          <w:rFonts w:hint="cs"/>
          <w:sz w:val="26"/>
          <w:rtl/>
        </w:rPr>
      </w:pPr>
    </w:p>
    <w:p w14:paraId="3F636597" w14:textId="77777777" w:rsidR="005534B7" w:rsidRDefault="005534B7">
      <w:pPr>
        <w:ind w:left="720" w:hanging="720"/>
        <w:rPr>
          <w:rFonts w:hint="cs"/>
          <w:sz w:val="26"/>
          <w:rtl/>
        </w:rPr>
      </w:pPr>
      <w:r>
        <w:rPr>
          <w:rFonts w:hint="cs"/>
          <w:sz w:val="26"/>
          <w:rtl/>
        </w:rPr>
        <w:t>5.</w:t>
      </w:r>
      <w:r>
        <w:rPr>
          <w:rFonts w:hint="cs"/>
          <w:sz w:val="26"/>
          <w:rtl/>
        </w:rPr>
        <w:tab/>
        <w:t>גובת אמרתו הראשונה, רס"ר חגית בללי - ע"ת 5, אמנם העידה שצעקה כל החקירה, אך זאת מהטעם שלא שמע ולא ענה לעניין, כפי שציינה                    בהודעתו - ת/3.</w:t>
      </w:r>
      <w:r>
        <w:rPr>
          <w:rFonts w:hint="cs"/>
          <w:sz w:val="26"/>
          <w:rtl/>
        </w:rPr>
        <w:tab/>
      </w:r>
    </w:p>
    <w:p w14:paraId="633D31C3" w14:textId="77777777" w:rsidR="005534B7" w:rsidRDefault="005534B7">
      <w:pPr>
        <w:ind w:left="720" w:hanging="720"/>
        <w:rPr>
          <w:rFonts w:hint="cs"/>
          <w:sz w:val="26"/>
          <w:rtl/>
        </w:rPr>
      </w:pPr>
    </w:p>
    <w:p w14:paraId="3DAAF2DC" w14:textId="77777777" w:rsidR="005534B7" w:rsidRDefault="005534B7">
      <w:pPr>
        <w:ind w:left="720" w:hanging="720"/>
        <w:rPr>
          <w:rFonts w:hint="cs"/>
          <w:sz w:val="26"/>
          <w:rtl/>
        </w:rPr>
      </w:pPr>
      <w:r>
        <w:rPr>
          <w:rFonts w:hint="cs"/>
          <w:sz w:val="26"/>
          <w:rtl/>
        </w:rPr>
        <w:t>6.</w:t>
      </w:r>
      <w:r>
        <w:rPr>
          <w:rFonts w:hint="cs"/>
          <w:sz w:val="26"/>
          <w:rtl/>
        </w:rPr>
        <w:tab/>
        <w:t>רואה אני להעדיף את עדויות הקטינות, ע"ת 3 ו - 4, על פני עדותו הבלתי עקבית ובלתי אחידה, אשר משתנה חדשות לבקרים.</w:t>
      </w:r>
      <w:r>
        <w:rPr>
          <w:color w:val="FFFFFF"/>
          <w:sz w:val="4"/>
          <w:szCs w:val="4"/>
          <w:rtl/>
        </w:rPr>
        <w:t>ו</w:t>
      </w:r>
    </w:p>
    <w:p w14:paraId="6233C6C6" w14:textId="77777777" w:rsidR="005534B7" w:rsidRDefault="005534B7">
      <w:pPr>
        <w:ind w:left="720" w:hanging="720"/>
        <w:rPr>
          <w:rFonts w:hint="cs"/>
          <w:sz w:val="26"/>
          <w:rtl/>
        </w:rPr>
      </w:pPr>
    </w:p>
    <w:p w14:paraId="775D867F" w14:textId="77777777" w:rsidR="005534B7" w:rsidRDefault="005534B7">
      <w:pPr>
        <w:ind w:left="720"/>
        <w:rPr>
          <w:rFonts w:hint="cs"/>
          <w:sz w:val="26"/>
          <w:rtl/>
        </w:rPr>
      </w:pPr>
      <w:r>
        <w:rPr>
          <w:rFonts w:hint="cs"/>
          <w:sz w:val="26"/>
          <w:rtl/>
        </w:rPr>
        <w:t>הקטינות הותירו רושם אמין  ואם היה שמץ של אמת בגרסתו המפוקפקת ברור שלא היו מתלוננות בפני השוטרים על מעלליו.</w:t>
      </w:r>
      <w:r>
        <w:rPr>
          <w:color w:val="FFFFFF"/>
          <w:sz w:val="4"/>
          <w:szCs w:val="4"/>
          <w:rtl/>
        </w:rPr>
        <w:t>נ</w:t>
      </w:r>
    </w:p>
    <w:p w14:paraId="59FDBDE8" w14:textId="77777777" w:rsidR="005534B7" w:rsidRDefault="005534B7">
      <w:pPr>
        <w:ind w:left="720"/>
        <w:rPr>
          <w:rFonts w:hint="cs"/>
          <w:sz w:val="26"/>
          <w:rtl/>
        </w:rPr>
      </w:pPr>
    </w:p>
    <w:p w14:paraId="766B4C36" w14:textId="77777777" w:rsidR="005534B7" w:rsidRDefault="005534B7">
      <w:pPr>
        <w:ind w:left="720"/>
        <w:rPr>
          <w:rFonts w:hint="cs"/>
          <w:sz w:val="26"/>
          <w:rtl/>
        </w:rPr>
      </w:pPr>
      <w:r>
        <w:rPr>
          <w:rFonts w:hint="cs"/>
          <w:sz w:val="26"/>
          <w:rtl/>
        </w:rPr>
        <w:t>הן אמנם העידו שהתעצבנו וכעסו על מעשיו, אך ע"ת 4 ציינה, בנוסף, כי נגעלה ממנו וכך גם משתמע מעדותה של ע"ת 3. שתיהן דרשו שיסלק את ידיו וע"ת 3 הגדילה לעשות ונתנה לו "כאפה" אך ללא הועיל.</w:t>
      </w:r>
      <w:r>
        <w:rPr>
          <w:color w:val="FFFFFF"/>
          <w:sz w:val="4"/>
          <w:szCs w:val="4"/>
          <w:rtl/>
        </w:rPr>
        <w:t>ב</w:t>
      </w:r>
    </w:p>
    <w:p w14:paraId="0D57B925" w14:textId="77777777" w:rsidR="005534B7" w:rsidRDefault="005534B7">
      <w:pPr>
        <w:ind w:left="720"/>
        <w:rPr>
          <w:rFonts w:hint="cs"/>
          <w:sz w:val="26"/>
          <w:rtl/>
        </w:rPr>
      </w:pPr>
    </w:p>
    <w:p w14:paraId="796667ED" w14:textId="77777777" w:rsidR="005534B7" w:rsidRDefault="005534B7">
      <w:pPr>
        <w:ind w:left="720"/>
        <w:rPr>
          <w:rFonts w:hint="cs"/>
          <w:sz w:val="26"/>
          <w:rtl/>
        </w:rPr>
      </w:pPr>
      <w:r>
        <w:rPr>
          <w:rFonts w:hint="cs"/>
          <w:sz w:val="26"/>
          <w:rtl/>
        </w:rPr>
        <w:t>מעדותן עולה כי ליטף אותן לשם גירוי, סיפוק או ביזוי מיני, כאשר מעדותו עולה כי מחשבתו היתה ועודנה טרודה בתכנים בעלי גוון מיני (עמ' 22 ש' 10 - 11, 13,    15 - 16,  17, 20; עמ' 23 ש' 1 - 2; עמ' 24 ש' 16 - 18; עמ' 26 ש' 1 - 3).</w:t>
      </w:r>
      <w:r>
        <w:rPr>
          <w:color w:val="FFFFFF"/>
          <w:sz w:val="4"/>
          <w:szCs w:val="4"/>
          <w:rtl/>
        </w:rPr>
        <w:t>ו</w:t>
      </w:r>
    </w:p>
    <w:p w14:paraId="68ADE4BC" w14:textId="77777777" w:rsidR="005534B7" w:rsidRDefault="005534B7">
      <w:pPr>
        <w:ind w:left="720"/>
        <w:rPr>
          <w:rFonts w:hint="cs"/>
          <w:sz w:val="26"/>
          <w:rtl/>
        </w:rPr>
      </w:pPr>
    </w:p>
    <w:p w14:paraId="722CE107" w14:textId="77777777" w:rsidR="005534B7" w:rsidRDefault="005534B7">
      <w:pPr>
        <w:ind w:left="720" w:hanging="720"/>
        <w:rPr>
          <w:rFonts w:hint="cs"/>
          <w:sz w:val="26"/>
          <w:rtl/>
        </w:rPr>
      </w:pPr>
      <w:r>
        <w:rPr>
          <w:rFonts w:hint="cs"/>
          <w:sz w:val="26"/>
          <w:rtl/>
        </w:rPr>
        <w:lastRenderedPageBreak/>
        <w:t>7.</w:t>
      </w:r>
      <w:r>
        <w:rPr>
          <w:rFonts w:hint="cs"/>
          <w:sz w:val="26"/>
          <w:rtl/>
        </w:rPr>
        <w:tab/>
        <w:t>מעשיו אינם קלי ערך ולא ניתן לראות בהם "זוטי דברים" נוכח העובדה שכפה עצמו על השתיים, אשר יכולות להיות נכדותיו, ונוכח הכוונה שהסתתרה אחר מעשיו.</w:t>
      </w:r>
    </w:p>
    <w:p w14:paraId="3EC1B67D" w14:textId="77777777" w:rsidR="005534B7" w:rsidRDefault="005534B7">
      <w:pPr>
        <w:ind w:left="720" w:hanging="720"/>
        <w:rPr>
          <w:rFonts w:hint="cs"/>
          <w:sz w:val="26"/>
          <w:rtl/>
        </w:rPr>
      </w:pPr>
    </w:p>
    <w:p w14:paraId="2882B772" w14:textId="77777777" w:rsidR="005534B7" w:rsidRDefault="005534B7">
      <w:pPr>
        <w:ind w:left="720" w:hanging="720"/>
        <w:rPr>
          <w:rFonts w:hint="cs"/>
          <w:sz w:val="26"/>
          <w:rtl/>
        </w:rPr>
      </w:pPr>
      <w:r>
        <w:rPr>
          <w:rFonts w:hint="cs"/>
          <w:sz w:val="26"/>
          <w:rtl/>
        </w:rPr>
        <w:t>8.</w:t>
      </w:r>
      <w:r>
        <w:rPr>
          <w:rFonts w:hint="cs"/>
          <w:sz w:val="26"/>
          <w:rtl/>
        </w:rPr>
        <w:tab/>
        <w:t xml:space="preserve">אשר על כן, הנני מרשיעה הנאשם בעבירות אשר יוחסו לו בכתב האישום, </w:t>
      </w:r>
      <w:r>
        <w:rPr>
          <w:rFonts w:hint="cs"/>
          <w:b/>
          <w:bCs/>
          <w:sz w:val="26"/>
          <w:rtl/>
        </w:rPr>
        <w:t>מעשה מגונה</w:t>
      </w:r>
      <w:r>
        <w:rPr>
          <w:rFonts w:hint="cs"/>
          <w:sz w:val="26"/>
          <w:rtl/>
        </w:rPr>
        <w:t xml:space="preserve">, בניגוד </w:t>
      </w:r>
      <w:hyperlink r:id="rId9" w:history="1">
        <w:r w:rsidR="00F21118" w:rsidRPr="00F21118">
          <w:rPr>
            <w:color w:val="0000FF"/>
            <w:sz w:val="26"/>
            <w:u w:val="single"/>
            <w:rtl/>
          </w:rPr>
          <w:t>לסעיף 348 (ג)</w:t>
        </w:r>
      </w:hyperlink>
      <w:r>
        <w:rPr>
          <w:rFonts w:hint="cs"/>
          <w:sz w:val="26"/>
          <w:rtl/>
        </w:rPr>
        <w:t xml:space="preserve"> ל</w:t>
      </w:r>
      <w:hyperlink r:id="rId10" w:history="1">
        <w:r w:rsidR="00487976" w:rsidRPr="00487976">
          <w:rPr>
            <w:rStyle w:val="Hyperlink"/>
            <w:rFonts w:hint="eastAsia"/>
            <w:sz w:val="26"/>
            <w:rtl/>
          </w:rPr>
          <w:t>חוק</w:t>
        </w:r>
        <w:r w:rsidR="00487976" w:rsidRPr="00487976">
          <w:rPr>
            <w:rStyle w:val="Hyperlink"/>
            <w:sz w:val="26"/>
            <w:rtl/>
          </w:rPr>
          <w:t xml:space="preserve"> העונשין</w:t>
        </w:r>
      </w:hyperlink>
      <w:r>
        <w:rPr>
          <w:rFonts w:hint="cs"/>
          <w:sz w:val="26"/>
          <w:rtl/>
        </w:rPr>
        <w:t xml:space="preserve">, התשל"ז - 1977 </w:t>
      </w:r>
      <w:r>
        <w:rPr>
          <w:rFonts w:hint="cs"/>
          <w:b/>
          <w:bCs/>
          <w:sz w:val="26"/>
          <w:rtl/>
        </w:rPr>
        <w:t>והפרת הוראה חוקית</w:t>
      </w:r>
      <w:r>
        <w:rPr>
          <w:rFonts w:hint="cs"/>
          <w:sz w:val="26"/>
          <w:rtl/>
        </w:rPr>
        <w:t xml:space="preserve">, בניגוד </w:t>
      </w:r>
      <w:hyperlink r:id="rId11" w:history="1">
        <w:r w:rsidR="00F21118" w:rsidRPr="00F21118">
          <w:rPr>
            <w:color w:val="0000FF"/>
            <w:sz w:val="26"/>
            <w:u w:val="single"/>
            <w:rtl/>
          </w:rPr>
          <w:t>לסעיף 287 (א)</w:t>
        </w:r>
      </w:hyperlink>
      <w:r>
        <w:rPr>
          <w:rFonts w:hint="cs"/>
          <w:sz w:val="26"/>
          <w:rtl/>
        </w:rPr>
        <w:t xml:space="preserve"> לחוק, עפ"י הודאתו.</w:t>
      </w:r>
    </w:p>
    <w:p w14:paraId="39C468AE" w14:textId="77777777" w:rsidR="005534B7" w:rsidRDefault="005534B7">
      <w:pPr>
        <w:jc w:val="center"/>
        <w:rPr>
          <w:rFonts w:hint="cs"/>
          <w:b/>
          <w:bCs/>
          <w:sz w:val="26"/>
          <w:u w:val="single"/>
          <w:rtl/>
        </w:rPr>
      </w:pPr>
      <w:bookmarkStart w:id="12" w:name="Decision1"/>
    </w:p>
    <w:p w14:paraId="3EF0B400" w14:textId="77777777" w:rsidR="005534B7" w:rsidRDefault="005534B7">
      <w:pPr>
        <w:pStyle w:val="Heading4"/>
        <w:rPr>
          <w:rFonts w:hint="cs"/>
          <w:sz w:val="26"/>
          <w:rtl/>
        </w:rPr>
      </w:pPr>
      <w:r>
        <w:rPr>
          <w:rFonts w:hint="cs"/>
          <w:sz w:val="26"/>
          <w:rtl/>
        </w:rPr>
        <w:t xml:space="preserve">ניתנה היום ח' בתשרי, תשס"ה (23 ספטמבר 2004) במעמד הצדדים. </w:t>
      </w:r>
    </w:p>
    <w:p w14:paraId="33364735" w14:textId="77777777" w:rsidR="005534B7" w:rsidRDefault="005534B7">
      <w:pPr>
        <w:pStyle w:val="Heading4"/>
        <w:rPr>
          <w:rFonts w:hint="cs"/>
          <w:sz w:val="26"/>
          <w:rtl/>
        </w:rPr>
      </w:pPr>
    </w:p>
    <w:tbl>
      <w:tblPr>
        <w:tblW w:w="0" w:type="auto"/>
        <w:tblInd w:w="5586" w:type="dxa"/>
        <w:tblBorders>
          <w:top w:val="single" w:sz="4" w:space="0" w:color="auto"/>
        </w:tblBorders>
        <w:tblLook w:val="0000" w:firstRow="0" w:lastRow="0" w:firstColumn="0" w:lastColumn="0" w:noHBand="0" w:noVBand="0"/>
      </w:tblPr>
      <w:tblGrid>
        <w:gridCol w:w="2936"/>
      </w:tblGrid>
      <w:tr w:rsidR="005534B7" w14:paraId="5F049225" w14:textId="77777777">
        <w:tc>
          <w:tcPr>
            <w:tcW w:w="2943" w:type="dxa"/>
            <w:tcBorders>
              <w:top w:val="single" w:sz="4" w:space="0" w:color="auto"/>
              <w:left w:val="nil"/>
              <w:bottom w:val="nil"/>
              <w:right w:val="nil"/>
            </w:tcBorders>
          </w:tcPr>
          <w:p w14:paraId="4456829D" w14:textId="77777777" w:rsidR="005534B7" w:rsidRDefault="005534B7">
            <w:pPr>
              <w:jc w:val="center"/>
              <w:rPr>
                <w:b/>
                <w:bCs/>
                <w:sz w:val="26"/>
                <w:rtl/>
              </w:rPr>
            </w:pPr>
            <w:r>
              <w:rPr>
                <w:rFonts w:hint="cs"/>
                <w:b/>
                <w:bCs/>
                <w:sz w:val="26"/>
                <w:rtl/>
              </w:rPr>
              <w:t>בן שלמה שירה, שופטת</w:t>
            </w:r>
          </w:p>
          <w:p w14:paraId="45DD8A04" w14:textId="77777777" w:rsidR="00F21118" w:rsidRDefault="00F21118">
            <w:pPr>
              <w:jc w:val="center"/>
              <w:rPr>
                <w:b/>
                <w:bCs/>
                <w:sz w:val="26"/>
              </w:rPr>
            </w:pPr>
          </w:p>
        </w:tc>
      </w:tr>
    </w:tbl>
    <w:bookmarkEnd w:id="12"/>
    <w:p w14:paraId="4D677559" w14:textId="77777777" w:rsidR="005534B7" w:rsidRDefault="005534B7">
      <w:pPr>
        <w:rPr>
          <w:rFonts w:hint="cs"/>
          <w:rtl/>
        </w:rPr>
      </w:pPr>
      <w:r>
        <w:rPr>
          <w:rtl/>
        </w:rPr>
        <w:t>נוסח מסמך זה כפוף לשינויי ניסוח ועריכה</w:t>
      </w:r>
    </w:p>
    <w:sectPr w:rsidR="005534B7">
      <w:headerReference w:type="even" r:id="rId12"/>
      <w:headerReference w:type="default" r:id="rId13"/>
      <w:footerReference w:type="even" r:id="rId14"/>
      <w:footerReference w:type="default" r:id="rId1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20615" w14:textId="77777777" w:rsidR="0078453C" w:rsidRPr="0084324B" w:rsidRDefault="0078453C">
      <w:pPr>
        <w:rPr>
          <w:rFonts w:cs="Times New Roman"/>
        </w:rPr>
      </w:pPr>
      <w:r>
        <w:separator/>
      </w:r>
    </w:p>
  </w:endnote>
  <w:endnote w:type="continuationSeparator" w:id="0">
    <w:p w14:paraId="0AB93D16" w14:textId="77777777" w:rsidR="0078453C" w:rsidRPr="0084324B" w:rsidRDefault="0078453C">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AE4A" w14:textId="77777777" w:rsidR="000433EC" w:rsidRDefault="000433E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w:t>
    </w:r>
    <w:r>
      <w:rPr>
        <w:rFonts w:hAnsi="FrankRuehl" w:cs="FrankRuehl"/>
        <w:sz w:val="24"/>
        <w:rtl/>
      </w:rPr>
      <w:fldChar w:fldCharType="end"/>
    </w:r>
  </w:p>
  <w:p w14:paraId="6B622C57" w14:textId="77777777" w:rsidR="000433EC" w:rsidRDefault="000433E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4BEF2E" w14:textId="77777777" w:rsidR="000433EC" w:rsidRDefault="000433E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M:\00000000\04-09-24\ps-all\2004-09-23 - 518 files\05-anat\OutDoc\s04002129-302.doc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E44B" w14:textId="77777777" w:rsidR="000433EC" w:rsidRDefault="000433E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57DDD">
      <w:rPr>
        <w:rFonts w:hAnsi="FrankRuehl" w:cs="FrankRuehl"/>
        <w:noProof/>
        <w:sz w:val="24"/>
        <w:rtl/>
      </w:rPr>
      <w:t>1</w:t>
    </w:r>
    <w:r>
      <w:rPr>
        <w:rFonts w:hAnsi="FrankRuehl" w:cs="FrankRuehl"/>
        <w:sz w:val="24"/>
        <w:rtl/>
      </w:rPr>
      <w:fldChar w:fldCharType="end"/>
    </w:r>
  </w:p>
  <w:p w14:paraId="340FDD4D" w14:textId="77777777" w:rsidR="000433EC" w:rsidRDefault="000433E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A99475" w14:textId="77777777" w:rsidR="000433EC" w:rsidRDefault="000433E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M:\00000000\04-09-24\ps-all\2004-09-23 - 518 files\05-anat\OutDoc\s04002129-302.doc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C45B" w14:textId="77777777" w:rsidR="0078453C" w:rsidRPr="0084324B" w:rsidRDefault="0078453C">
      <w:pPr>
        <w:rPr>
          <w:rFonts w:cs="Times New Roman"/>
        </w:rPr>
      </w:pPr>
      <w:r>
        <w:separator/>
      </w:r>
    </w:p>
  </w:footnote>
  <w:footnote w:type="continuationSeparator" w:id="0">
    <w:p w14:paraId="4BA0086E" w14:textId="77777777" w:rsidR="0078453C" w:rsidRPr="0084324B" w:rsidRDefault="0078453C">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1D58" w14:textId="77777777" w:rsidR="000433EC" w:rsidRDefault="000433EC">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2129/04</w:t>
    </w:r>
    <w:r>
      <w:rPr>
        <w:rFonts w:hAnsi="David"/>
        <w:color w:val="000000"/>
        <w:szCs w:val="22"/>
        <w:rtl/>
      </w:rPr>
      <w:tab/>
      <w:t xml:space="preserve"> מדינת ישראל נ' נתנאל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99B54" w14:textId="77777777" w:rsidR="000433EC" w:rsidRDefault="000433EC">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2129/04</w:t>
    </w:r>
    <w:r>
      <w:rPr>
        <w:rFonts w:hAnsi="David"/>
        <w:color w:val="000000"/>
        <w:szCs w:val="22"/>
        <w:rtl/>
      </w:rPr>
      <w:tab/>
      <w:t xml:space="preserve"> מדינת ישראל נ' נתנאל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534B7"/>
    <w:rsid w:val="000433EC"/>
    <w:rsid w:val="000C4A1A"/>
    <w:rsid w:val="00487976"/>
    <w:rsid w:val="005534B7"/>
    <w:rsid w:val="0078453C"/>
    <w:rsid w:val="00D57DDD"/>
    <w:rsid w:val="00DC2D7A"/>
    <w:rsid w:val="00F211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30A997"/>
  <w15:chartTrackingRefBased/>
  <w15:docId w15:val="{B8E4B053-3082-43BE-AFC6-B1E8918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8">
    <w:name w:val="heading 8"/>
    <w:basedOn w:val="Normal"/>
    <w:next w:val="Normal"/>
    <w:qFormat/>
    <w:pPr>
      <w:keepNext/>
      <w:outlineLvl w:val="7"/>
    </w:pPr>
    <w:rPr>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487976"/>
    <w:rPr>
      <w:color w:val="0000FF"/>
      <w:u w:val="single"/>
    </w:rPr>
  </w:style>
  <w:style w:type="character" w:customStyle="1" w:styleId="a2">
    <w:name w:val="אזכור לא מזוהה"/>
    <w:uiPriority w:val="99"/>
    <w:semiHidden/>
    <w:unhideWhenUsed/>
    <w:rsid w:val="00F211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287.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87.a"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694</Words>
  <Characters>3962</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4647</CharactersWithSpaces>
  <SharedDoc>false</SharedDoc>
  <HLinks>
    <vt:vector size="36" baseType="variant">
      <vt:variant>
        <vt:i4>4390992</vt:i4>
      </vt:variant>
      <vt:variant>
        <vt:i4>15</vt:i4>
      </vt:variant>
      <vt:variant>
        <vt:i4>0</vt:i4>
      </vt:variant>
      <vt:variant>
        <vt:i4>5</vt:i4>
      </vt:variant>
      <vt:variant>
        <vt:lpwstr>http://www.nevo.co.il/law/70301/287.a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4390992</vt:i4>
      </vt:variant>
      <vt:variant>
        <vt:i4>3</vt:i4>
      </vt:variant>
      <vt:variant>
        <vt:i4>0</vt:i4>
      </vt:variant>
      <vt:variant>
        <vt:i4>5</vt:i4>
      </vt:variant>
      <vt:variant>
        <vt:lpwstr>http://www.nevo.co.il/law/70301/287.a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2004-09-20T07:38:00Z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2129</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נתנאל חיים</vt:lpwstr>
  </property>
  <property fmtid="{D5CDD505-2E9C-101B-9397-08002B2CF9AE}" pid="9" name="LAWYER">
    <vt:lpwstr>גרינברג ליס;פינקלמן יעל</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20040923</vt:lpwstr>
  </property>
  <property fmtid="{D5CDD505-2E9C-101B-9397-08002B2CF9AE}" pid="13" name="WORDNUMPAGES">
    <vt:lpwstr>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70301/348.c;287.a</vt:lpwstr>
  </property>
</Properties>
</file>