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8732" w:type="dxa"/>
        <w:tblInd w:w="-85" w:type="dxa"/>
        <w:tblCellMar>
          <w:left w:w="107" w:type="dxa"/>
          <w:right w:w="107" w:type="dxa"/>
        </w:tblCellMar>
        <w:tblLook w:val="0000" w:firstRow="0" w:lastRow="0" w:firstColumn="0" w:lastColumn="0" w:noHBand="0" w:noVBand="0"/>
      </w:tblPr>
      <w:tblGrid>
        <w:gridCol w:w="1503"/>
        <w:gridCol w:w="1757"/>
        <w:gridCol w:w="3063"/>
        <w:gridCol w:w="2409"/>
      </w:tblGrid>
      <w:tr w:rsidR="000B6447" w14:paraId="46E41CC7" w14:textId="77777777">
        <w:tc>
          <w:tcPr>
            <w:tcW w:w="1503" w:type="dxa"/>
          </w:tcPr>
          <w:p w14:paraId="2F9A5CE5" w14:textId="77777777" w:rsidR="000B6447" w:rsidRDefault="000B6447">
            <w:pPr>
              <w:rPr>
                <w:rFonts w:ascii="Arial" w:hAnsi="Arial" w:cs="Arial"/>
                <w:b/>
                <w:bCs/>
                <w:szCs w:val="26"/>
              </w:rPr>
            </w:pPr>
            <w:bookmarkStart w:id="0" w:name="FirstAppellant"/>
            <w:r>
              <w:rPr>
                <w:rFonts w:ascii="Arial" w:hAnsi="Arial" w:cs="Arial"/>
                <w:b/>
                <w:bCs/>
                <w:rtl/>
              </w:rPr>
              <w:t>בעניין:</w:t>
            </w:r>
          </w:p>
        </w:tc>
        <w:tc>
          <w:tcPr>
            <w:tcW w:w="4820" w:type="dxa"/>
            <w:gridSpan w:val="2"/>
          </w:tcPr>
          <w:p w14:paraId="4FEA953B" w14:textId="77777777" w:rsidR="000B6447" w:rsidRDefault="000B6447">
            <w:pPr>
              <w:rPr>
                <w:rFonts w:ascii="Arial" w:hAnsi="Arial" w:cs="Arial"/>
                <w:b/>
                <w:bCs/>
              </w:rPr>
            </w:pPr>
            <w:r>
              <w:rPr>
                <w:rFonts w:ascii="Arial" w:hAnsi="Arial" w:cs="Arial"/>
                <w:b/>
                <w:bCs/>
                <w:rtl/>
              </w:rPr>
              <w:t xml:space="preserve">מדינת ישראל </w:t>
            </w:r>
          </w:p>
        </w:tc>
        <w:tc>
          <w:tcPr>
            <w:tcW w:w="2409" w:type="dxa"/>
          </w:tcPr>
          <w:p w14:paraId="756BE2AE" w14:textId="77777777" w:rsidR="000B6447" w:rsidRDefault="000B6447">
            <w:pPr>
              <w:rPr>
                <w:rFonts w:ascii="Arial" w:hAnsi="Arial" w:cs="Arial"/>
                <w:b/>
                <w:bCs/>
              </w:rPr>
            </w:pPr>
          </w:p>
        </w:tc>
      </w:tr>
      <w:tr w:rsidR="000B6447" w14:paraId="15F2AA6E" w14:textId="77777777">
        <w:tc>
          <w:tcPr>
            <w:tcW w:w="1503" w:type="dxa"/>
          </w:tcPr>
          <w:p w14:paraId="3830E9F7" w14:textId="77777777" w:rsidR="000B6447" w:rsidRDefault="000B6447">
            <w:pPr>
              <w:pStyle w:val="Heading5"/>
              <w:rPr>
                <w:u w:val="none"/>
              </w:rPr>
            </w:pPr>
            <w:bookmarkStart w:id="1" w:name="בא_כוח_א" w:colFirst="2" w:colLast="2"/>
            <w:bookmarkEnd w:id="0"/>
          </w:p>
        </w:tc>
        <w:tc>
          <w:tcPr>
            <w:tcW w:w="1757" w:type="dxa"/>
          </w:tcPr>
          <w:p w14:paraId="478C833E" w14:textId="77777777" w:rsidR="000B6447" w:rsidRDefault="000B6447">
            <w:pPr>
              <w:rPr>
                <w:rFonts w:ascii="Arial" w:hAnsi="Arial" w:cs="Arial"/>
                <w:b/>
                <w:bCs/>
              </w:rPr>
            </w:pPr>
            <w:r>
              <w:rPr>
                <w:rFonts w:ascii="Arial" w:hAnsi="Arial" w:cs="Arial"/>
                <w:b/>
                <w:bCs/>
                <w:rtl/>
              </w:rPr>
              <w:t xml:space="preserve"> </w:t>
            </w:r>
          </w:p>
        </w:tc>
        <w:tc>
          <w:tcPr>
            <w:tcW w:w="3063" w:type="dxa"/>
          </w:tcPr>
          <w:p w14:paraId="7493CB8B" w14:textId="77777777" w:rsidR="000B6447" w:rsidRDefault="000B6447">
            <w:pPr>
              <w:rPr>
                <w:rFonts w:ascii="Arial" w:hAnsi="Arial" w:cs="Arial"/>
                <w:b/>
                <w:bCs/>
              </w:rPr>
            </w:pPr>
          </w:p>
        </w:tc>
        <w:tc>
          <w:tcPr>
            <w:tcW w:w="2409" w:type="dxa"/>
          </w:tcPr>
          <w:p w14:paraId="64F49485" w14:textId="77777777" w:rsidR="000B6447" w:rsidRDefault="000B6447">
            <w:pPr>
              <w:pStyle w:val="Heading4"/>
              <w:rPr>
                <w:rFonts w:ascii="Arial" w:hAnsi="Arial" w:cs="Arial"/>
                <w:u w:val="none"/>
              </w:rPr>
            </w:pPr>
            <w:r>
              <w:rPr>
                <w:rFonts w:ascii="Arial" w:hAnsi="Arial" w:cs="Arial"/>
                <w:u w:val="none"/>
                <w:rtl/>
              </w:rPr>
              <w:t>המאשימה</w:t>
            </w:r>
          </w:p>
        </w:tc>
      </w:tr>
      <w:bookmarkEnd w:id="1"/>
      <w:tr w:rsidR="000B6447" w14:paraId="7090B46D" w14:textId="77777777">
        <w:tc>
          <w:tcPr>
            <w:tcW w:w="1503" w:type="dxa"/>
          </w:tcPr>
          <w:p w14:paraId="1980F7F5" w14:textId="77777777" w:rsidR="000B6447" w:rsidRDefault="000B6447">
            <w:pPr>
              <w:rPr>
                <w:rFonts w:ascii="Arial" w:hAnsi="Arial" w:cs="Arial"/>
                <w:b/>
                <w:bCs/>
              </w:rPr>
            </w:pPr>
          </w:p>
        </w:tc>
        <w:tc>
          <w:tcPr>
            <w:tcW w:w="4820" w:type="dxa"/>
            <w:gridSpan w:val="2"/>
          </w:tcPr>
          <w:p w14:paraId="03B53C1D" w14:textId="77777777" w:rsidR="000B6447" w:rsidRDefault="000B6447">
            <w:pPr>
              <w:jc w:val="center"/>
              <w:rPr>
                <w:rFonts w:ascii="Arial" w:hAnsi="Arial" w:cs="Arial"/>
                <w:b/>
                <w:bCs/>
              </w:rPr>
            </w:pPr>
            <w:r>
              <w:rPr>
                <w:rFonts w:ascii="Arial" w:hAnsi="Arial" w:cs="Arial"/>
                <w:b/>
                <w:bCs/>
                <w:rtl/>
              </w:rPr>
              <w:t>נ ג ד</w:t>
            </w:r>
          </w:p>
        </w:tc>
        <w:tc>
          <w:tcPr>
            <w:tcW w:w="2409" w:type="dxa"/>
          </w:tcPr>
          <w:p w14:paraId="5ACFCA4C" w14:textId="77777777" w:rsidR="000B6447" w:rsidRDefault="000B6447">
            <w:pPr>
              <w:rPr>
                <w:rFonts w:ascii="Arial" w:hAnsi="Arial" w:cs="Arial"/>
                <w:b/>
                <w:bCs/>
              </w:rPr>
            </w:pPr>
          </w:p>
        </w:tc>
      </w:tr>
      <w:tr w:rsidR="000B6447" w14:paraId="42E9038E" w14:textId="77777777">
        <w:tc>
          <w:tcPr>
            <w:tcW w:w="1503" w:type="dxa"/>
          </w:tcPr>
          <w:p w14:paraId="7A66AC3C" w14:textId="77777777" w:rsidR="000B6447" w:rsidRDefault="000B6447">
            <w:pPr>
              <w:rPr>
                <w:rFonts w:ascii="Arial" w:hAnsi="Arial" w:cs="Arial"/>
                <w:b/>
                <w:bCs/>
                <w:szCs w:val="26"/>
              </w:rPr>
            </w:pPr>
          </w:p>
        </w:tc>
        <w:tc>
          <w:tcPr>
            <w:tcW w:w="4820" w:type="dxa"/>
            <w:gridSpan w:val="2"/>
          </w:tcPr>
          <w:p w14:paraId="4FEA76B4" w14:textId="77777777" w:rsidR="000B6447" w:rsidRDefault="000B6447">
            <w:pPr>
              <w:rPr>
                <w:rFonts w:ascii="Arial" w:hAnsi="Arial" w:cs="Arial"/>
                <w:b/>
                <w:bCs/>
              </w:rPr>
            </w:pPr>
            <w:r>
              <w:rPr>
                <w:rFonts w:ascii="Arial" w:hAnsi="Arial" w:cs="Arial"/>
                <w:b/>
                <w:bCs/>
                <w:rtl/>
              </w:rPr>
              <w:t>לוביטין חיים</w:t>
            </w:r>
          </w:p>
        </w:tc>
        <w:tc>
          <w:tcPr>
            <w:tcW w:w="2409" w:type="dxa"/>
          </w:tcPr>
          <w:p w14:paraId="70D8A96F" w14:textId="77777777" w:rsidR="000B6447" w:rsidRDefault="000B6447">
            <w:pPr>
              <w:rPr>
                <w:rFonts w:ascii="Arial" w:hAnsi="Arial" w:cs="Arial"/>
                <w:b/>
                <w:bCs/>
              </w:rPr>
            </w:pPr>
          </w:p>
        </w:tc>
      </w:tr>
      <w:tr w:rsidR="000B6447" w14:paraId="679ECCD9" w14:textId="77777777">
        <w:tc>
          <w:tcPr>
            <w:tcW w:w="1503" w:type="dxa"/>
          </w:tcPr>
          <w:p w14:paraId="003A3EB9" w14:textId="77777777" w:rsidR="000B6447" w:rsidRDefault="000B6447">
            <w:pPr>
              <w:rPr>
                <w:rFonts w:ascii="Arial" w:hAnsi="Arial" w:cs="Arial"/>
                <w:b/>
                <w:bCs/>
                <w:szCs w:val="26"/>
              </w:rPr>
            </w:pPr>
          </w:p>
        </w:tc>
        <w:tc>
          <w:tcPr>
            <w:tcW w:w="1757" w:type="dxa"/>
          </w:tcPr>
          <w:p w14:paraId="5584F468" w14:textId="77777777" w:rsidR="000B6447" w:rsidRDefault="000B6447">
            <w:pPr>
              <w:rPr>
                <w:rFonts w:ascii="Arial" w:hAnsi="Arial" w:cs="Arial"/>
                <w:b/>
                <w:bCs/>
              </w:rPr>
            </w:pPr>
            <w:r>
              <w:rPr>
                <w:rFonts w:ascii="Arial" w:hAnsi="Arial" w:cs="Arial"/>
                <w:b/>
                <w:bCs/>
                <w:rtl/>
              </w:rPr>
              <w:t xml:space="preserve"> </w:t>
            </w:r>
          </w:p>
        </w:tc>
        <w:tc>
          <w:tcPr>
            <w:tcW w:w="3063" w:type="dxa"/>
          </w:tcPr>
          <w:p w14:paraId="68A11245" w14:textId="77777777" w:rsidR="000B6447" w:rsidRDefault="000B6447">
            <w:pPr>
              <w:rPr>
                <w:rFonts w:ascii="Arial" w:hAnsi="Arial" w:cs="Arial"/>
                <w:b/>
                <w:bCs/>
              </w:rPr>
            </w:pPr>
          </w:p>
        </w:tc>
        <w:tc>
          <w:tcPr>
            <w:tcW w:w="2409" w:type="dxa"/>
          </w:tcPr>
          <w:p w14:paraId="0646DD27" w14:textId="77777777" w:rsidR="000B6447" w:rsidRDefault="000B6447">
            <w:pPr>
              <w:pStyle w:val="Heading7"/>
              <w:rPr>
                <w:u w:val="none"/>
              </w:rPr>
            </w:pPr>
            <w:r>
              <w:rPr>
                <w:rFonts w:hint="cs"/>
                <w:u w:val="none"/>
                <w:rtl/>
              </w:rPr>
              <w:t>הנאשם</w:t>
            </w:r>
          </w:p>
        </w:tc>
      </w:tr>
    </w:tbl>
    <w:p w14:paraId="52259D10" w14:textId="77777777" w:rsidR="000B6447" w:rsidRDefault="000B6447">
      <w:pPr>
        <w:rPr>
          <w:rFonts w:ascii="Arial" w:hAnsi="Arial" w:cs="Arial"/>
          <w:rtl/>
        </w:rPr>
      </w:pPr>
      <w:r>
        <w:rPr>
          <w:rFonts w:ascii="Arial" w:hAnsi="Arial" w:cs="Arial"/>
          <w:rtl/>
        </w:rPr>
        <w:tab/>
      </w:r>
    </w:p>
    <w:tbl>
      <w:tblPr>
        <w:bidiVisual/>
        <w:tblW w:w="8562" w:type="dxa"/>
        <w:tblCellMar>
          <w:left w:w="107" w:type="dxa"/>
          <w:right w:w="107" w:type="dxa"/>
        </w:tblCellMar>
        <w:tblLook w:val="0000" w:firstRow="0" w:lastRow="0" w:firstColumn="0" w:lastColumn="0" w:noHBand="0" w:noVBand="0"/>
      </w:tblPr>
      <w:tblGrid>
        <w:gridCol w:w="1332"/>
        <w:gridCol w:w="7230"/>
      </w:tblGrid>
      <w:tr w:rsidR="000B6447" w14:paraId="4C66CC4B" w14:textId="77777777">
        <w:tc>
          <w:tcPr>
            <w:tcW w:w="1332" w:type="dxa"/>
          </w:tcPr>
          <w:p w14:paraId="08074ECD" w14:textId="77777777" w:rsidR="000B6447" w:rsidRDefault="000B6447">
            <w:pPr>
              <w:rPr>
                <w:rFonts w:ascii="Arial" w:hAnsi="Arial" w:cs="Arial"/>
                <w:b/>
                <w:bCs/>
                <w:szCs w:val="26"/>
              </w:rPr>
            </w:pPr>
            <w:bookmarkStart w:id="2" w:name="FirstLawyer"/>
            <w:r>
              <w:rPr>
                <w:rFonts w:ascii="Arial" w:hAnsi="Arial" w:cs="Arial"/>
                <w:b/>
                <w:bCs/>
                <w:szCs w:val="26"/>
                <w:rtl/>
              </w:rPr>
              <w:t>נוכחים:</w:t>
            </w:r>
          </w:p>
        </w:tc>
        <w:tc>
          <w:tcPr>
            <w:tcW w:w="7230" w:type="dxa"/>
          </w:tcPr>
          <w:p w14:paraId="1B66B5BD" w14:textId="77777777" w:rsidR="000B6447" w:rsidRDefault="000B6447">
            <w:pPr>
              <w:rPr>
                <w:rFonts w:ascii="Arial" w:hAnsi="Arial" w:cs="Arial"/>
                <w:b/>
                <w:bCs/>
              </w:rPr>
            </w:pPr>
            <w:r>
              <w:rPr>
                <w:rFonts w:ascii="Arial" w:hAnsi="Arial" w:cs="Arial"/>
                <w:b/>
                <w:bCs/>
                <w:rtl/>
              </w:rPr>
              <w:t xml:space="preserve">ב"כ המאשימה – עו"ד נהרי </w:t>
            </w:r>
          </w:p>
          <w:p w14:paraId="4E56CE07" w14:textId="77777777" w:rsidR="000B6447" w:rsidRDefault="000B6447">
            <w:pPr>
              <w:rPr>
                <w:rFonts w:ascii="Arial" w:hAnsi="Arial" w:cs="Arial"/>
                <w:b/>
                <w:bCs/>
                <w:rtl/>
              </w:rPr>
            </w:pPr>
            <w:r>
              <w:rPr>
                <w:rFonts w:ascii="Arial" w:hAnsi="Arial" w:cs="Arial"/>
                <w:b/>
                <w:bCs/>
                <w:rtl/>
              </w:rPr>
              <w:t>ב"כ הנאשם – עו"ד חוה אליהו</w:t>
            </w:r>
          </w:p>
          <w:p w14:paraId="732ACF7C" w14:textId="77777777" w:rsidR="000B6447" w:rsidRDefault="000B6447">
            <w:pPr>
              <w:rPr>
                <w:rFonts w:ascii="Arial" w:hAnsi="Arial" w:cs="Arial"/>
                <w:b/>
                <w:bCs/>
              </w:rPr>
            </w:pPr>
            <w:r>
              <w:rPr>
                <w:rFonts w:ascii="Arial" w:hAnsi="Arial" w:cs="Arial"/>
                <w:b/>
                <w:bCs/>
                <w:rtl/>
              </w:rPr>
              <w:t xml:space="preserve">הנאשם – בעצמו </w:t>
            </w:r>
          </w:p>
        </w:tc>
      </w:tr>
    </w:tbl>
    <w:p w14:paraId="1EB84A04" w14:textId="77777777" w:rsidR="00BD52B0" w:rsidRDefault="00BD52B0">
      <w:pPr>
        <w:jc w:val="center"/>
        <w:rPr>
          <w:rFonts w:ascii="Arial" w:hAnsi="Arial" w:cs="Arial"/>
          <w:sz w:val="30"/>
          <w:szCs w:val="30"/>
          <w:rtl/>
        </w:rPr>
      </w:pPr>
      <w:bookmarkStart w:id="3" w:name="סוג_מסמך"/>
      <w:bookmarkStart w:id="4" w:name="LawTable"/>
      <w:bookmarkEnd w:id="2"/>
      <w:bookmarkEnd w:id="3"/>
      <w:bookmarkEnd w:id="4"/>
    </w:p>
    <w:p w14:paraId="1EFC3D18" w14:textId="77777777" w:rsidR="00BD52B0" w:rsidRPr="00BD52B0" w:rsidRDefault="00BD52B0" w:rsidP="00BD52B0">
      <w:pPr>
        <w:spacing w:after="120" w:line="240" w:lineRule="exact"/>
        <w:ind w:left="283" w:hanging="283"/>
        <w:rPr>
          <w:rFonts w:ascii="FrankRuehl" w:hAnsi="FrankRuehl" w:cs="FrankRuehl"/>
          <w:sz w:val="24"/>
          <w:rtl/>
        </w:rPr>
      </w:pPr>
    </w:p>
    <w:p w14:paraId="4DC079B1" w14:textId="77777777" w:rsidR="00BD52B0" w:rsidRPr="00BD52B0" w:rsidRDefault="00BD52B0" w:rsidP="00BD52B0">
      <w:pPr>
        <w:spacing w:after="120" w:line="240" w:lineRule="exact"/>
        <w:ind w:left="283" w:hanging="283"/>
        <w:rPr>
          <w:rFonts w:ascii="FrankRuehl" w:hAnsi="FrankRuehl" w:cs="FrankRuehl"/>
          <w:sz w:val="24"/>
          <w:rtl/>
        </w:rPr>
      </w:pPr>
      <w:r w:rsidRPr="00BD52B0">
        <w:rPr>
          <w:rFonts w:ascii="FrankRuehl" w:hAnsi="FrankRuehl" w:cs="FrankRuehl"/>
          <w:sz w:val="24"/>
          <w:rtl/>
        </w:rPr>
        <w:t xml:space="preserve">חקיקה שאוזכרה: </w:t>
      </w:r>
    </w:p>
    <w:p w14:paraId="6C094913" w14:textId="77777777" w:rsidR="00BD52B0" w:rsidRPr="00BD52B0" w:rsidRDefault="00BD52B0" w:rsidP="00BD52B0">
      <w:pPr>
        <w:spacing w:after="120" w:line="240" w:lineRule="exact"/>
        <w:ind w:left="283" w:hanging="283"/>
        <w:rPr>
          <w:rFonts w:ascii="FrankRuehl" w:hAnsi="FrankRuehl" w:cs="FrankRuehl"/>
          <w:sz w:val="24"/>
          <w:rtl/>
        </w:rPr>
      </w:pPr>
      <w:hyperlink r:id="rId6" w:history="1">
        <w:r w:rsidRPr="00BD52B0">
          <w:rPr>
            <w:rFonts w:ascii="FrankRuehl" w:hAnsi="FrankRuehl" w:cs="FrankRuehl"/>
            <w:color w:val="0000FF"/>
            <w:sz w:val="24"/>
            <w:u w:val="single"/>
            <w:rtl/>
          </w:rPr>
          <w:t>חוק העונשין, תשל"ז-1977</w:t>
        </w:r>
      </w:hyperlink>
      <w:r w:rsidRPr="00BD52B0">
        <w:rPr>
          <w:rFonts w:ascii="FrankRuehl" w:hAnsi="FrankRuehl" w:cs="FrankRuehl"/>
          <w:sz w:val="24"/>
          <w:rtl/>
        </w:rPr>
        <w:t xml:space="preserve">: סע'  </w:t>
      </w:r>
      <w:hyperlink r:id="rId7" w:history="1">
        <w:r w:rsidRPr="00BD52B0">
          <w:rPr>
            <w:rFonts w:ascii="FrankRuehl" w:hAnsi="FrankRuehl" w:cs="FrankRuehl"/>
            <w:color w:val="0000FF"/>
            <w:sz w:val="24"/>
            <w:u w:val="single"/>
            <w:rtl/>
          </w:rPr>
          <w:t>349 (א)</w:t>
        </w:r>
      </w:hyperlink>
      <w:r w:rsidRPr="00BD52B0">
        <w:rPr>
          <w:rFonts w:ascii="FrankRuehl" w:hAnsi="FrankRuehl" w:cs="FrankRuehl"/>
          <w:sz w:val="24"/>
          <w:rtl/>
        </w:rPr>
        <w:t xml:space="preserve">, </w:t>
      </w:r>
      <w:hyperlink r:id="rId8" w:history="1">
        <w:r w:rsidRPr="00BD52B0">
          <w:rPr>
            <w:rFonts w:ascii="FrankRuehl" w:hAnsi="FrankRuehl" w:cs="FrankRuehl"/>
            <w:color w:val="0000FF"/>
            <w:sz w:val="24"/>
            <w:u w:val="single"/>
            <w:rtl/>
          </w:rPr>
          <w:t>34 כד</w:t>
        </w:r>
      </w:hyperlink>
    </w:p>
    <w:p w14:paraId="3B454C92" w14:textId="77777777" w:rsidR="00BD52B0" w:rsidRPr="00BD52B0" w:rsidRDefault="00BD52B0" w:rsidP="00BD52B0">
      <w:pPr>
        <w:spacing w:after="120" w:line="240" w:lineRule="exact"/>
        <w:ind w:left="283" w:hanging="283"/>
        <w:rPr>
          <w:rFonts w:ascii="FrankRuehl" w:hAnsi="FrankRuehl" w:cs="FrankRuehl"/>
          <w:sz w:val="24"/>
          <w:rtl/>
        </w:rPr>
      </w:pPr>
    </w:p>
    <w:p w14:paraId="6C9761D1" w14:textId="77777777" w:rsidR="00BD52B0" w:rsidRPr="00BD52B0" w:rsidRDefault="00BD52B0">
      <w:pPr>
        <w:jc w:val="center"/>
        <w:rPr>
          <w:rFonts w:ascii="Arial" w:hAnsi="Arial" w:cs="Arial"/>
          <w:sz w:val="30"/>
          <w:szCs w:val="30"/>
          <w:rtl/>
        </w:rPr>
      </w:pPr>
      <w:bookmarkStart w:id="5" w:name="LawTable_End"/>
      <w:bookmarkEnd w:id="5"/>
    </w:p>
    <w:p w14:paraId="06907488" w14:textId="77777777" w:rsidR="000B0327" w:rsidRPr="000B0327" w:rsidRDefault="000B0327">
      <w:pPr>
        <w:jc w:val="center"/>
        <w:rPr>
          <w:rFonts w:ascii="Arial" w:hAnsi="Arial" w:cs="Arial"/>
          <w:sz w:val="30"/>
          <w:szCs w:val="30"/>
          <w:rtl/>
        </w:rPr>
      </w:pPr>
    </w:p>
    <w:p w14:paraId="6ED34491" w14:textId="77777777" w:rsidR="000B0327" w:rsidRPr="000B0327" w:rsidRDefault="000B0327">
      <w:pPr>
        <w:jc w:val="center"/>
        <w:rPr>
          <w:rFonts w:ascii="Arial" w:hAnsi="Arial" w:cs="Arial"/>
          <w:b/>
          <w:bCs/>
          <w:sz w:val="30"/>
          <w:szCs w:val="30"/>
          <w:rtl/>
        </w:rPr>
      </w:pPr>
    </w:p>
    <w:p w14:paraId="39FA7399" w14:textId="77777777" w:rsidR="000B6447" w:rsidRPr="000B0327" w:rsidRDefault="000B6447">
      <w:pPr>
        <w:jc w:val="center"/>
        <w:rPr>
          <w:rFonts w:ascii="Arial" w:hAnsi="Arial" w:cs="Arial"/>
          <w:b/>
          <w:bCs/>
          <w:sz w:val="30"/>
          <w:szCs w:val="30"/>
          <w:rtl/>
        </w:rPr>
      </w:pPr>
    </w:p>
    <w:p w14:paraId="58319769" w14:textId="77777777" w:rsidR="000B6447" w:rsidRDefault="000B6447">
      <w:pPr>
        <w:jc w:val="center"/>
        <w:rPr>
          <w:rFonts w:ascii="Arial" w:hAnsi="Arial" w:cs="Arial"/>
          <w:b/>
          <w:bCs/>
          <w:sz w:val="30"/>
          <w:szCs w:val="30"/>
          <w:u w:val="single"/>
          <w:rtl/>
        </w:rPr>
      </w:pPr>
      <w:bookmarkStart w:id="6" w:name="PsakDin"/>
      <w:r>
        <w:rPr>
          <w:rFonts w:ascii="Arial" w:hAnsi="Arial" w:cs="Arial"/>
          <w:b/>
          <w:bCs/>
          <w:sz w:val="30"/>
          <w:szCs w:val="30"/>
          <w:u w:val="single"/>
          <w:rtl/>
        </w:rPr>
        <w:t>הכרעת דין</w:t>
      </w:r>
    </w:p>
    <w:bookmarkEnd w:id="6"/>
    <w:p w14:paraId="018A8764" w14:textId="77777777" w:rsidR="000B6447" w:rsidRDefault="000B6447">
      <w:pPr>
        <w:jc w:val="center"/>
        <w:rPr>
          <w:rFonts w:ascii="Arial" w:hAnsi="Arial" w:cs="Arial"/>
          <w:rtl/>
        </w:rPr>
      </w:pPr>
    </w:p>
    <w:p w14:paraId="3A78BE8D" w14:textId="77777777" w:rsidR="000B6447" w:rsidRDefault="000B6447">
      <w:pPr>
        <w:ind w:left="720" w:hanging="720"/>
        <w:rPr>
          <w:rtl/>
        </w:rPr>
      </w:pPr>
      <w:r>
        <w:rPr>
          <w:rFonts w:hint="cs"/>
          <w:rtl/>
        </w:rPr>
        <w:t>1.</w:t>
      </w:r>
      <w:r>
        <w:rPr>
          <w:rFonts w:hint="cs"/>
          <w:rtl/>
        </w:rPr>
        <w:tab/>
      </w:r>
      <w:bookmarkStart w:id="7" w:name="ABSTRACT_START"/>
      <w:bookmarkEnd w:id="7"/>
      <w:r>
        <w:rPr>
          <w:rFonts w:hint="cs"/>
          <w:rtl/>
        </w:rPr>
        <w:t>הנאשם, חיים לובטין, עומד לדין על כך שביום 3.6.03 בפתח ביתו שברחוב האורנים 6 ברינתיה, עשה מעשה מגונה בפומבי</w:t>
      </w:r>
      <w:bookmarkStart w:id="8" w:name="ABSTRACT_END"/>
      <w:bookmarkEnd w:id="8"/>
      <w:r>
        <w:rPr>
          <w:rFonts w:hint="cs"/>
          <w:rtl/>
        </w:rPr>
        <w:t>, בפני סנדרה בן צור, בכך שחשף את איבר מינו ואונן בפניה ללא הסכמתה ולשם ביזוי, סיפוק או גירוי מיני.</w:t>
      </w:r>
    </w:p>
    <w:p w14:paraId="4532FC0B" w14:textId="77777777" w:rsidR="000B6447" w:rsidRDefault="000B6447">
      <w:pPr>
        <w:ind w:left="720" w:hanging="720"/>
        <w:rPr>
          <w:rFonts w:hint="cs"/>
          <w:rtl/>
        </w:rPr>
      </w:pPr>
    </w:p>
    <w:p w14:paraId="4FFC089D" w14:textId="77777777" w:rsidR="000B6447" w:rsidRDefault="000B6447">
      <w:pPr>
        <w:ind w:left="720" w:hanging="720"/>
        <w:rPr>
          <w:rFonts w:hint="cs"/>
          <w:rtl/>
        </w:rPr>
      </w:pPr>
      <w:r>
        <w:rPr>
          <w:rFonts w:hint="cs"/>
          <w:rtl/>
        </w:rPr>
        <w:t>2.</w:t>
      </w:r>
      <w:r>
        <w:rPr>
          <w:rFonts w:hint="cs"/>
          <w:rtl/>
        </w:rPr>
        <w:tab/>
        <w:t>הנאשם כפר במיוחס לו, וטען כי המתלוננת מעלילה עליו ונוקמת בו בשל חוב של אלפי שקלים שדורש הוא שתפרע, ולפיכך שמעתי הראיות.</w:t>
      </w:r>
    </w:p>
    <w:p w14:paraId="12E347FA" w14:textId="77777777" w:rsidR="000B6447" w:rsidRDefault="000B6447">
      <w:pPr>
        <w:ind w:left="720" w:hanging="720"/>
        <w:rPr>
          <w:rFonts w:hint="cs"/>
          <w:rtl/>
        </w:rPr>
      </w:pPr>
    </w:p>
    <w:p w14:paraId="344D0C9A" w14:textId="77777777" w:rsidR="000B6447" w:rsidRDefault="000B6447">
      <w:pPr>
        <w:ind w:left="720" w:hanging="720"/>
        <w:rPr>
          <w:rFonts w:hint="cs"/>
          <w:rtl/>
        </w:rPr>
      </w:pPr>
      <w:r>
        <w:rPr>
          <w:rFonts w:hint="cs"/>
          <w:rtl/>
        </w:rPr>
        <w:t>3.</w:t>
      </w:r>
      <w:r>
        <w:rPr>
          <w:rFonts w:hint="cs"/>
          <w:rtl/>
        </w:rPr>
        <w:tab/>
        <w:t>הגב' סנדרה מנצור, עו"ס, התגוררה ברינתיה 6 בשכירות אצל הנאשם ועברה לגור במשק 21 שבמושב.</w:t>
      </w:r>
    </w:p>
    <w:p w14:paraId="0AE92E10" w14:textId="77777777" w:rsidR="000B6447" w:rsidRDefault="000B6447">
      <w:pPr>
        <w:ind w:left="720" w:hanging="720"/>
        <w:rPr>
          <w:rFonts w:hint="cs"/>
          <w:rtl/>
        </w:rPr>
      </w:pPr>
      <w:r>
        <w:rPr>
          <w:rFonts w:hint="cs"/>
          <w:rtl/>
        </w:rPr>
        <w:tab/>
        <w:t>על פי עדותה, בבוקרו של אותו היום באה להוריד את בתה בגן, הנמצא מול משק מס' 6, ויצאה, וכשנכנסה לרכבה ראתה את הנאשם –</w:t>
      </w:r>
    </w:p>
    <w:p w14:paraId="2E98E58B" w14:textId="77777777" w:rsidR="000B6447" w:rsidRDefault="000B6447">
      <w:pPr>
        <w:ind w:left="720" w:hanging="720"/>
        <w:rPr>
          <w:rFonts w:hint="cs"/>
          <w:rtl/>
        </w:rPr>
      </w:pPr>
    </w:p>
    <w:p w14:paraId="3AAAD525" w14:textId="77777777" w:rsidR="000B6447" w:rsidRDefault="000B6447">
      <w:pPr>
        <w:ind w:left="1440"/>
        <w:rPr>
          <w:rFonts w:hint="cs"/>
          <w:rtl/>
        </w:rPr>
      </w:pPr>
      <w:r>
        <w:rPr>
          <w:rFonts w:hint="cs"/>
          <w:b/>
          <w:bCs/>
          <w:rtl/>
        </w:rPr>
        <w:lastRenderedPageBreak/>
        <w:t>"עומד מעבר לגדר בתוך השטח שלו בין השיחים יש עצי אורן עם האיבר מין שלו בחוץ ומאונן".</w:t>
      </w:r>
      <w:r>
        <w:rPr>
          <w:rFonts w:hint="cs"/>
          <w:rtl/>
        </w:rPr>
        <w:t xml:space="preserve"> [עמ' 8 ש' 19, 20].</w:t>
      </w:r>
    </w:p>
    <w:p w14:paraId="46BFC981" w14:textId="77777777" w:rsidR="000B6447" w:rsidRDefault="000B6447">
      <w:pPr>
        <w:rPr>
          <w:rFonts w:hint="cs"/>
          <w:b/>
          <w:bCs/>
          <w:rtl/>
        </w:rPr>
      </w:pPr>
      <w:r>
        <w:rPr>
          <w:rFonts w:hint="cs"/>
          <w:b/>
          <w:bCs/>
          <w:rtl/>
        </w:rPr>
        <w:tab/>
      </w:r>
    </w:p>
    <w:p w14:paraId="46A22444" w14:textId="77777777" w:rsidR="000B6447" w:rsidRDefault="000B6447">
      <w:pPr>
        <w:ind w:left="720"/>
        <w:rPr>
          <w:rFonts w:hint="cs"/>
          <w:rtl/>
        </w:rPr>
      </w:pPr>
      <w:r>
        <w:rPr>
          <w:rFonts w:hint="cs"/>
          <w:rtl/>
        </w:rPr>
        <w:t>לדבריה, היה זה רגע מאוד לא נעים ומביך, היא נאלצה לראות את הנאשם פעמיים, גם כאשר יצאה מן הגן ובטרם נכנסה לרכבה, וגם לאחר שנכנסה לרכב, שהרי כדי לצאת לכיוון מקום עבודתה, צריכה הייתה לעשות סיבוב ולעבור דרכו, והוא ניצב בין שני עצים, בין השיחים וניתן היה לראות היטב מה עשה, שהרי עמד הוא צמוד לגדר, וראתה במפורש מכנסיים פתוחים ואת הנאשם מאונן, שמכנסיו לא היו מופשלים לחלוטין.</w:t>
      </w:r>
    </w:p>
    <w:p w14:paraId="55562CB4" w14:textId="77777777" w:rsidR="000B6447" w:rsidRDefault="000B6447">
      <w:pPr>
        <w:rPr>
          <w:rFonts w:hint="cs"/>
          <w:b/>
          <w:bCs/>
          <w:rtl/>
        </w:rPr>
      </w:pPr>
    </w:p>
    <w:p w14:paraId="65FDD3B9" w14:textId="77777777" w:rsidR="000B6447" w:rsidRDefault="000B6447">
      <w:pPr>
        <w:ind w:left="720" w:hanging="720"/>
        <w:rPr>
          <w:rFonts w:hint="cs"/>
          <w:rtl/>
        </w:rPr>
      </w:pPr>
      <w:r>
        <w:rPr>
          <w:rFonts w:hint="cs"/>
          <w:rtl/>
        </w:rPr>
        <w:tab/>
        <w:t>גם בחקירה נגדית הבהירה, תוך שנעזרת בסקיצה שציירה, כי החנתה את רכבה ממול מקום הימצאו של הנאשם בפתח החצר למשק 6, ותיאורה תואם לחלוטין את דברי הנאשם בת/1 כשנתבקש הוא לתאר ביום 15.6.03 מה קרה בבוקרו של יום 3.6.03, יום האירוע, שאז אמר:</w:t>
      </w:r>
    </w:p>
    <w:p w14:paraId="55B05458" w14:textId="77777777" w:rsidR="000B6447" w:rsidRDefault="000B6447">
      <w:pPr>
        <w:ind w:left="1440"/>
        <w:rPr>
          <w:rFonts w:hint="cs"/>
          <w:rtl/>
        </w:rPr>
      </w:pPr>
      <w:r>
        <w:rPr>
          <w:rFonts w:hint="cs"/>
          <w:b/>
          <w:bCs/>
          <w:rtl/>
        </w:rPr>
        <w:t>"</w:t>
      </w:r>
      <w:r>
        <w:rPr>
          <w:rFonts w:hint="cs"/>
          <w:b/>
          <w:bCs/>
          <w:u w:val="single"/>
          <w:rtl/>
        </w:rPr>
        <w:t>מולי</w:t>
      </w:r>
      <w:r>
        <w:rPr>
          <w:rFonts w:hint="cs"/>
          <w:b/>
          <w:bCs/>
          <w:rtl/>
        </w:rPr>
        <w:t xml:space="preserve"> יש גן ילדים, עבדתי בגינה, הרמתי את העיניים וראיתי אותה עם האוטו שלה עוברת לידי מהגן"</w:t>
      </w:r>
      <w:r>
        <w:rPr>
          <w:rFonts w:hint="cs"/>
          <w:rtl/>
        </w:rPr>
        <w:t xml:space="preserve"> [שורות 25-27].</w:t>
      </w:r>
    </w:p>
    <w:p w14:paraId="68A0A2A3" w14:textId="77777777" w:rsidR="000B6447" w:rsidRDefault="000B6447">
      <w:pPr>
        <w:rPr>
          <w:rFonts w:hint="cs"/>
          <w:b/>
          <w:bCs/>
          <w:rtl/>
        </w:rPr>
      </w:pPr>
    </w:p>
    <w:p w14:paraId="758C2BEA" w14:textId="77777777" w:rsidR="000B6447" w:rsidRDefault="000B6447">
      <w:pPr>
        <w:ind w:left="720"/>
        <w:rPr>
          <w:rFonts w:hint="cs"/>
          <w:rtl/>
        </w:rPr>
      </w:pPr>
      <w:r>
        <w:rPr>
          <w:rFonts w:hint="cs"/>
          <w:rtl/>
        </w:rPr>
        <w:t>בעת עדותה, לא הוצג למתלוננת השרטוט נ/5, לפיו הגן באלכסון מפתח הבית ורחוק עשרות מטרים, וממילא – התקבל השרטוט לצורך התמצאות בלבד, ולא מהווה ראיה לסתור את אשר הנאשם והמתלוננת טוענים לו, היינו, שהגן מול ביתו של הנאשם.</w:t>
      </w:r>
    </w:p>
    <w:p w14:paraId="1D7DB502" w14:textId="77777777" w:rsidR="000B6447" w:rsidRDefault="000B6447">
      <w:pPr>
        <w:ind w:left="720"/>
        <w:rPr>
          <w:rFonts w:hint="cs"/>
          <w:rtl/>
        </w:rPr>
      </w:pPr>
      <w:r>
        <w:rPr>
          <w:rFonts w:hint="cs"/>
          <w:rtl/>
        </w:rPr>
        <w:t>המתלוננת במפורש קבעה שראתה את הנאשם באותו מקום ומצב פעמיים כשיצאה מן הגן בדרך לרכב ממרחק של כ-5-6 מ', ולאחר מכן ברכבה בנסיעה, כשהוא עומד בין השיחים והעצים, והוא גם ראה אותה.</w:t>
      </w:r>
    </w:p>
    <w:p w14:paraId="7A95D115" w14:textId="77777777" w:rsidR="000B6447" w:rsidRDefault="000B6447">
      <w:pPr>
        <w:ind w:left="720"/>
        <w:rPr>
          <w:rFonts w:hint="cs"/>
          <w:rtl/>
        </w:rPr>
      </w:pPr>
      <w:r>
        <w:rPr>
          <w:rFonts w:hint="cs"/>
          <w:rtl/>
        </w:rPr>
        <w:t>לשאלה:</w:t>
      </w:r>
    </w:p>
    <w:p w14:paraId="60831E25" w14:textId="77777777" w:rsidR="000B6447" w:rsidRDefault="000B6447">
      <w:pPr>
        <w:pStyle w:val="BodyTextIndent"/>
        <w:rPr>
          <w:rFonts w:hint="cs"/>
          <w:rtl/>
        </w:rPr>
      </w:pPr>
      <w:r>
        <w:rPr>
          <w:rFonts w:hint="cs"/>
          <w:rtl/>
        </w:rPr>
        <w:t>"ש. את אומרת לא הסתכלת בכוונה אל כיוון הבית שלו, יצאת וזה מולך, אז לא הייתה לך ברירה?"</w:t>
      </w:r>
    </w:p>
    <w:p w14:paraId="212853AD" w14:textId="77777777" w:rsidR="000B6447" w:rsidRDefault="000B6447">
      <w:pPr>
        <w:rPr>
          <w:rFonts w:hint="cs"/>
          <w:rtl/>
        </w:rPr>
      </w:pPr>
      <w:r>
        <w:rPr>
          <w:rFonts w:hint="cs"/>
          <w:b/>
          <w:bCs/>
          <w:rtl/>
        </w:rPr>
        <w:tab/>
      </w:r>
      <w:r>
        <w:rPr>
          <w:rFonts w:hint="cs"/>
          <w:rtl/>
        </w:rPr>
        <w:t>השיבה:</w:t>
      </w:r>
    </w:p>
    <w:p w14:paraId="231ECC58" w14:textId="77777777" w:rsidR="000B6447" w:rsidRDefault="000B6447">
      <w:pPr>
        <w:rPr>
          <w:rFonts w:hint="cs"/>
          <w:rtl/>
        </w:rPr>
      </w:pPr>
      <w:r>
        <w:rPr>
          <w:rFonts w:hint="cs"/>
          <w:rtl/>
        </w:rPr>
        <w:tab/>
      </w:r>
      <w:r>
        <w:rPr>
          <w:rFonts w:hint="cs"/>
          <w:rtl/>
        </w:rPr>
        <w:tab/>
      </w:r>
      <w:r>
        <w:rPr>
          <w:rFonts w:hint="cs"/>
          <w:b/>
          <w:bCs/>
          <w:rtl/>
        </w:rPr>
        <w:t>"ת. כן, וגם העיניים נודדות, אני מסתכלת מסביב".</w:t>
      </w:r>
      <w:r>
        <w:rPr>
          <w:rFonts w:hint="cs"/>
          <w:rtl/>
        </w:rPr>
        <w:t xml:space="preserve"> [עמ' 15 ש' 6-7].</w:t>
      </w:r>
    </w:p>
    <w:p w14:paraId="6F922428" w14:textId="77777777" w:rsidR="000B6447" w:rsidRDefault="000B6447">
      <w:pPr>
        <w:ind w:left="720"/>
        <w:rPr>
          <w:rFonts w:hint="cs"/>
          <w:rtl/>
        </w:rPr>
      </w:pPr>
      <w:r>
        <w:rPr>
          <w:rFonts w:hint="cs"/>
          <w:rtl/>
        </w:rPr>
        <w:t>וגם ציינה לשאלת בית המשפט כי למיטב זכרונה לבש ג'ינס קצר, כי מכנסיו היו פתוחים אך לא מופשלים, ידו או ידיו על איבר מינו מחוץ למכנס ומאונן מול עיניה.</w:t>
      </w:r>
    </w:p>
    <w:p w14:paraId="54820AB7" w14:textId="77777777" w:rsidR="000B6447" w:rsidRDefault="000B6447">
      <w:pPr>
        <w:ind w:left="720"/>
        <w:rPr>
          <w:rFonts w:hint="cs"/>
          <w:rtl/>
        </w:rPr>
      </w:pPr>
      <w:r>
        <w:rPr>
          <w:rFonts w:hint="cs"/>
          <w:rtl/>
        </w:rPr>
        <w:t>בידיו – לא  ראתה שום כלי עבודה נחוץ לגינון.</w:t>
      </w:r>
    </w:p>
    <w:p w14:paraId="1BE1F5CF" w14:textId="77777777" w:rsidR="000B6447" w:rsidRDefault="000B6447">
      <w:pPr>
        <w:rPr>
          <w:rFonts w:ascii="Arial" w:hAnsi="Arial" w:cs="Arial" w:hint="cs"/>
          <w:sz w:val="32"/>
          <w:szCs w:val="32"/>
          <w:u w:val="single"/>
          <w:rtl/>
        </w:rPr>
      </w:pPr>
    </w:p>
    <w:p w14:paraId="469FCC2F" w14:textId="77777777" w:rsidR="000B6447" w:rsidRDefault="000B6447">
      <w:pPr>
        <w:pStyle w:val="BodyTextIndent2"/>
        <w:rPr>
          <w:rtl/>
        </w:rPr>
      </w:pPr>
      <w:r>
        <w:rPr>
          <w:rFonts w:hint="cs"/>
          <w:rtl/>
        </w:rPr>
        <w:t>4.</w:t>
      </w:r>
      <w:r>
        <w:rPr>
          <w:rFonts w:hint="cs"/>
          <w:rtl/>
        </w:rPr>
        <w:tab/>
        <w:t>מעדותה של רס"מ דורית פרקש וכעולה מת/3, שוכנעתי כי הנאשם סרב לעימות עם המתלוננת ועדיפה עליי עדותה בנושא על פני עדותו של הנאשם שטען שהסכים לעימות ולכל פעולת חקירה שתאשש גירסתו.</w:t>
      </w:r>
    </w:p>
    <w:p w14:paraId="7B68F393" w14:textId="77777777" w:rsidR="000B6447" w:rsidRDefault="000B6447">
      <w:pPr>
        <w:pStyle w:val="BodyTextIndent3"/>
        <w:rPr>
          <w:rFonts w:hint="cs"/>
          <w:rtl/>
        </w:rPr>
      </w:pPr>
      <w:r>
        <w:rPr>
          <w:rFonts w:hint="cs"/>
          <w:rtl/>
        </w:rPr>
        <w:tab/>
        <w:t>אין לגב' פרקש עניין לשנות דברים או לתעדם אחרת, ואין לי ספק שתוכן ת/3 תואם זמן אמירתם של הדברים.</w:t>
      </w:r>
    </w:p>
    <w:p w14:paraId="045539B4" w14:textId="77777777" w:rsidR="000B6447" w:rsidRDefault="000B6447">
      <w:pPr>
        <w:ind w:left="720" w:hanging="720"/>
        <w:rPr>
          <w:rFonts w:ascii="Arial" w:hAnsi="Arial" w:hint="cs"/>
          <w:szCs w:val="26"/>
          <w:rtl/>
        </w:rPr>
      </w:pPr>
      <w:r>
        <w:rPr>
          <w:rFonts w:ascii="Arial" w:hAnsi="Arial" w:hint="cs"/>
          <w:szCs w:val="26"/>
          <w:rtl/>
        </w:rPr>
        <w:lastRenderedPageBreak/>
        <w:tab/>
        <w:t>העובדה שתגובות הנאשם שנרשמו בת/3 שונות זו מזו, תחילה הוא לא השיב לשאלה למה הוא לא משיב להודעות טלפוניות, ובהמשך סרב לעימות, ועוד הבטיח לבדוק מסמכים שנתבקשו לתמיכה בחובות, ובאלו די על מנת שאקבע שהרישום מדוייק וכי הנאשם מטעמים שלו – סרב לעימות, קרוב לוודאי מחשש שיפליל עצמו בתשובותיו או תגובותיו, ותוכנו של ת/3 משקף האמת.</w:t>
      </w:r>
    </w:p>
    <w:p w14:paraId="54936610" w14:textId="77777777" w:rsidR="000B6447" w:rsidRDefault="000B6447">
      <w:pPr>
        <w:ind w:left="720" w:hanging="720"/>
        <w:rPr>
          <w:rFonts w:ascii="Arial" w:hAnsi="Arial" w:hint="cs"/>
          <w:szCs w:val="26"/>
          <w:rtl/>
        </w:rPr>
      </w:pPr>
    </w:p>
    <w:p w14:paraId="35BF4C14" w14:textId="77777777" w:rsidR="000B6447" w:rsidRDefault="000B6447">
      <w:pPr>
        <w:ind w:left="720" w:hanging="720"/>
        <w:rPr>
          <w:rFonts w:ascii="Arial" w:hAnsi="Arial" w:hint="cs"/>
          <w:szCs w:val="26"/>
          <w:rtl/>
        </w:rPr>
      </w:pPr>
      <w:r>
        <w:rPr>
          <w:rFonts w:ascii="Arial" w:hAnsi="Arial" w:hint="cs"/>
          <w:szCs w:val="26"/>
          <w:rtl/>
        </w:rPr>
        <w:t>5.</w:t>
      </w:r>
      <w:r>
        <w:rPr>
          <w:rFonts w:ascii="Arial" w:hAnsi="Arial" w:hint="cs"/>
          <w:szCs w:val="26"/>
          <w:rtl/>
        </w:rPr>
        <w:tab/>
        <w:t>כשזומן הנאשם לחקירה 12 יום לאחר האירוע, ידע להתייחס לאירועי אותו היום וידע להסביר מעשיו ולא ביקש פירוט נוסף או לעיין ביומן שנה וכאילו ברורה לו מלכתחילה סיבת הזימון, שלא מדובר ביום תמים או במפגש תמים עם המתלוננת, אלא – במקרה יוצא דופן וחריג.</w:t>
      </w:r>
    </w:p>
    <w:p w14:paraId="06D6740F" w14:textId="77777777" w:rsidR="000B6447" w:rsidRDefault="000B6447">
      <w:pPr>
        <w:ind w:left="720" w:hanging="720"/>
        <w:rPr>
          <w:rFonts w:ascii="Arial" w:hAnsi="Arial" w:hint="cs"/>
          <w:szCs w:val="26"/>
          <w:rtl/>
        </w:rPr>
      </w:pPr>
      <w:r>
        <w:rPr>
          <w:rFonts w:ascii="Arial" w:hAnsi="Arial" w:hint="cs"/>
          <w:szCs w:val="26"/>
          <w:rtl/>
        </w:rPr>
        <w:tab/>
        <w:t>הנאשם ביקש לשכנע כי אילולא מחלוקות סביב החובות הנובעים משכירת הבית והשימוש במים להשקיית הגן, לא הייתה התלונה מוגשת, וזה למרות שחלפו שנתיים מאז עזבו המתלוננת ובעלה את הבית, והוא לא נקט שום צעד לגביית החוב, כך שאין לכאורה סיבה להגשת תלונה במועד שהוגשה אילו המניע היה נקמה.</w:t>
      </w:r>
    </w:p>
    <w:p w14:paraId="6C2F204A" w14:textId="77777777" w:rsidR="000B6447" w:rsidRDefault="000B6447">
      <w:pPr>
        <w:ind w:left="720" w:hanging="720"/>
        <w:rPr>
          <w:rFonts w:ascii="Arial" w:hAnsi="Arial" w:hint="cs"/>
          <w:szCs w:val="26"/>
          <w:rtl/>
        </w:rPr>
      </w:pPr>
    </w:p>
    <w:p w14:paraId="66F6A39A" w14:textId="77777777" w:rsidR="000B6447" w:rsidRDefault="000B6447">
      <w:pPr>
        <w:ind w:left="720" w:hanging="720"/>
        <w:rPr>
          <w:rFonts w:ascii="Arial" w:hAnsi="Arial" w:hint="cs"/>
          <w:szCs w:val="26"/>
          <w:rtl/>
        </w:rPr>
      </w:pPr>
      <w:r>
        <w:rPr>
          <w:rFonts w:ascii="Arial" w:hAnsi="Arial" w:hint="cs"/>
          <w:szCs w:val="26"/>
          <w:rtl/>
        </w:rPr>
        <w:tab/>
        <w:t>לגופו של העניין, כאשר זומן לחקירה, נאמר לו שסנדרה התלוננה על אוננות, טען:</w:t>
      </w:r>
    </w:p>
    <w:p w14:paraId="1EEF3A5E" w14:textId="77777777" w:rsidR="000B6447" w:rsidRDefault="000B6447">
      <w:pPr>
        <w:ind w:left="1440"/>
        <w:rPr>
          <w:rFonts w:ascii="Arial" w:hAnsi="Arial" w:hint="cs"/>
          <w:szCs w:val="26"/>
          <w:rtl/>
        </w:rPr>
      </w:pPr>
      <w:r>
        <w:rPr>
          <w:rFonts w:ascii="Arial" w:hAnsi="Arial" w:hint="cs"/>
          <w:b/>
          <w:bCs/>
          <w:szCs w:val="26"/>
          <w:rtl/>
        </w:rPr>
        <w:t>"אני בסה"כ אמרתי לחוקרת שאני עבדתי בגינה ועבדתי עם טוריה והייתי עסוק וגזמתי ענפים ויצאתי מהשער שלי, זרקתי את הענפים באשפתון ירוק שעמד מחוץ לגדר שלי צמוד... ברגע שהודעתי לה שהיא מפסיקה שכירות התחילה להתנכל לי, רצתה כנראה להשפיל אותי או לפגוע בי... אבל לא היה דבר כזה"</w:t>
      </w:r>
      <w:r>
        <w:rPr>
          <w:rFonts w:ascii="Arial" w:hAnsi="Arial" w:hint="cs"/>
          <w:szCs w:val="26"/>
          <w:rtl/>
        </w:rPr>
        <w:t>. [עמ' 23 ש' 11-15],</w:t>
      </w:r>
    </w:p>
    <w:p w14:paraId="5A9EDF72" w14:textId="77777777" w:rsidR="000B6447" w:rsidRDefault="000B6447">
      <w:pPr>
        <w:rPr>
          <w:rFonts w:ascii="Arial" w:hAnsi="Arial" w:hint="cs"/>
          <w:szCs w:val="26"/>
          <w:rtl/>
        </w:rPr>
      </w:pPr>
      <w:r>
        <w:rPr>
          <w:rFonts w:ascii="Arial" w:hAnsi="Arial" w:hint="cs"/>
          <w:b/>
          <w:bCs/>
          <w:szCs w:val="26"/>
          <w:rtl/>
        </w:rPr>
        <w:tab/>
      </w:r>
      <w:r>
        <w:rPr>
          <w:rFonts w:ascii="Arial" w:hAnsi="Arial" w:hint="cs"/>
          <w:szCs w:val="26"/>
          <w:rtl/>
        </w:rPr>
        <w:t>ונשכח ממנו כי חלפו שנתיים מעת הפינוי ועד לאירוע.</w:t>
      </w:r>
    </w:p>
    <w:p w14:paraId="1BEEF434" w14:textId="77777777" w:rsidR="000B6447" w:rsidRDefault="000B6447">
      <w:pPr>
        <w:rPr>
          <w:rFonts w:ascii="Arial" w:hAnsi="Arial" w:hint="cs"/>
          <w:szCs w:val="26"/>
          <w:rtl/>
        </w:rPr>
      </w:pPr>
    </w:p>
    <w:p w14:paraId="391B35EC" w14:textId="77777777" w:rsidR="000B6447" w:rsidRDefault="000B6447">
      <w:pPr>
        <w:ind w:left="720"/>
        <w:rPr>
          <w:rFonts w:ascii="Arial" w:hAnsi="Arial" w:hint="cs"/>
          <w:szCs w:val="26"/>
          <w:rtl/>
        </w:rPr>
      </w:pPr>
      <w:r>
        <w:rPr>
          <w:rFonts w:ascii="Arial" w:hAnsi="Arial" w:hint="cs"/>
          <w:szCs w:val="26"/>
          <w:rtl/>
        </w:rPr>
        <w:t>הנאשם טען שראה את סנדרה המתלוננת נכנסת עם ילדתה לגן הילדים, חזר לגינתו והמשיך לעבוד עם הטוריה, גם שראה את גג רכבה של המתלוננת כשעזבה.</w:t>
      </w:r>
    </w:p>
    <w:p w14:paraId="63F08010" w14:textId="77777777" w:rsidR="000B6447" w:rsidRDefault="000B6447">
      <w:pPr>
        <w:ind w:left="720"/>
        <w:rPr>
          <w:rFonts w:ascii="Arial" w:hAnsi="Arial" w:hint="cs"/>
          <w:szCs w:val="26"/>
          <w:rtl/>
        </w:rPr>
      </w:pPr>
      <w:r>
        <w:rPr>
          <w:rFonts w:ascii="Arial" w:hAnsi="Arial" w:hint="cs"/>
          <w:szCs w:val="26"/>
          <w:rtl/>
        </w:rPr>
        <w:t>לדבריו, בבית המשפט, היה לבוש בגדי עבודה כחולים כמנהגו, וזה על אף שבעת מסירת ת/1 טען שממש לא זוכר מה לבש. (וראה גם עמ' 32 ש' 6-14 במענה לבית המשפט).</w:t>
      </w:r>
    </w:p>
    <w:p w14:paraId="1C6DE425" w14:textId="77777777" w:rsidR="000B6447" w:rsidRDefault="000B6447">
      <w:pPr>
        <w:ind w:left="720"/>
        <w:rPr>
          <w:rFonts w:ascii="Arial" w:hAnsi="Arial" w:hint="cs"/>
          <w:szCs w:val="26"/>
          <w:rtl/>
        </w:rPr>
      </w:pPr>
      <w:r>
        <w:rPr>
          <w:rFonts w:ascii="Arial" w:hAnsi="Arial" w:hint="cs"/>
          <w:szCs w:val="26"/>
          <w:rtl/>
        </w:rPr>
        <w:t>במענה לתובעת, כשנשאל מדוע בכל זאת המתלוננת הייתה מוכנה להתלונן במשטרה ולבוא לבית המשפט להעיד, שהמעמד לא פשוט, שנים לאחר האירוע אם דבר לא קרה, השיב שרצונה היחיד להשפילו – והוסיף:</w:t>
      </w:r>
    </w:p>
    <w:p w14:paraId="3ED61C5C" w14:textId="77777777" w:rsidR="000B6447" w:rsidRDefault="000B6447">
      <w:pPr>
        <w:ind w:left="1440"/>
        <w:rPr>
          <w:rFonts w:ascii="Arial" w:hAnsi="Arial" w:hint="cs"/>
          <w:szCs w:val="26"/>
          <w:rtl/>
        </w:rPr>
      </w:pPr>
      <w:r>
        <w:rPr>
          <w:rFonts w:ascii="Arial" w:hAnsi="Arial" w:hint="cs"/>
          <w:b/>
          <w:bCs/>
          <w:szCs w:val="26"/>
          <w:rtl/>
        </w:rPr>
        <w:t>"כל הזמן חיפשה, היא באה לגן הייתה מסתכלת לכיוון הבית שלי, והייתי מתרחק לא רוצה שתראה אותי באיזור, אבל באותו היום במקרה יצאתי... ראיתי אותה ולא היה לי שום כוונות".</w:t>
      </w:r>
      <w:r>
        <w:rPr>
          <w:rFonts w:ascii="Arial" w:hAnsi="Arial" w:hint="cs"/>
          <w:szCs w:val="26"/>
          <w:rtl/>
        </w:rPr>
        <w:t xml:space="preserve"> [עמ' 28, ש' 3-6]</w:t>
      </w:r>
    </w:p>
    <w:p w14:paraId="370AC2C0" w14:textId="77777777" w:rsidR="000B6447" w:rsidRDefault="000B6447">
      <w:pPr>
        <w:ind w:left="720"/>
        <w:rPr>
          <w:rFonts w:ascii="Arial" w:hAnsi="Arial" w:hint="cs"/>
          <w:szCs w:val="26"/>
          <w:rtl/>
        </w:rPr>
      </w:pPr>
      <w:r>
        <w:rPr>
          <w:rFonts w:ascii="Arial" w:hAnsi="Arial" w:hint="cs"/>
          <w:szCs w:val="26"/>
          <w:rtl/>
        </w:rPr>
        <w:lastRenderedPageBreak/>
        <w:t>אלא שלא שוכנעתי כי עשה מאמץ שלא לראותה, וההיפך, התרשמתי שעוקב אחריה, אחרת לא היה טוען שהיא תדיר מסתכלת לכיוון ביתו והוא היה מתרחק.</w:t>
      </w:r>
    </w:p>
    <w:p w14:paraId="32DE049C" w14:textId="77777777" w:rsidR="000B6447" w:rsidRDefault="000B6447">
      <w:pPr>
        <w:ind w:left="720"/>
        <w:rPr>
          <w:rFonts w:ascii="Arial" w:hAnsi="Arial" w:hint="cs"/>
          <w:szCs w:val="26"/>
          <w:rtl/>
        </w:rPr>
      </w:pPr>
      <w:r>
        <w:rPr>
          <w:rFonts w:ascii="Arial" w:hAnsi="Arial" w:hint="cs"/>
          <w:szCs w:val="26"/>
          <w:rtl/>
        </w:rPr>
        <w:t>כך וגם אחרת – לא רק שראה כשהגיעה לגן, ראה אותה עוזבת, וגם יודע לזהות את גג הרכב, ולשיטתי, אם לא כדי לבלוש ולהטריד, כדי ליצור מצב כמו זה שתואר ע"י המתלוננת – בו עמד ואונן בחסות הצמחיה.</w:t>
      </w:r>
    </w:p>
    <w:p w14:paraId="0A63ABBE" w14:textId="77777777" w:rsidR="000B6447" w:rsidRDefault="000B6447">
      <w:pPr>
        <w:ind w:left="720"/>
        <w:rPr>
          <w:rFonts w:ascii="Arial" w:hAnsi="Arial" w:hint="cs"/>
          <w:szCs w:val="26"/>
          <w:rtl/>
        </w:rPr>
      </w:pPr>
      <w:r>
        <w:rPr>
          <w:rFonts w:ascii="Arial" w:hAnsi="Arial" w:hint="cs"/>
          <w:szCs w:val="26"/>
          <w:rtl/>
        </w:rPr>
        <w:t>דבר אין לאלו עם טענתו שכוונתה להשפילו.</w:t>
      </w:r>
    </w:p>
    <w:p w14:paraId="2CC04E0C" w14:textId="77777777" w:rsidR="000B6447" w:rsidRDefault="000B6447">
      <w:pPr>
        <w:ind w:left="720"/>
        <w:rPr>
          <w:rFonts w:ascii="Arial" w:hAnsi="Arial" w:hint="cs"/>
          <w:szCs w:val="26"/>
          <w:rtl/>
        </w:rPr>
      </w:pPr>
    </w:p>
    <w:p w14:paraId="687EFAC6" w14:textId="77777777" w:rsidR="000B6447" w:rsidRDefault="000B6447">
      <w:pPr>
        <w:ind w:left="720"/>
        <w:rPr>
          <w:rFonts w:ascii="Arial" w:hAnsi="Arial" w:hint="cs"/>
          <w:szCs w:val="26"/>
          <w:rtl/>
        </w:rPr>
      </w:pPr>
      <w:r>
        <w:rPr>
          <w:rFonts w:ascii="Arial" w:hAnsi="Arial" w:hint="cs"/>
          <w:szCs w:val="26"/>
          <w:rtl/>
        </w:rPr>
        <w:t>כזכור, טען שנמנע מלתבוע את החזר החוב בשל מצבה הכלכלי הקשה של המתלוננת.</w:t>
      </w:r>
    </w:p>
    <w:p w14:paraId="6A6764A7" w14:textId="77777777" w:rsidR="000B6447" w:rsidRDefault="000B6447">
      <w:pPr>
        <w:ind w:left="720"/>
        <w:rPr>
          <w:rFonts w:ascii="Arial" w:hAnsi="Arial" w:hint="cs"/>
          <w:szCs w:val="26"/>
          <w:rtl/>
        </w:rPr>
      </w:pPr>
      <w:r>
        <w:rPr>
          <w:rFonts w:ascii="Arial" w:hAnsi="Arial" w:hint="cs"/>
          <w:szCs w:val="26"/>
          <w:rtl/>
        </w:rPr>
        <w:t>חוסר הסבירות בטענתו קיצוני עוד יותר משטען שהוא עצמו במצב בריאותי וכלכלי קשה ולמעשה יכול היה לשפר מצבו בתביעתה, ללמדך שאם לא עשה דבר ולא מתעתד לפעול, הגיוני וסביר שידע היטב שאין חוב ממשי ו/או אין לו סיכוי לגבות סכום כלשהו, ומכאן שגם לא היה למתלוננת עניין של ממש לפגוע בו ולהשפילו בהגשת התלונה ובהאצת תהליך הגשת כתב האישום, משלא הייתה צפויה תביעה כלשהי מצידו.</w:t>
      </w:r>
    </w:p>
    <w:p w14:paraId="1B8D5BFF" w14:textId="77777777" w:rsidR="000B6447" w:rsidRDefault="000B6447">
      <w:pPr>
        <w:ind w:left="720"/>
        <w:rPr>
          <w:rFonts w:ascii="Arial" w:hAnsi="Arial" w:hint="cs"/>
          <w:szCs w:val="26"/>
          <w:rtl/>
        </w:rPr>
      </w:pPr>
      <w:r>
        <w:rPr>
          <w:rFonts w:ascii="Arial" w:hAnsi="Arial" w:hint="cs"/>
          <w:szCs w:val="26"/>
          <w:rtl/>
        </w:rPr>
        <w:t>אם לא די בכך, הרי לא ברורה ההתחשבות היתרה לכאורה במצב הכלכלי של המתלוננת אם תקופה ארוכה ירדה לחייו, וגם נשאר חוב תלוי ועומד.</w:t>
      </w:r>
    </w:p>
    <w:p w14:paraId="190F0CBF" w14:textId="77777777" w:rsidR="000B6447" w:rsidRDefault="000B6447">
      <w:pPr>
        <w:ind w:left="720"/>
        <w:rPr>
          <w:rFonts w:ascii="Arial" w:hAnsi="Arial" w:hint="cs"/>
          <w:szCs w:val="26"/>
          <w:rtl/>
        </w:rPr>
      </w:pPr>
      <w:r>
        <w:rPr>
          <w:rFonts w:ascii="Arial" w:hAnsi="Arial" w:hint="cs"/>
          <w:szCs w:val="26"/>
          <w:rtl/>
        </w:rPr>
        <w:t xml:space="preserve">לפיכך – איני רואה לקשור בין קיומו של חוב כספי כלשהו לתלונה גם על פי גירסת הנאשם, ובליל גירסאותיו רק מבליט את הכזב שבהן. </w:t>
      </w:r>
    </w:p>
    <w:p w14:paraId="7168BD52" w14:textId="77777777" w:rsidR="000B6447" w:rsidRDefault="000B6447">
      <w:pPr>
        <w:ind w:left="720"/>
        <w:rPr>
          <w:rFonts w:ascii="Arial" w:hAnsi="Arial" w:hint="cs"/>
          <w:szCs w:val="26"/>
          <w:rtl/>
        </w:rPr>
      </w:pPr>
      <w:r>
        <w:rPr>
          <w:rFonts w:ascii="Arial" w:hAnsi="Arial" w:hint="cs"/>
          <w:szCs w:val="26"/>
          <w:rtl/>
        </w:rPr>
        <w:t xml:space="preserve">במהלך החקירה הנגדית, טען הנאשם כי גן הילדים </w:t>
      </w:r>
      <w:r>
        <w:rPr>
          <w:rFonts w:ascii="Arial" w:hAnsi="Arial" w:hint="cs"/>
          <w:b/>
          <w:bCs/>
          <w:szCs w:val="26"/>
          <w:rtl/>
        </w:rPr>
        <w:t>"מול אבל בזוית 45 מעלות"</w:t>
      </w:r>
      <w:r>
        <w:rPr>
          <w:rFonts w:ascii="Arial" w:hAnsi="Arial" w:hint="cs"/>
          <w:szCs w:val="26"/>
          <w:rtl/>
        </w:rPr>
        <w:t xml:space="preserve"> יחסית לחצר ביתו. תיאור זה שונה מגירסתו בהודעתו ת/1 ובגירסת המתלוננת, ושונה מהטענה שיש מרחק בין הגן לחצר שבגינו לא ייתכן שראתה המתלוננת אותו מאונן.</w:t>
      </w:r>
    </w:p>
    <w:p w14:paraId="5A33ECFF" w14:textId="77777777" w:rsidR="000B6447" w:rsidRDefault="000B6447">
      <w:pPr>
        <w:ind w:left="720"/>
        <w:rPr>
          <w:rFonts w:ascii="Arial" w:hAnsi="Arial" w:hint="cs"/>
          <w:szCs w:val="26"/>
          <w:rtl/>
        </w:rPr>
      </w:pPr>
      <w:r>
        <w:rPr>
          <w:rFonts w:ascii="Arial" w:hAnsi="Arial" w:hint="cs"/>
          <w:szCs w:val="26"/>
          <w:rtl/>
        </w:rPr>
        <w:t>בנושא זה דוחה אני את גירסת האח, ע.ה 2 מוטי לוביטין, גם לגבי המרחקים וגם באשר לצמחיה במקום.</w:t>
      </w:r>
    </w:p>
    <w:p w14:paraId="1517D65F" w14:textId="77777777" w:rsidR="000B6447" w:rsidRDefault="000B6447">
      <w:pPr>
        <w:ind w:left="720"/>
        <w:rPr>
          <w:rFonts w:ascii="Arial" w:hAnsi="Arial" w:hint="cs"/>
          <w:szCs w:val="26"/>
          <w:rtl/>
        </w:rPr>
      </w:pPr>
      <w:r>
        <w:rPr>
          <w:rFonts w:ascii="Arial" w:hAnsi="Arial" w:hint="cs"/>
          <w:szCs w:val="26"/>
          <w:rtl/>
        </w:rPr>
        <w:t>גם בסתירות לגבי המרחק – רואה אני חיזוק נוסף לטענת המתלוננת כי ממקום עומדה ובנסיעתה, יכולה הייתה לראות היטב את הנאשם ואת טיב מעשיו, בעוד נסיונו של הנאשם לשכנע שלא ניתן לראות – נדחה.</w:t>
      </w:r>
    </w:p>
    <w:p w14:paraId="4E87A4EC" w14:textId="77777777" w:rsidR="000B6447" w:rsidRDefault="000B6447">
      <w:pPr>
        <w:ind w:left="720"/>
        <w:rPr>
          <w:rFonts w:ascii="Arial" w:hAnsi="Arial" w:hint="cs"/>
          <w:szCs w:val="26"/>
          <w:rtl/>
        </w:rPr>
      </w:pPr>
      <w:r>
        <w:rPr>
          <w:rFonts w:ascii="Arial" w:hAnsi="Arial" w:hint="cs"/>
          <w:szCs w:val="26"/>
          <w:rtl/>
        </w:rPr>
        <w:t xml:space="preserve">כשהתבקש להבהיר אם ראה את המתלוננת בבואה ובעוזבה, הנאשם טען שכשיצאה לא ראה אותה (עמ' 29 ש' 23), אך כשהופנה להודעתו, אישר שראה את גג הרכב אותו הוא מזהה, וזה למרות שבהודעתו מלכתחילה טען שראה את הרכב נוסע לכיוון שלו, גם אם יכולה הייתה לפנות ימינה, וכשנשאל שוב אם ראה אותה כשיצאה מהגן, השיב בשלילה, והסביר שאם טען שראה שנסעה לכיוונו, הרי </w:t>
      </w:r>
      <w:r>
        <w:rPr>
          <w:rFonts w:ascii="Arial" w:hAnsi="Arial" w:hint="cs"/>
          <w:b/>
          <w:bCs/>
          <w:szCs w:val="26"/>
          <w:rtl/>
        </w:rPr>
        <w:t>"שלא זכר בדיוק"</w:t>
      </w:r>
      <w:r>
        <w:rPr>
          <w:rFonts w:ascii="Arial" w:hAnsi="Arial" w:hint="cs"/>
          <w:szCs w:val="26"/>
          <w:rtl/>
        </w:rPr>
        <w:t xml:space="preserve"> (שורות 63-65 – ת/1).</w:t>
      </w:r>
    </w:p>
    <w:p w14:paraId="44CEC43B" w14:textId="77777777" w:rsidR="000B6447" w:rsidRDefault="000B6447">
      <w:pPr>
        <w:ind w:left="720"/>
        <w:rPr>
          <w:rFonts w:ascii="Arial" w:hAnsi="Arial" w:hint="cs"/>
          <w:szCs w:val="26"/>
          <w:rtl/>
        </w:rPr>
      </w:pPr>
      <w:r>
        <w:rPr>
          <w:rFonts w:ascii="Arial" w:hAnsi="Arial" w:hint="cs"/>
          <w:szCs w:val="26"/>
          <w:rtl/>
        </w:rPr>
        <w:t>תשובתו בבית המשפט לכך הייתה:</w:t>
      </w:r>
    </w:p>
    <w:p w14:paraId="4B4AE4BF" w14:textId="77777777" w:rsidR="000B6447" w:rsidRDefault="000B6447">
      <w:pPr>
        <w:ind w:left="720"/>
        <w:rPr>
          <w:rFonts w:ascii="Arial" w:hAnsi="Arial" w:hint="cs"/>
          <w:szCs w:val="26"/>
          <w:rtl/>
        </w:rPr>
      </w:pPr>
      <w:r>
        <w:rPr>
          <w:rFonts w:ascii="Arial" w:hAnsi="Arial" w:hint="cs"/>
          <w:szCs w:val="26"/>
          <w:rtl/>
        </w:rPr>
        <w:tab/>
      </w:r>
      <w:r>
        <w:rPr>
          <w:rFonts w:ascii="Arial" w:hAnsi="Arial" w:hint="cs"/>
          <w:b/>
          <w:bCs/>
          <w:szCs w:val="26"/>
          <w:rtl/>
        </w:rPr>
        <w:t>"אני אמור לזכור מתי היא נכנסה ומתי היא יצאה?"</w:t>
      </w:r>
      <w:r>
        <w:rPr>
          <w:rFonts w:ascii="Arial" w:hAnsi="Arial" w:hint="cs"/>
          <w:szCs w:val="26"/>
          <w:rtl/>
        </w:rPr>
        <w:t xml:space="preserve"> [עמ' 30 ש' 7].</w:t>
      </w:r>
    </w:p>
    <w:p w14:paraId="13366103" w14:textId="77777777" w:rsidR="000B6447" w:rsidRDefault="000B6447">
      <w:pPr>
        <w:ind w:left="720"/>
        <w:rPr>
          <w:rFonts w:ascii="Arial" w:hAnsi="Arial" w:hint="cs"/>
          <w:szCs w:val="26"/>
          <w:rtl/>
        </w:rPr>
      </w:pPr>
      <w:r>
        <w:rPr>
          <w:rFonts w:ascii="Arial" w:hAnsi="Arial" w:hint="cs"/>
          <w:szCs w:val="26"/>
          <w:rtl/>
        </w:rPr>
        <w:t>וזה על אף שהפגין זכרון טוב לגבי פרטים באותו היום.</w:t>
      </w:r>
    </w:p>
    <w:p w14:paraId="2834599A" w14:textId="77777777" w:rsidR="000B6447" w:rsidRDefault="000B6447">
      <w:pPr>
        <w:ind w:left="720"/>
        <w:rPr>
          <w:rFonts w:ascii="Arial" w:hAnsi="Arial" w:hint="cs"/>
          <w:szCs w:val="26"/>
          <w:rtl/>
        </w:rPr>
      </w:pPr>
      <w:r>
        <w:rPr>
          <w:rFonts w:ascii="Arial" w:hAnsi="Arial" w:hint="cs"/>
          <w:szCs w:val="26"/>
          <w:rtl/>
        </w:rPr>
        <w:t>כך עולה כי בנסיון להרחיק עצמו ממצב בו אמנם הסתכל לעבר גן הילדים וראה את המתלוננת נכנסת לרכב ונוסעת, הסתבך בתשובות סותרות ולא הגיוניות, ואין ספק כי אמנם הסתכל לעבר גן הילדים בעומדו בקרבת הצמחיה שבחצרו, וציפה לראות את המתלוננת.</w:t>
      </w:r>
    </w:p>
    <w:p w14:paraId="7B5E348B" w14:textId="77777777" w:rsidR="000B6447" w:rsidRDefault="000B6447">
      <w:pPr>
        <w:ind w:left="720"/>
        <w:rPr>
          <w:rFonts w:ascii="Arial" w:hAnsi="Arial" w:hint="cs"/>
          <w:szCs w:val="26"/>
          <w:rtl/>
        </w:rPr>
      </w:pPr>
    </w:p>
    <w:p w14:paraId="6812C343" w14:textId="77777777" w:rsidR="000B6447" w:rsidRDefault="000B6447">
      <w:pPr>
        <w:ind w:left="720"/>
        <w:rPr>
          <w:rFonts w:ascii="Arial" w:hAnsi="Arial" w:hint="cs"/>
          <w:szCs w:val="26"/>
          <w:rtl/>
        </w:rPr>
      </w:pPr>
      <w:r>
        <w:rPr>
          <w:rFonts w:ascii="Arial" w:hAnsi="Arial" w:hint="cs"/>
          <w:szCs w:val="26"/>
          <w:rtl/>
        </w:rPr>
        <w:t>על פי כל אלו, גירסת הנאשם אינה סדורה ונמצאו בה סתירות בפרטים מהותיים שיש בהם להביאני למסקנה חד משמעית שאין לתת אמון בגירסתו המכחישה.</w:t>
      </w:r>
    </w:p>
    <w:p w14:paraId="32D9CA77" w14:textId="77777777" w:rsidR="000B6447" w:rsidRDefault="000B6447">
      <w:pPr>
        <w:rPr>
          <w:rFonts w:ascii="Arial" w:hAnsi="Arial" w:hint="cs"/>
          <w:szCs w:val="26"/>
          <w:rtl/>
        </w:rPr>
      </w:pPr>
    </w:p>
    <w:p w14:paraId="68390B00" w14:textId="77777777" w:rsidR="000B6447" w:rsidRDefault="000B6447">
      <w:pPr>
        <w:ind w:left="720" w:hanging="720"/>
        <w:rPr>
          <w:rFonts w:ascii="Arial" w:hAnsi="Arial" w:hint="cs"/>
          <w:szCs w:val="26"/>
          <w:rtl/>
        </w:rPr>
      </w:pPr>
      <w:r>
        <w:rPr>
          <w:rFonts w:ascii="Arial" w:hAnsi="Arial" w:hint="cs"/>
          <w:szCs w:val="26"/>
          <w:rtl/>
        </w:rPr>
        <w:t>6.</w:t>
      </w:r>
      <w:r>
        <w:rPr>
          <w:rFonts w:ascii="Arial" w:hAnsi="Arial" w:hint="cs"/>
          <w:szCs w:val="26"/>
          <w:rtl/>
        </w:rPr>
        <w:tab/>
        <w:t>אין מחלוקת כי שנתיים לפני האירוע הנטען עזבו המתלוננת ובעלה את הבית ששכרו אצל הנאשם ואחיו, ונשארה יתרת חוב לא מוגדרת לתשלום.</w:t>
      </w:r>
    </w:p>
    <w:p w14:paraId="6F67DBAF" w14:textId="77777777" w:rsidR="000B6447" w:rsidRDefault="000B6447">
      <w:pPr>
        <w:ind w:left="720"/>
        <w:rPr>
          <w:rFonts w:ascii="Arial" w:hAnsi="Arial" w:hint="cs"/>
          <w:szCs w:val="26"/>
          <w:rtl/>
        </w:rPr>
      </w:pPr>
      <w:r>
        <w:rPr>
          <w:rFonts w:ascii="Arial" w:hAnsi="Arial" w:hint="cs"/>
          <w:szCs w:val="26"/>
          <w:rtl/>
        </w:rPr>
        <w:t>הנאשם לא הגיש תביעה בנדון ולא פעל בדרך אחרת, וזאת משום שלדבריו המתלוננים במצוקה כלכלית ולא רצה להקלע בעצמו להוצאות מיותרות אם ממילא לא יוכל בסופו של יום להפרע מהם, וגם אם הוא במצב כלכלי גרוע.</w:t>
      </w:r>
    </w:p>
    <w:p w14:paraId="7E63BCDC" w14:textId="77777777" w:rsidR="000B6447" w:rsidRDefault="000B6447">
      <w:pPr>
        <w:ind w:left="720"/>
        <w:rPr>
          <w:rFonts w:ascii="Arial" w:hAnsi="Arial" w:hint="cs"/>
          <w:szCs w:val="26"/>
          <w:rtl/>
        </w:rPr>
      </w:pPr>
    </w:p>
    <w:p w14:paraId="53514087" w14:textId="77777777" w:rsidR="000B6447" w:rsidRDefault="000B6447">
      <w:pPr>
        <w:ind w:left="720"/>
        <w:rPr>
          <w:rFonts w:ascii="Arial" w:hAnsi="Arial" w:hint="cs"/>
          <w:szCs w:val="26"/>
          <w:rtl/>
        </w:rPr>
      </w:pPr>
      <w:r>
        <w:rPr>
          <w:rFonts w:ascii="Arial" w:hAnsi="Arial" w:hint="cs"/>
          <w:szCs w:val="26"/>
          <w:rtl/>
        </w:rPr>
        <w:t>לגירסת המתלוננת – עסקינן בחוב המגיע כדי 1,000 ש"ח לכל היותר שמרגע שהחלו ההטרדות בעלה טיפל בו, והנאשם טוען – אלפי שקלים.</w:t>
      </w:r>
    </w:p>
    <w:p w14:paraId="6F255794" w14:textId="77777777" w:rsidR="000B6447" w:rsidRDefault="000B6447">
      <w:pPr>
        <w:ind w:left="720"/>
        <w:rPr>
          <w:rFonts w:ascii="Arial" w:hAnsi="Arial" w:hint="cs"/>
          <w:szCs w:val="26"/>
          <w:rtl/>
        </w:rPr>
      </w:pPr>
      <w:r>
        <w:rPr>
          <w:rFonts w:ascii="Arial" w:hAnsi="Arial" w:hint="cs"/>
          <w:szCs w:val="26"/>
          <w:rtl/>
        </w:rPr>
        <w:t>יחד עם זאת, טענה המתלוננת כי נאלצו לעזוב הבית בשל הטרדות לא פוסקות של הנאשם, ואילו הנאשם – מחד טוען שפינה את המשפחה, ומאידך – שהסתיים תוקפו של החוזה ולא הוארך, והוסיף שהמתלוננת ירדה לחייו. בפועל – ניתן להבין שפג תוקפו של החוזה, ונשארה יתרת חוב, וכך גם עפ"י עדותו של ע.ה 2 מוטי לוביטין.</w:t>
      </w:r>
    </w:p>
    <w:p w14:paraId="069DAF1F" w14:textId="77777777" w:rsidR="000B6447" w:rsidRDefault="000B6447">
      <w:pPr>
        <w:ind w:left="720"/>
        <w:rPr>
          <w:rFonts w:ascii="Arial" w:hAnsi="Arial" w:hint="cs"/>
          <w:szCs w:val="26"/>
          <w:rtl/>
        </w:rPr>
      </w:pPr>
      <w:r>
        <w:rPr>
          <w:rFonts w:ascii="Arial" w:hAnsi="Arial" w:hint="cs"/>
          <w:szCs w:val="26"/>
          <w:rtl/>
        </w:rPr>
        <w:t>מכל אלו, אין לי ספק שיש סכסוך כספי בין המתלוננת לנאשם, ובכל זאת, איני רואה בו מאיץ או מקדם להגשת תלונה כוזבת ע"י המתלוננת כטענת הנאשם, ויותר מכך – כשממילא עזבו המתלוננת ובעלה את רינתיה שבועיים לאחר האירוע.</w:t>
      </w:r>
    </w:p>
    <w:p w14:paraId="6A53F088" w14:textId="77777777" w:rsidR="000B6447" w:rsidRDefault="000B6447">
      <w:pPr>
        <w:rPr>
          <w:rFonts w:ascii="Arial" w:hAnsi="Arial" w:hint="cs"/>
          <w:szCs w:val="26"/>
          <w:rtl/>
        </w:rPr>
      </w:pPr>
    </w:p>
    <w:p w14:paraId="313F7B0E" w14:textId="77777777" w:rsidR="000B6447" w:rsidRDefault="000B6447">
      <w:pPr>
        <w:ind w:left="720" w:hanging="720"/>
        <w:rPr>
          <w:rFonts w:ascii="Arial" w:hAnsi="Arial" w:hint="cs"/>
          <w:szCs w:val="26"/>
          <w:rtl/>
        </w:rPr>
      </w:pPr>
      <w:r>
        <w:rPr>
          <w:rFonts w:ascii="Arial" w:hAnsi="Arial" w:hint="cs"/>
          <w:szCs w:val="26"/>
          <w:rtl/>
        </w:rPr>
        <w:t>7.</w:t>
      </w:r>
      <w:r>
        <w:rPr>
          <w:rFonts w:ascii="Arial" w:hAnsi="Arial" w:hint="cs"/>
          <w:szCs w:val="26"/>
          <w:rtl/>
        </w:rPr>
        <w:tab/>
        <w:t>א.</w:t>
      </w:r>
      <w:r>
        <w:rPr>
          <w:rFonts w:ascii="Arial" w:hAnsi="Arial" w:hint="cs"/>
          <w:szCs w:val="26"/>
          <w:rtl/>
        </w:rPr>
        <w:tab/>
        <w:t xml:space="preserve">כעולה מכל שנאמר עד עתה, קובעת אני כי המתלוננת אמנם ראתה את </w:t>
      </w:r>
    </w:p>
    <w:p w14:paraId="6B60A645" w14:textId="77777777" w:rsidR="000B6447" w:rsidRDefault="000B6447">
      <w:pPr>
        <w:ind w:left="720" w:firstLine="720"/>
        <w:rPr>
          <w:rFonts w:ascii="Arial" w:hAnsi="Arial" w:hint="cs"/>
          <w:szCs w:val="26"/>
          <w:rtl/>
        </w:rPr>
      </w:pPr>
      <w:r>
        <w:rPr>
          <w:rFonts w:ascii="Arial" w:hAnsi="Arial" w:hint="cs"/>
          <w:szCs w:val="26"/>
          <w:rtl/>
        </w:rPr>
        <w:t>הנאשם מאונן בבוקרו של יום 3.6.03.</w:t>
      </w:r>
    </w:p>
    <w:p w14:paraId="75D78B44" w14:textId="77777777" w:rsidR="000B6447" w:rsidRDefault="000B6447">
      <w:pPr>
        <w:ind w:left="720" w:hanging="720"/>
        <w:rPr>
          <w:rFonts w:ascii="Arial" w:hAnsi="Arial" w:hint="cs"/>
          <w:szCs w:val="26"/>
          <w:rtl/>
        </w:rPr>
      </w:pPr>
    </w:p>
    <w:p w14:paraId="6906A69D" w14:textId="77777777" w:rsidR="000B6447" w:rsidRDefault="000B6447">
      <w:pPr>
        <w:ind w:left="1440" w:hanging="720"/>
        <w:rPr>
          <w:rFonts w:ascii="Arial" w:hAnsi="Arial" w:hint="cs"/>
          <w:szCs w:val="26"/>
          <w:rtl/>
        </w:rPr>
      </w:pPr>
      <w:r>
        <w:rPr>
          <w:rFonts w:ascii="Arial" w:hAnsi="Arial" w:hint="cs"/>
          <w:szCs w:val="26"/>
          <w:rtl/>
        </w:rPr>
        <w:t>ב.</w:t>
      </w:r>
      <w:r>
        <w:rPr>
          <w:rFonts w:ascii="Arial" w:hAnsi="Arial" w:hint="cs"/>
          <w:szCs w:val="26"/>
          <w:rtl/>
        </w:rPr>
        <w:tab/>
        <w:t>לא היה דבר שהסתיר המראה מפניה, והיא הייתה במרחק שלא ניתן לייחס טעות לאשר ראתה, הצמחיה הנראית בצילומים נ/1 ו-נ/2 אינה מהווה אינדיקציה לגביי בהעדיפי את תיאור המתלוננת.</w:t>
      </w:r>
    </w:p>
    <w:p w14:paraId="3F32B911" w14:textId="77777777" w:rsidR="000B6447" w:rsidRDefault="000B6447">
      <w:pPr>
        <w:ind w:left="1440" w:hanging="720"/>
        <w:rPr>
          <w:rFonts w:ascii="Arial" w:hAnsi="Arial" w:hint="cs"/>
          <w:szCs w:val="26"/>
          <w:rtl/>
        </w:rPr>
      </w:pPr>
    </w:p>
    <w:p w14:paraId="17F28776" w14:textId="77777777" w:rsidR="000B6447" w:rsidRDefault="000B6447">
      <w:pPr>
        <w:ind w:left="1440" w:hanging="720"/>
        <w:rPr>
          <w:rFonts w:ascii="Arial" w:hAnsi="Arial" w:hint="cs"/>
          <w:szCs w:val="26"/>
          <w:rtl/>
        </w:rPr>
      </w:pPr>
      <w:r>
        <w:rPr>
          <w:rFonts w:ascii="Arial" w:hAnsi="Arial" w:hint="cs"/>
          <w:szCs w:val="26"/>
          <w:rtl/>
        </w:rPr>
        <w:t>ג.</w:t>
      </w:r>
      <w:r>
        <w:rPr>
          <w:rFonts w:ascii="Arial" w:hAnsi="Arial" w:hint="cs"/>
          <w:szCs w:val="26"/>
          <w:rtl/>
        </w:rPr>
        <w:tab/>
        <w:t>הנאשם הודה שהיה במקום ביום הנדון, ועל אף שזומן לחקירה 12 ימים לאחר מכן, ידע היטב להתייחס לשאלות החוקר וכלל לא הופתע מהטענות שהועלו כנגדו.</w:t>
      </w:r>
    </w:p>
    <w:p w14:paraId="4E437BE1" w14:textId="77777777" w:rsidR="000B6447" w:rsidRDefault="000B6447">
      <w:pPr>
        <w:ind w:left="1440" w:hanging="720"/>
        <w:rPr>
          <w:rFonts w:ascii="Arial" w:hAnsi="Arial" w:hint="cs"/>
          <w:szCs w:val="26"/>
          <w:rtl/>
        </w:rPr>
      </w:pPr>
    </w:p>
    <w:p w14:paraId="0DF4418E" w14:textId="77777777" w:rsidR="000B6447" w:rsidRDefault="000B6447">
      <w:pPr>
        <w:ind w:left="1440" w:hanging="720"/>
        <w:rPr>
          <w:rFonts w:ascii="Arial" w:hAnsi="Arial" w:hint="cs"/>
          <w:szCs w:val="26"/>
          <w:rtl/>
        </w:rPr>
      </w:pPr>
      <w:r>
        <w:rPr>
          <w:rFonts w:ascii="Arial" w:hAnsi="Arial" w:hint="cs"/>
          <w:szCs w:val="26"/>
          <w:rtl/>
        </w:rPr>
        <w:t>ד.</w:t>
      </w:r>
      <w:r>
        <w:rPr>
          <w:rFonts w:ascii="Arial" w:hAnsi="Arial" w:hint="cs"/>
          <w:szCs w:val="26"/>
          <w:rtl/>
        </w:rPr>
        <w:tab/>
        <w:t>את טענתו כי מדובר בעלילה נקמנית בשל חוב כספי – דוחה אני והסברתי היטב.</w:t>
      </w:r>
    </w:p>
    <w:p w14:paraId="6E839DC1" w14:textId="77777777" w:rsidR="000B6447" w:rsidRDefault="000B6447">
      <w:pPr>
        <w:ind w:left="1440" w:hanging="720"/>
        <w:rPr>
          <w:rFonts w:ascii="Arial" w:hAnsi="Arial" w:hint="cs"/>
          <w:szCs w:val="26"/>
          <w:rtl/>
        </w:rPr>
      </w:pPr>
    </w:p>
    <w:p w14:paraId="4A47E5A8" w14:textId="77777777" w:rsidR="000B6447" w:rsidRDefault="000B6447">
      <w:pPr>
        <w:ind w:left="1440" w:hanging="720"/>
        <w:rPr>
          <w:rFonts w:ascii="Arial" w:hAnsi="Arial" w:hint="cs"/>
          <w:szCs w:val="26"/>
          <w:rtl/>
        </w:rPr>
      </w:pPr>
      <w:r>
        <w:rPr>
          <w:rFonts w:ascii="Arial" w:hAnsi="Arial" w:hint="cs"/>
          <w:szCs w:val="26"/>
          <w:rtl/>
        </w:rPr>
        <w:t>ה.</w:t>
      </w:r>
      <w:r>
        <w:rPr>
          <w:rFonts w:ascii="Arial" w:hAnsi="Arial" w:hint="cs"/>
          <w:szCs w:val="26"/>
          <w:rtl/>
        </w:rPr>
        <w:tab/>
        <w:t>הנאשם אמנם עמד בתחום חצרו, אך דאג לעמוד כך שניתן היה לראותו, הוא והמתלוננת ראו זה את זו וכל המשתמשים בדרך והעוברים ליד חצרו אותה העת, בפועל יכלו לצפות בו מאונן – שזו לכל הדעות עבירה של מעשה מגונה הנעשית "בפומבי", על פי החלופה השניה שבהגדרה המצויה ב</w:t>
      </w:r>
      <w:hyperlink r:id="rId9" w:history="1">
        <w:r w:rsidR="000B0327" w:rsidRPr="000B0327">
          <w:rPr>
            <w:rFonts w:ascii="Arial" w:hAnsi="Arial"/>
            <w:color w:val="0000FF"/>
            <w:szCs w:val="26"/>
            <w:u w:val="single"/>
            <w:rtl/>
          </w:rPr>
          <w:t>סעיף 34 כ"ד</w:t>
        </w:r>
      </w:hyperlink>
      <w:r>
        <w:rPr>
          <w:rFonts w:ascii="Arial" w:hAnsi="Arial" w:hint="cs"/>
          <w:szCs w:val="26"/>
          <w:rtl/>
        </w:rPr>
        <w:t xml:space="preserve"> ל</w:t>
      </w:r>
      <w:hyperlink r:id="rId10" w:history="1">
        <w:r w:rsidR="000B0327" w:rsidRPr="000B0327">
          <w:rPr>
            <w:rFonts w:ascii="Arial" w:hAnsi="Arial"/>
            <w:color w:val="0000FF"/>
            <w:szCs w:val="26"/>
            <w:u w:val="single"/>
            <w:rtl/>
          </w:rPr>
          <w:t>חנ"ש</w:t>
        </w:r>
      </w:hyperlink>
      <w:r>
        <w:rPr>
          <w:rFonts w:ascii="Arial" w:hAnsi="Arial" w:hint="cs"/>
          <w:szCs w:val="26"/>
          <w:rtl/>
        </w:rPr>
        <w:t>.</w:t>
      </w:r>
    </w:p>
    <w:p w14:paraId="43423147" w14:textId="77777777" w:rsidR="000B6447" w:rsidRDefault="000B6447">
      <w:pPr>
        <w:ind w:left="1440" w:hanging="720"/>
        <w:rPr>
          <w:rFonts w:ascii="Arial" w:hAnsi="Arial" w:hint="cs"/>
          <w:szCs w:val="26"/>
          <w:rtl/>
        </w:rPr>
      </w:pPr>
    </w:p>
    <w:p w14:paraId="5D694310" w14:textId="77777777" w:rsidR="000B6447" w:rsidRDefault="000B6447">
      <w:pPr>
        <w:ind w:left="1440" w:hanging="720"/>
        <w:rPr>
          <w:rFonts w:ascii="Arial" w:hAnsi="Arial" w:hint="cs"/>
          <w:szCs w:val="26"/>
          <w:rtl/>
        </w:rPr>
      </w:pPr>
      <w:r>
        <w:rPr>
          <w:rFonts w:ascii="Arial" w:hAnsi="Arial" w:hint="cs"/>
          <w:szCs w:val="26"/>
          <w:rtl/>
        </w:rPr>
        <w:t>ו.</w:t>
      </w:r>
      <w:r>
        <w:rPr>
          <w:rFonts w:ascii="Arial" w:hAnsi="Arial" w:hint="cs"/>
          <w:szCs w:val="26"/>
          <w:rtl/>
        </w:rPr>
        <w:tab/>
        <w:t>הסתירות הרבות בעדותו בנושא הלבוש, בנושא יכולתו לראות את המתלוננת ממקומו אותו היום ובנושא החוב הכספי, יש בהם בהחלט לשכנעני כי אין ליתן בו אמון.</w:t>
      </w:r>
    </w:p>
    <w:p w14:paraId="2A3EA796" w14:textId="77777777" w:rsidR="000B6447" w:rsidRDefault="000B6447">
      <w:pPr>
        <w:ind w:left="1440" w:hanging="720"/>
        <w:rPr>
          <w:rFonts w:ascii="Arial" w:hAnsi="Arial" w:hint="cs"/>
          <w:szCs w:val="26"/>
          <w:rtl/>
        </w:rPr>
      </w:pPr>
    </w:p>
    <w:p w14:paraId="40AFF91D" w14:textId="77777777" w:rsidR="000B6447" w:rsidRDefault="000B6447">
      <w:pPr>
        <w:ind w:left="1440" w:hanging="720"/>
        <w:rPr>
          <w:rFonts w:ascii="Arial" w:hAnsi="Arial" w:hint="cs"/>
          <w:szCs w:val="26"/>
          <w:rtl/>
        </w:rPr>
      </w:pPr>
      <w:r>
        <w:rPr>
          <w:rFonts w:ascii="Arial" w:hAnsi="Arial" w:hint="cs"/>
          <w:szCs w:val="26"/>
          <w:rtl/>
        </w:rPr>
        <w:t>ז.</w:t>
      </w:r>
      <w:r>
        <w:rPr>
          <w:rFonts w:ascii="Arial" w:hAnsi="Arial" w:hint="cs"/>
          <w:szCs w:val="26"/>
          <w:rtl/>
        </w:rPr>
        <w:tab/>
        <w:t>גירסת המתלוננת עדיפה עליי, ולאחר שהזהרתי עצמי הזהר היטב כי בעדות יחידה עסקינן, קובעת אני כי נותנת אני אמון מלא בעדותה, תלונתה הוגשה באופן מיידי, תיאורה פשוט וקולח, לא התלהמה ולא הגזימה, ולא התרשמתי שמייחסת כל רע אפשרי לנאשם, אלא הפעם – לא הייתה מוכנה לוותר יותר.</w:t>
      </w:r>
    </w:p>
    <w:p w14:paraId="39F49C49" w14:textId="77777777" w:rsidR="000B6447" w:rsidRDefault="000B6447">
      <w:pPr>
        <w:ind w:left="1440" w:hanging="720"/>
        <w:rPr>
          <w:rFonts w:ascii="Arial" w:hAnsi="Arial" w:hint="cs"/>
          <w:szCs w:val="26"/>
          <w:rtl/>
        </w:rPr>
      </w:pPr>
    </w:p>
    <w:p w14:paraId="781C72AF" w14:textId="77777777" w:rsidR="000B6447" w:rsidRDefault="000B6447">
      <w:pPr>
        <w:ind w:left="1440" w:hanging="720"/>
        <w:rPr>
          <w:rFonts w:ascii="Arial" w:hAnsi="Arial" w:hint="cs"/>
          <w:szCs w:val="26"/>
          <w:rtl/>
        </w:rPr>
      </w:pPr>
      <w:r>
        <w:rPr>
          <w:rFonts w:ascii="Arial" w:hAnsi="Arial" w:hint="cs"/>
          <w:szCs w:val="26"/>
          <w:rtl/>
        </w:rPr>
        <w:t>ח.</w:t>
      </w:r>
      <w:r>
        <w:rPr>
          <w:rFonts w:ascii="Arial" w:hAnsi="Arial" w:hint="cs"/>
          <w:szCs w:val="26"/>
          <w:rtl/>
        </w:rPr>
        <w:tab/>
        <w:t>איני רואה שום קשר בין התלונה לבין חוב כספי לנאשם בו הודתה. כל אלו, אל מול גירסתו של הנאשם, כאמור הביאו להרשעתו במיוחס לו בכתב האישום.</w:t>
      </w:r>
    </w:p>
    <w:p w14:paraId="76689F6D" w14:textId="77777777" w:rsidR="000B6447" w:rsidRDefault="000B6447">
      <w:pPr>
        <w:rPr>
          <w:rFonts w:ascii="Arial" w:hAnsi="Arial" w:hint="cs"/>
          <w:szCs w:val="26"/>
          <w:rtl/>
        </w:rPr>
      </w:pPr>
    </w:p>
    <w:p w14:paraId="26B9228B" w14:textId="77777777" w:rsidR="000B6447" w:rsidRDefault="000B6447">
      <w:pPr>
        <w:rPr>
          <w:rFonts w:ascii="Arial" w:hAnsi="Arial" w:hint="cs"/>
          <w:szCs w:val="26"/>
          <w:rtl/>
        </w:rPr>
      </w:pPr>
      <w:r>
        <w:rPr>
          <w:rFonts w:ascii="Arial" w:hAnsi="Arial" w:hint="cs"/>
          <w:szCs w:val="26"/>
          <w:rtl/>
        </w:rPr>
        <w:t>8.</w:t>
      </w:r>
      <w:r>
        <w:rPr>
          <w:rFonts w:ascii="Arial" w:hAnsi="Arial" w:hint="cs"/>
          <w:szCs w:val="26"/>
          <w:rtl/>
        </w:rPr>
        <w:tab/>
        <w:t xml:space="preserve">לפיכך, מורשע הנאשם בביצועו של מעשה מגונה, עבירה לפי </w:t>
      </w:r>
      <w:hyperlink r:id="rId11" w:history="1">
        <w:r w:rsidR="000B0327" w:rsidRPr="000B0327">
          <w:rPr>
            <w:rFonts w:ascii="Arial" w:hAnsi="Arial"/>
            <w:color w:val="0000FF"/>
            <w:szCs w:val="26"/>
            <w:u w:val="single"/>
            <w:rtl/>
          </w:rPr>
          <w:t>סעיף  349 (א)</w:t>
        </w:r>
      </w:hyperlink>
      <w:r>
        <w:rPr>
          <w:rFonts w:ascii="Arial" w:hAnsi="Arial" w:hint="cs"/>
          <w:szCs w:val="26"/>
          <w:rtl/>
        </w:rPr>
        <w:t xml:space="preserve"> ל</w:t>
      </w:r>
      <w:hyperlink r:id="rId12" w:history="1">
        <w:r w:rsidR="000B0327" w:rsidRPr="000B0327">
          <w:rPr>
            <w:rFonts w:ascii="Arial" w:hAnsi="Arial"/>
            <w:color w:val="0000FF"/>
            <w:szCs w:val="26"/>
            <w:u w:val="single"/>
            <w:rtl/>
          </w:rPr>
          <w:t>חנ"ש</w:t>
        </w:r>
      </w:hyperlink>
      <w:r>
        <w:rPr>
          <w:rFonts w:ascii="Arial" w:hAnsi="Arial" w:hint="cs"/>
          <w:szCs w:val="26"/>
          <w:rtl/>
        </w:rPr>
        <w:t>.</w:t>
      </w:r>
    </w:p>
    <w:p w14:paraId="276EF169" w14:textId="77777777" w:rsidR="000B6447" w:rsidRDefault="000B6447">
      <w:pPr>
        <w:rPr>
          <w:rFonts w:ascii="Arial" w:hAnsi="Arial" w:hint="cs"/>
          <w:b/>
          <w:bCs/>
          <w:rtl/>
        </w:rPr>
      </w:pPr>
      <w:bookmarkStart w:id="9" w:name="Decision1"/>
    </w:p>
    <w:p w14:paraId="6630047C" w14:textId="77777777" w:rsidR="000B6447" w:rsidRDefault="000B6447">
      <w:pPr>
        <w:rPr>
          <w:rFonts w:ascii="Arial" w:hAnsi="Arial" w:hint="cs"/>
          <w:b/>
          <w:bCs/>
          <w:rtl/>
        </w:rPr>
      </w:pPr>
    </w:p>
    <w:p w14:paraId="5B2903DA" w14:textId="77777777" w:rsidR="000B6447" w:rsidRDefault="000B6447">
      <w:pPr>
        <w:rPr>
          <w:rFonts w:ascii="Arial" w:hAnsi="Arial" w:hint="cs"/>
          <w:b/>
          <w:bCs/>
          <w:rtl/>
        </w:rPr>
      </w:pPr>
      <w:r>
        <w:rPr>
          <w:rFonts w:ascii="Arial" w:hAnsi="Arial" w:hint="cs"/>
          <w:b/>
          <w:bCs/>
          <w:rtl/>
        </w:rPr>
        <w:t>ניתנה היום ג' בסיון, תשס"ז (20 במאי 2007) במעמד הצדדים.</w:t>
      </w:r>
    </w:p>
    <w:p w14:paraId="4F85B73C" w14:textId="77777777" w:rsidR="000B6447" w:rsidRDefault="000B6447">
      <w:pPr>
        <w:rPr>
          <w:rFonts w:ascii="Arial" w:hAnsi="Arial" w:hint="cs"/>
          <w:b/>
          <w:bCs/>
          <w:rtl/>
        </w:rPr>
      </w:pPr>
    </w:p>
    <w:p w14:paraId="57D347FF" w14:textId="77777777" w:rsidR="000B6447" w:rsidRDefault="000B6447">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0B6447" w14:paraId="7A510960" w14:textId="77777777">
        <w:tc>
          <w:tcPr>
            <w:tcW w:w="2376" w:type="dxa"/>
            <w:tcBorders>
              <w:top w:val="single" w:sz="4" w:space="0" w:color="auto"/>
              <w:left w:val="nil"/>
              <w:bottom w:val="nil"/>
              <w:right w:val="nil"/>
            </w:tcBorders>
          </w:tcPr>
          <w:p w14:paraId="5F7DDB40" w14:textId="77777777" w:rsidR="000B6447" w:rsidRDefault="000B6447">
            <w:pPr>
              <w:jc w:val="center"/>
              <w:rPr>
                <w:rFonts w:ascii="Arial" w:hAnsi="Arial"/>
                <w:b/>
                <w:bCs/>
              </w:rPr>
            </w:pPr>
            <w:r>
              <w:rPr>
                <w:rFonts w:ascii="Arial" w:hAnsi="Arial" w:hint="cs"/>
                <w:b/>
                <w:bCs/>
                <w:rtl/>
              </w:rPr>
              <w:t>ליה לב און, שופטת</w:t>
            </w:r>
          </w:p>
        </w:tc>
      </w:tr>
    </w:tbl>
    <w:p w14:paraId="11E1B3FE" w14:textId="77777777" w:rsidR="000B6447" w:rsidRDefault="000B6447">
      <w:pPr>
        <w:rPr>
          <w:rFonts w:hint="cs"/>
          <w:rtl/>
        </w:rPr>
      </w:pPr>
    </w:p>
    <w:p w14:paraId="1AC2E487" w14:textId="77777777" w:rsidR="000B6447" w:rsidRDefault="000B6447">
      <w:pPr>
        <w:rPr>
          <w:rtl/>
        </w:rPr>
      </w:pPr>
    </w:p>
    <w:p w14:paraId="41C5CCEF" w14:textId="77777777" w:rsidR="000B6447" w:rsidRDefault="000B6447">
      <w:pPr>
        <w:rPr>
          <w:rFonts w:ascii="Arial" w:hAnsi="Arial" w:hint="cs"/>
          <w:b/>
          <w:bCs/>
          <w:rtl/>
        </w:rPr>
      </w:pPr>
    </w:p>
    <w:bookmarkEnd w:id="9"/>
    <w:p w14:paraId="5C53C803" w14:textId="77777777" w:rsidR="000B6447" w:rsidRDefault="000B6447">
      <w:pPr>
        <w:rPr>
          <w:rFonts w:hint="cs"/>
          <w:rtl/>
        </w:rPr>
      </w:pPr>
      <w:r>
        <w:rPr>
          <w:rFonts w:hint="cs"/>
          <w:b/>
          <w:bCs/>
          <w:u w:val="single"/>
          <w:rtl/>
        </w:rPr>
        <w:t>ב"כ הנאשם:</w:t>
      </w:r>
    </w:p>
    <w:p w14:paraId="152CF71B" w14:textId="77777777" w:rsidR="000B6447" w:rsidRDefault="000B6447">
      <w:pPr>
        <w:rPr>
          <w:rFonts w:hint="cs"/>
          <w:rtl/>
        </w:rPr>
      </w:pPr>
      <w:r>
        <w:rPr>
          <w:rFonts w:hint="cs"/>
          <w:rtl/>
        </w:rPr>
        <w:t>הנאשם מבקש להביא עדי אופי להגנתו, וסברתי שיהיה מקום במקרה של הרשעה לפנות לשירות המבחן, הנאשם לא רוצה את זה, בנסיבות אלה אבקש לאפשר לו דחיה של שבוע.</w:t>
      </w:r>
    </w:p>
    <w:p w14:paraId="79107C61" w14:textId="77777777" w:rsidR="000B6447" w:rsidRDefault="000B6447">
      <w:pPr>
        <w:rPr>
          <w:rFonts w:hint="cs"/>
          <w:rtl/>
        </w:rPr>
      </w:pPr>
    </w:p>
    <w:p w14:paraId="08809093" w14:textId="77777777" w:rsidR="000B6447" w:rsidRDefault="000B6447">
      <w:pPr>
        <w:rPr>
          <w:rFonts w:hint="cs"/>
          <w:sz w:val="22"/>
          <w:rtl/>
        </w:rPr>
      </w:pPr>
      <w:r>
        <w:rPr>
          <w:rFonts w:hint="cs"/>
          <w:b/>
          <w:bCs/>
          <w:sz w:val="22"/>
          <w:u w:val="single"/>
          <w:rtl/>
        </w:rPr>
        <w:t>ב"כ המאשימה:</w:t>
      </w:r>
    </w:p>
    <w:p w14:paraId="47370A47" w14:textId="77777777" w:rsidR="000B6447" w:rsidRDefault="000B6447">
      <w:pPr>
        <w:rPr>
          <w:rFonts w:hint="cs"/>
          <w:rtl/>
        </w:rPr>
      </w:pPr>
      <w:r>
        <w:rPr>
          <w:rFonts w:hint="cs"/>
          <w:rtl/>
        </w:rPr>
        <w:t>משאירה לשיקול דעת בית המשפט הנכ'.</w:t>
      </w:r>
    </w:p>
    <w:p w14:paraId="25922C72" w14:textId="77777777" w:rsidR="000B6447" w:rsidRDefault="000B6447">
      <w:pPr>
        <w:jc w:val="center"/>
        <w:rPr>
          <w:rFonts w:hint="cs"/>
          <w:color w:val="FFFFFF"/>
          <w:sz w:val="2"/>
          <w:szCs w:val="2"/>
          <w:rtl/>
        </w:rPr>
      </w:pPr>
    </w:p>
    <w:p w14:paraId="73BFE568" w14:textId="77777777" w:rsidR="000B6447" w:rsidRDefault="000B6447">
      <w:pPr>
        <w:jc w:val="center"/>
        <w:rPr>
          <w:color w:val="FFFFFF"/>
          <w:sz w:val="2"/>
          <w:szCs w:val="2"/>
          <w:rtl/>
        </w:rPr>
      </w:pPr>
      <w:r>
        <w:rPr>
          <w:color w:val="FFFFFF"/>
          <w:sz w:val="2"/>
          <w:szCs w:val="2"/>
          <w:rtl/>
        </w:rPr>
        <w:t>5129371</w:t>
      </w:r>
    </w:p>
    <w:p w14:paraId="23D0B860" w14:textId="77777777" w:rsidR="000B6447" w:rsidRDefault="000B6447">
      <w:pPr>
        <w:jc w:val="center"/>
        <w:rPr>
          <w:rFonts w:ascii="Arial" w:hAnsi="Arial" w:hint="cs"/>
          <w:b/>
          <w:bCs/>
          <w:sz w:val="28"/>
          <w:szCs w:val="30"/>
          <w:u w:val="single"/>
          <w:rtl/>
        </w:rPr>
      </w:pPr>
      <w:r>
        <w:rPr>
          <w:color w:val="FFFFFF"/>
          <w:sz w:val="2"/>
          <w:szCs w:val="2"/>
          <w:rtl/>
        </w:rPr>
        <w:t>54678313</w:t>
      </w:r>
      <w:r>
        <w:rPr>
          <w:rFonts w:hint="cs"/>
          <w:rtl/>
        </w:rPr>
        <w:br w:type="page"/>
      </w:r>
      <w:bookmarkStart w:id="10" w:name="Decision2"/>
      <w:r>
        <w:rPr>
          <w:rFonts w:ascii="Arial" w:hAnsi="Arial" w:hint="cs"/>
          <w:b/>
          <w:bCs/>
          <w:sz w:val="28"/>
          <w:szCs w:val="30"/>
          <w:u w:val="single"/>
          <w:rtl/>
        </w:rPr>
        <w:t>החלטה</w:t>
      </w:r>
    </w:p>
    <w:p w14:paraId="193DFC71" w14:textId="77777777" w:rsidR="000B6447" w:rsidRDefault="000B6447">
      <w:pPr>
        <w:rPr>
          <w:rFonts w:ascii="Arial" w:hAnsi="Arial" w:hint="cs"/>
          <w:b/>
          <w:bCs/>
          <w:rtl/>
        </w:rPr>
      </w:pPr>
    </w:p>
    <w:p w14:paraId="7A0A2C0D" w14:textId="77777777" w:rsidR="000B6447" w:rsidRDefault="000B6447">
      <w:pPr>
        <w:rPr>
          <w:rFonts w:ascii="Arial" w:hAnsi="Arial" w:hint="cs"/>
          <w:b/>
          <w:bCs/>
          <w:rtl/>
        </w:rPr>
      </w:pPr>
      <w:r>
        <w:rPr>
          <w:rFonts w:ascii="Arial" w:hAnsi="Arial" w:hint="cs"/>
          <w:b/>
          <w:bCs/>
          <w:rtl/>
        </w:rPr>
        <w:t>נקבע לטיעונים לעונש ליום 3.6.07 שעה 08:30 בדיוק.</w:t>
      </w:r>
    </w:p>
    <w:p w14:paraId="7348E6FB" w14:textId="77777777" w:rsidR="000B6447" w:rsidRDefault="000B6447">
      <w:pPr>
        <w:rPr>
          <w:rFonts w:ascii="Arial" w:hAnsi="Arial" w:hint="cs"/>
          <w:b/>
          <w:bCs/>
          <w:color w:val="FFFFFF"/>
          <w:sz w:val="2"/>
          <w:szCs w:val="2"/>
          <w:rtl/>
        </w:rPr>
      </w:pPr>
    </w:p>
    <w:p w14:paraId="4ED2198D" w14:textId="77777777" w:rsidR="000B6447" w:rsidRDefault="000B6447">
      <w:pPr>
        <w:rPr>
          <w:rFonts w:ascii="Arial" w:hAnsi="Arial"/>
          <w:b/>
          <w:bCs/>
          <w:color w:val="FFFFFF"/>
          <w:sz w:val="2"/>
          <w:szCs w:val="2"/>
          <w:rtl/>
        </w:rPr>
      </w:pPr>
      <w:r>
        <w:rPr>
          <w:rFonts w:ascii="Arial" w:hAnsi="Arial"/>
          <w:b/>
          <w:bCs/>
          <w:color w:val="FFFFFF"/>
          <w:sz w:val="2"/>
          <w:szCs w:val="2"/>
          <w:rtl/>
        </w:rPr>
        <w:t>5129371</w:t>
      </w:r>
    </w:p>
    <w:p w14:paraId="6D2B257D" w14:textId="77777777" w:rsidR="000B6447" w:rsidRDefault="000B6447">
      <w:pPr>
        <w:rPr>
          <w:rFonts w:ascii="Arial" w:hAnsi="Arial" w:hint="cs"/>
          <w:b/>
          <w:bCs/>
          <w:rtl/>
        </w:rPr>
      </w:pPr>
      <w:r>
        <w:rPr>
          <w:rFonts w:ascii="Arial" w:hAnsi="Arial"/>
          <w:b/>
          <w:bCs/>
          <w:color w:val="FFFFFF"/>
          <w:sz w:val="2"/>
          <w:szCs w:val="2"/>
          <w:rtl/>
        </w:rPr>
        <w:t>54678313</w:t>
      </w:r>
    </w:p>
    <w:p w14:paraId="2B4A2280" w14:textId="77777777" w:rsidR="000B6447" w:rsidRDefault="000B6447">
      <w:pPr>
        <w:rPr>
          <w:rFonts w:ascii="Arial" w:hAnsi="Arial" w:hint="cs"/>
          <w:b/>
          <w:bCs/>
          <w:rtl/>
        </w:rPr>
      </w:pPr>
      <w:r>
        <w:rPr>
          <w:rFonts w:ascii="Arial" w:hAnsi="Arial"/>
          <w:b/>
          <w:bCs/>
          <w:rtl/>
        </w:rPr>
        <w:t xml:space="preserve">ניתנה היום ג' בסיון, תשס"ז (20 במאי 2007) במעמד הצדדים. </w:t>
      </w:r>
    </w:p>
    <w:p w14:paraId="561A462A" w14:textId="77777777" w:rsidR="000B6447" w:rsidRDefault="000B6447">
      <w:pPr>
        <w:keepNext/>
        <w:jc w:val="left"/>
        <w:rPr>
          <w:rFonts w:hAnsi="David" w:hint="cs"/>
          <w:color w:val="000000"/>
          <w:sz w:val="22"/>
          <w:szCs w:val="22"/>
          <w:rtl/>
        </w:rPr>
      </w:pPr>
    </w:p>
    <w:p w14:paraId="4902A5E7" w14:textId="77777777" w:rsidR="000B6447" w:rsidRDefault="000B6447">
      <w:pPr>
        <w:keepNext/>
        <w:jc w:val="left"/>
        <w:rPr>
          <w:rFonts w:hAnsi="David"/>
          <w:color w:val="000000"/>
          <w:sz w:val="22"/>
          <w:szCs w:val="22"/>
          <w:rtl/>
        </w:rPr>
      </w:pPr>
      <w:r>
        <w:rPr>
          <w:rFonts w:hAnsi="David"/>
          <w:color w:val="000000"/>
          <w:sz w:val="22"/>
          <w:szCs w:val="22"/>
          <w:rtl/>
        </w:rPr>
        <w:t>ליה לב און 54678313-2195/04</w:t>
      </w:r>
    </w:p>
    <w:p w14:paraId="05A3774C" w14:textId="77777777" w:rsidR="000B6447" w:rsidRDefault="000B6447">
      <w:pPr>
        <w:rPr>
          <w:rFonts w:hint="cs"/>
          <w:rtl/>
        </w:rPr>
      </w:pPr>
      <w:r>
        <w:rPr>
          <w:rFonts w:hint="cs"/>
          <w:rtl/>
        </w:rPr>
        <w:t xml:space="preserve">                                                                                     </w:t>
      </w:r>
    </w:p>
    <w:tbl>
      <w:tblPr>
        <w:tblW w:w="0" w:type="auto"/>
        <w:tblInd w:w="6153" w:type="dxa"/>
        <w:tblBorders>
          <w:top w:val="single" w:sz="4" w:space="0" w:color="auto"/>
        </w:tblBorders>
        <w:tblLook w:val="0000" w:firstRow="0" w:lastRow="0" w:firstColumn="0" w:lastColumn="0" w:noHBand="0" w:noVBand="0"/>
      </w:tblPr>
      <w:tblGrid>
        <w:gridCol w:w="2369"/>
      </w:tblGrid>
      <w:tr w:rsidR="000B6447" w14:paraId="6B9345FB" w14:textId="77777777">
        <w:tc>
          <w:tcPr>
            <w:tcW w:w="2376" w:type="dxa"/>
            <w:tcBorders>
              <w:top w:val="single" w:sz="4" w:space="0" w:color="auto"/>
              <w:left w:val="nil"/>
              <w:bottom w:val="nil"/>
              <w:right w:val="nil"/>
            </w:tcBorders>
          </w:tcPr>
          <w:p w14:paraId="6B24530F" w14:textId="77777777" w:rsidR="000B6447" w:rsidRDefault="000B6447">
            <w:pPr>
              <w:jc w:val="center"/>
              <w:rPr>
                <w:rFonts w:ascii="Arial" w:hAnsi="Arial"/>
                <w:b/>
                <w:bCs/>
              </w:rPr>
            </w:pPr>
            <w:r>
              <w:rPr>
                <w:rFonts w:ascii="Arial" w:hAnsi="Arial" w:hint="cs"/>
                <w:b/>
                <w:bCs/>
                <w:rtl/>
              </w:rPr>
              <w:t>ליה לב און, שופטת</w:t>
            </w:r>
          </w:p>
        </w:tc>
      </w:tr>
    </w:tbl>
    <w:bookmarkEnd w:id="10"/>
    <w:p w14:paraId="0BF09ECE" w14:textId="77777777" w:rsidR="000B6447" w:rsidRDefault="000B6447">
      <w:pPr>
        <w:jc w:val="left"/>
        <w:rPr>
          <w:color w:val="000000"/>
          <w:rtl/>
        </w:rPr>
      </w:pPr>
      <w:r>
        <w:rPr>
          <w:color w:val="000000"/>
          <w:rtl/>
        </w:rPr>
        <w:t>נוסח מסמך זה כפוף לשינויי ניסוח ועריכה</w:t>
      </w:r>
      <w:r w:rsidR="000B0327">
        <w:rPr>
          <w:rFonts w:hint="cs"/>
          <w:color w:val="000000"/>
          <w:rtl/>
        </w:rPr>
        <w:t xml:space="preserve"> </w:t>
      </w:r>
    </w:p>
    <w:sectPr w:rsidR="000B6447">
      <w:headerReference w:type="even" r:id="rId13"/>
      <w:headerReference w:type="default" r:id="rId14"/>
      <w:footerReference w:type="even" r:id="rId15"/>
      <w:footerReference w:type="default" r:id="rId16"/>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2957D" w14:textId="77777777" w:rsidR="004F66C4" w:rsidRDefault="004F66C4">
      <w:r>
        <w:separator/>
      </w:r>
    </w:p>
  </w:endnote>
  <w:endnote w:type="continuationSeparator" w:id="0">
    <w:p w14:paraId="255748AE" w14:textId="77777777" w:rsidR="004F66C4" w:rsidRDefault="004F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293B9" w14:textId="77777777" w:rsidR="00B06408" w:rsidRDefault="00B0640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8</w:t>
    </w:r>
    <w:r>
      <w:rPr>
        <w:rFonts w:hAnsi="FrankRuehl" w:cs="FrankRuehl"/>
        <w:sz w:val="24"/>
        <w:rtl/>
      </w:rPr>
      <w:fldChar w:fldCharType="end"/>
    </w:r>
  </w:p>
  <w:p w14:paraId="0CEA1972" w14:textId="77777777" w:rsidR="00B06408" w:rsidRDefault="00B0640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BDED9D9" w14:textId="77777777" w:rsidR="00B06408" w:rsidRDefault="00B0640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C:\nevo\2007-05-20 - 478 files\s04002195-268.doc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3C2CB" w14:textId="77777777" w:rsidR="00B06408" w:rsidRDefault="00B06408">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02F63">
      <w:rPr>
        <w:rFonts w:hAnsi="FrankRuehl" w:cs="FrankRuehl"/>
        <w:noProof/>
        <w:sz w:val="24"/>
        <w:rtl/>
      </w:rPr>
      <w:t>1</w:t>
    </w:r>
    <w:r>
      <w:rPr>
        <w:rFonts w:hAnsi="FrankRuehl" w:cs="FrankRuehl"/>
        <w:sz w:val="24"/>
        <w:rtl/>
      </w:rPr>
      <w:fldChar w:fldCharType="end"/>
    </w:r>
  </w:p>
  <w:p w14:paraId="0FB4C62F" w14:textId="77777777" w:rsidR="00B06408" w:rsidRDefault="00B06408">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23A3DC" w14:textId="77777777" w:rsidR="00B06408" w:rsidRDefault="00B06408">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C:\nevo\2007-05-20 - 478 files\s04002195-268.doc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F89D" w14:textId="77777777" w:rsidR="004F66C4" w:rsidRDefault="004F66C4">
      <w:r>
        <w:separator/>
      </w:r>
    </w:p>
  </w:footnote>
  <w:footnote w:type="continuationSeparator" w:id="0">
    <w:p w14:paraId="39FC3B40" w14:textId="77777777" w:rsidR="004F66C4" w:rsidRDefault="004F6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05EE" w14:textId="77777777" w:rsidR="00B06408" w:rsidRDefault="00B0640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2195/04</w:t>
    </w:r>
    <w:r>
      <w:rPr>
        <w:rFonts w:hAnsi="David"/>
        <w:color w:val="000000"/>
        <w:sz w:val="22"/>
        <w:szCs w:val="22"/>
        <w:rtl/>
      </w:rPr>
      <w:tab/>
      <w:t xml:space="preserve"> מדינת ישראל נ' לוביטין חיים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277AC" w14:textId="77777777" w:rsidR="00B06408" w:rsidRDefault="00B06408">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2195/04</w:t>
    </w:r>
    <w:r>
      <w:rPr>
        <w:rFonts w:hAnsi="David"/>
        <w:color w:val="000000"/>
        <w:sz w:val="22"/>
        <w:szCs w:val="22"/>
        <w:rtl/>
      </w:rPr>
      <w:tab/>
      <w:t xml:space="preserve"> מדינת ישראל נ' לוביטין חיים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0B6447"/>
    <w:rsid w:val="0000113E"/>
    <w:rsid w:val="00011B2A"/>
    <w:rsid w:val="000B0327"/>
    <w:rsid w:val="000B6447"/>
    <w:rsid w:val="00402F63"/>
    <w:rsid w:val="004817F0"/>
    <w:rsid w:val="004F66C4"/>
    <w:rsid w:val="008C4679"/>
    <w:rsid w:val="00B06408"/>
    <w:rsid w:val="00BD52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1F5202"/>
  <w15:chartTrackingRefBased/>
  <w15:docId w15:val="{FFA990A7-C016-471D-A32C-6C5BA78E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rFonts w:ascii="Arial" w:hAnsi="Arial" w:cs="Arial"/>
      <w:b/>
      <w:bCs/>
      <w:szCs w:val="26"/>
      <w:u w:val="single"/>
    </w:rPr>
  </w:style>
  <w:style w:type="paragraph" w:styleId="Heading6">
    <w:name w:val="heading 6"/>
    <w:basedOn w:val="Normal"/>
    <w:next w:val="Normal"/>
    <w:qFormat/>
    <w:pPr>
      <w:keepNext/>
      <w:spacing w:line="480" w:lineRule="auto"/>
      <w:jc w:val="center"/>
      <w:outlineLvl w:val="5"/>
    </w:pPr>
    <w:rPr>
      <w:b/>
      <w:bCs/>
      <w:sz w:val="28"/>
      <w:szCs w:val="28"/>
      <w:u w:val="single"/>
    </w:rPr>
  </w:style>
  <w:style w:type="paragraph" w:styleId="Heading7">
    <w:name w:val="heading 7"/>
    <w:basedOn w:val="Normal"/>
    <w:next w:val="Normal"/>
    <w:qFormat/>
    <w:pPr>
      <w:keepNext/>
      <w:outlineLvl w:val="6"/>
    </w:pPr>
    <w:rPr>
      <w:rFonts w:ascii="Arial" w:hAnsi="Arial" w:cs="Arial"/>
      <w:b/>
      <w:bCs/>
      <w:u w:val="double"/>
    </w:rPr>
  </w:style>
  <w:style w:type="paragraph" w:styleId="Heading8">
    <w:name w:val="heading 8"/>
    <w:basedOn w:val="Normal"/>
    <w:next w:val="Normal"/>
    <w:qFormat/>
    <w:pPr>
      <w:keepNext/>
      <w:outlineLvl w:val="7"/>
    </w:pPr>
    <w:rPr>
      <w:rFonts w:ascii="Arial" w:hAnsi="Arial" w:cs="Arial"/>
      <w:u w:val="single"/>
    </w:rPr>
  </w:style>
  <w:style w:type="paragraph" w:styleId="Heading9">
    <w:name w:val="heading 9"/>
    <w:basedOn w:val="Normal"/>
    <w:next w:val="Normal"/>
    <w:qFormat/>
    <w:pPr>
      <w:keepNext/>
      <w:jc w:val="center"/>
      <w:outlineLvl w:val="8"/>
    </w:pPr>
    <w:rPr>
      <w:rFonts w:ascii="Arial" w:hAnsi="Arial" w:cs="Arial"/>
      <w:sz w:val="32"/>
      <w:szCs w:val="32"/>
      <w:u w:val="doub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32"/>
      <w:szCs w:val="32"/>
    </w:rPr>
  </w:style>
  <w:style w:type="paragraph" w:styleId="BodyText">
    <w:name w:val="Body Text"/>
    <w:basedOn w:val="Normal"/>
    <w:pPr>
      <w:spacing w:after="120"/>
    </w:pPr>
  </w:style>
  <w:style w:type="paragraph" w:styleId="BodyTextIndent">
    <w:name w:val="Body Text Indent"/>
    <w:basedOn w:val="Normal"/>
    <w:pPr>
      <w:ind w:left="1440"/>
    </w:pPr>
    <w:rPr>
      <w:b/>
      <w:bCs/>
    </w:rPr>
  </w:style>
  <w:style w:type="paragraph" w:styleId="BodyTextIndent2">
    <w:name w:val="Body Text Indent 2"/>
    <w:basedOn w:val="Normal"/>
    <w:pPr>
      <w:ind w:left="720" w:hanging="720"/>
    </w:pPr>
    <w:rPr>
      <w:rFonts w:ascii="Arial" w:hAnsi="Arial"/>
      <w:sz w:val="32"/>
      <w:szCs w:val="26"/>
    </w:rPr>
  </w:style>
  <w:style w:type="paragraph" w:styleId="BodyTextIndent3">
    <w:name w:val="Body Text Indent 3"/>
    <w:basedOn w:val="Normal"/>
    <w:pPr>
      <w:ind w:left="720" w:hanging="720"/>
    </w:pPr>
    <w:rPr>
      <w:rFonts w:ascii="Arial" w:hAnsi="Arial"/>
      <w:szCs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0B032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kd"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yperlink" Target="http://www.nevo.co.il/law/703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9.a"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kd"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1532</Words>
  <Characters>8737</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10249</CharactersWithSpaces>
  <SharedDoc>false</SharedDoc>
  <HLinks>
    <vt:vector size="42" baseType="variant">
      <vt:variant>
        <vt:i4>7995492</vt:i4>
      </vt:variant>
      <vt:variant>
        <vt:i4>18</vt:i4>
      </vt:variant>
      <vt:variant>
        <vt:i4>0</vt:i4>
      </vt:variant>
      <vt:variant>
        <vt:i4>5</vt:i4>
      </vt:variant>
      <vt:variant>
        <vt:lpwstr>http://www.nevo.co.il/law/70301</vt:lpwstr>
      </vt:variant>
      <vt:variant>
        <vt:lpwstr/>
      </vt:variant>
      <vt:variant>
        <vt:i4>5177439</vt:i4>
      </vt:variant>
      <vt:variant>
        <vt:i4>15</vt:i4>
      </vt:variant>
      <vt:variant>
        <vt:i4>0</vt:i4>
      </vt:variant>
      <vt:variant>
        <vt:i4>5</vt:i4>
      </vt:variant>
      <vt:variant>
        <vt:lpwstr>http://www.nevo.co.il/law/70301/349.a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327693</vt:i4>
      </vt:variant>
      <vt:variant>
        <vt:i4>9</vt:i4>
      </vt:variant>
      <vt:variant>
        <vt:i4>0</vt:i4>
      </vt:variant>
      <vt:variant>
        <vt:i4>5</vt:i4>
      </vt:variant>
      <vt:variant>
        <vt:lpwstr>http://www.nevo.co.il/law/70301/34kd</vt:lpwstr>
      </vt:variant>
      <vt:variant>
        <vt:lpwstr/>
      </vt:variant>
      <vt:variant>
        <vt:i4>327693</vt:i4>
      </vt:variant>
      <vt:variant>
        <vt:i4>6</vt:i4>
      </vt:variant>
      <vt:variant>
        <vt:i4>0</vt:i4>
      </vt:variant>
      <vt:variant>
        <vt:i4>5</vt:i4>
      </vt:variant>
      <vt:variant>
        <vt:lpwstr>http://www.nevo.co.il/law/70301/34kd</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2007-05-20T07:12:00Z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APPELLANT">
    <vt:lpwstr>מדינת ישראל</vt:lpwstr>
  </property>
  <property fmtid="{D5CDD505-2E9C-101B-9397-08002B2CF9AE}" pid="5" name="APPELLEE">
    <vt:lpwstr>לוביטין חיים</vt:lpwstr>
  </property>
  <property fmtid="{D5CDD505-2E9C-101B-9397-08002B2CF9AE}" pid="6" name="LAWYER">
    <vt:lpwstr>נהרי;חוה אליהו</vt:lpwstr>
  </property>
  <property fmtid="{D5CDD505-2E9C-101B-9397-08002B2CF9AE}" pid="7" name="DATE">
    <vt:lpwstr>20070520</vt:lpwstr>
  </property>
  <property fmtid="{D5CDD505-2E9C-101B-9397-08002B2CF9AE}" pid="8" name="WORDNUMPAGES">
    <vt:lpwstr>8</vt:lpwstr>
  </property>
  <property fmtid="{D5CDD505-2E9C-101B-9397-08002B2CF9AE}" pid="9" name="ISABSTRACT">
    <vt:lpwstr>Y</vt:lpwstr>
  </property>
  <property fmtid="{D5CDD505-2E9C-101B-9397-08002B2CF9AE}" pid="10" name="JUDGE">
    <vt:lpwstr>ליה לב און</vt:lpwstr>
  </property>
  <property fmtid="{D5CDD505-2E9C-101B-9397-08002B2CF9AE}" pid="11" name="PROCESS">
    <vt:lpwstr>תפ</vt:lpwstr>
  </property>
  <property fmtid="{D5CDD505-2E9C-101B-9397-08002B2CF9AE}" pid="12" name="PROCNUM">
    <vt:lpwstr>2195</vt:lpwstr>
  </property>
  <property fmtid="{D5CDD505-2E9C-101B-9397-08002B2CF9AE}" pid="13" name="PROCYEAR">
    <vt:lpwstr>04</vt:lpwstr>
  </property>
  <property fmtid="{D5CDD505-2E9C-101B-9397-08002B2CF9AE}" pid="14" name="CITY">
    <vt:lpwstr>פ"ת</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NOTES1">
    <vt:lpwstr>ProcID=213&amp;PartA=25&amp;PartC=27</vt:lpwstr>
  </property>
  <property fmtid="{D5CDD505-2E9C-101B-9397-08002B2CF9AE}" pid="33" name="CASENOTES2">
    <vt:lpwstr>ProcID=213&amp;PartA=63&amp;PartC=65</vt:lpwstr>
  </property>
  <property fmtid="{D5CDD505-2E9C-101B-9397-08002B2CF9AE}" pid="34" name="LAWLISTTMP1">
    <vt:lpwstr>70301/34kd;349.a</vt:lpwstr>
  </property>
</Properties>
</file>