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5EBC" w14:textId="77777777" w:rsidR="001E1F82" w:rsidRDefault="001E1F82">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1E1F82" w14:paraId="3F966D1B"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3B3B2AF0" w14:textId="77777777" w:rsidR="001E1F82" w:rsidRDefault="001E1F82">
            <w:pPr>
              <w:pStyle w:val="Heading1"/>
              <w:rPr>
                <w:u w:val="none"/>
              </w:rPr>
            </w:pPr>
            <w:r>
              <w:rPr>
                <w:rFonts w:hint="cs"/>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67EB0E74" w14:textId="77777777" w:rsidR="001E1F82" w:rsidRDefault="001E1F82">
            <w:pPr>
              <w:rPr>
                <w:sz w:val="28"/>
                <w:szCs w:val="28"/>
              </w:rPr>
            </w:pPr>
            <w:r>
              <w:rPr>
                <w:rFonts w:hint="cs"/>
                <w:sz w:val="28"/>
                <w:szCs w:val="28"/>
                <w:rtl/>
              </w:rPr>
              <w:t>פ  002407/04</w:t>
            </w:r>
          </w:p>
        </w:tc>
      </w:tr>
      <w:tr w:rsidR="001E1F82" w14:paraId="03F356E8"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08E46D0B" w14:textId="77777777" w:rsidR="001E1F82" w:rsidRDefault="001E1F82">
            <w:pPr>
              <w:rPr>
                <w:b/>
                <w:bCs/>
                <w:sz w:val="28"/>
                <w:szCs w:val="28"/>
              </w:rPr>
            </w:pPr>
          </w:p>
        </w:tc>
        <w:tc>
          <w:tcPr>
            <w:tcW w:w="2943" w:type="dxa"/>
            <w:gridSpan w:val="2"/>
            <w:tcBorders>
              <w:top w:val="single" w:sz="4" w:space="0" w:color="auto"/>
              <w:left w:val="single" w:sz="4" w:space="0" w:color="auto"/>
              <w:bottom w:val="single" w:sz="4" w:space="0" w:color="auto"/>
              <w:right w:val="single" w:sz="4" w:space="0" w:color="auto"/>
            </w:tcBorders>
          </w:tcPr>
          <w:p w14:paraId="3E37F65E" w14:textId="77777777" w:rsidR="001E1F82" w:rsidRDefault="001E1F82">
            <w:pPr>
              <w:rPr>
                <w:b/>
                <w:bCs/>
                <w:sz w:val="28"/>
                <w:szCs w:val="28"/>
              </w:rPr>
            </w:pPr>
          </w:p>
        </w:tc>
      </w:tr>
      <w:tr w:rsidR="001E1F82" w14:paraId="493BE23C"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2959C532" w14:textId="77777777" w:rsidR="001E1F82" w:rsidRDefault="001E1F82">
            <w:pPr>
              <w:rPr>
                <w:b/>
                <w:bCs/>
                <w:sz w:val="36"/>
                <w:szCs w:val="28"/>
              </w:rPr>
            </w:pPr>
            <w:r>
              <w:rPr>
                <w:b/>
                <w:bCs/>
                <w:sz w:val="36"/>
                <w:szCs w:val="28"/>
              </w:rPr>
              <w:t xml:space="preserve">         </w:t>
            </w:r>
            <w:r>
              <w:rPr>
                <w:rFonts w:hint="cs"/>
                <w:b/>
                <w:bCs/>
                <w:sz w:val="36"/>
                <w:szCs w:val="28"/>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73EECA81" w14:textId="77777777" w:rsidR="001E1F82" w:rsidRDefault="001E1F82">
            <w:pPr>
              <w:rPr>
                <w:b/>
                <w:bCs/>
                <w:sz w:val="28"/>
                <w:szCs w:val="28"/>
              </w:rPr>
            </w:pPr>
            <w:r>
              <w:rPr>
                <w:rFonts w:hint="cs"/>
                <w:b/>
                <w:bCs/>
                <w:sz w:val="28"/>
                <w:szCs w:val="28"/>
                <w:rtl/>
              </w:rPr>
              <w:t xml:space="preserve"> תאריך:</w:t>
            </w:r>
          </w:p>
        </w:tc>
        <w:tc>
          <w:tcPr>
            <w:tcW w:w="1809" w:type="dxa"/>
            <w:tcBorders>
              <w:top w:val="single" w:sz="4" w:space="0" w:color="auto"/>
              <w:left w:val="single" w:sz="4" w:space="0" w:color="auto"/>
              <w:bottom w:val="single" w:sz="4" w:space="0" w:color="auto"/>
              <w:right w:val="single" w:sz="4" w:space="0" w:color="auto"/>
            </w:tcBorders>
          </w:tcPr>
          <w:p w14:paraId="2ADBB1AC" w14:textId="77777777" w:rsidR="001E1F82" w:rsidRDefault="001E1F82">
            <w:pPr>
              <w:rPr>
                <w:b/>
                <w:bCs/>
                <w:sz w:val="28"/>
                <w:szCs w:val="28"/>
              </w:rPr>
            </w:pPr>
            <w:r>
              <w:rPr>
                <w:rFonts w:hint="cs"/>
                <w:b/>
                <w:bCs/>
                <w:sz w:val="28"/>
                <w:szCs w:val="28"/>
                <w:rtl/>
              </w:rPr>
              <w:t>11/01/2006</w:t>
            </w:r>
          </w:p>
        </w:tc>
      </w:tr>
    </w:tbl>
    <w:p w14:paraId="1962EDF8" w14:textId="77777777" w:rsidR="001E1F82" w:rsidRDefault="001E1F82">
      <w:pPr>
        <w:rPr>
          <w:rFonts w:hint="cs"/>
          <w:rtl/>
        </w:rPr>
      </w:pPr>
    </w:p>
    <w:p w14:paraId="034FF23A" w14:textId="77777777" w:rsidR="001E1F82" w:rsidRDefault="001E1F82">
      <w:pPr>
        <w:rPr>
          <w:rFonts w:hint="cs"/>
          <w:rtl/>
        </w:rPr>
      </w:pP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1E1F82" w14:paraId="4F1306CA" w14:textId="77777777">
        <w:tc>
          <w:tcPr>
            <w:tcW w:w="1474" w:type="dxa"/>
          </w:tcPr>
          <w:p w14:paraId="2D0C5837" w14:textId="77777777" w:rsidR="001E1F82" w:rsidRDefault="001E1F82">
            <w:pPr>
              <w:rPr>
                <w:b/>
                <w:bCs/>
                <w:sz w:val="24"/>
                <w:szCs w:val="24"/>
              </w:rPr>
            </w:pPr>
            <w:bookmarkStart w:id="1" w:name="FirstAppellant"/>
            <w:r>
              <w:rPr>
                <w:rFonts w:hint="cs"/>
                <w:b/>
                <w:bCs/>
                <w:sz w:val="24"/>
                <w:szCs w:val="24"/>
                <w:rtl/>
              </w:rPr>
              <w:t>המאשימה:</w:t>
            </w:r>
          </w:p>
        </w:tc>
        <w:tc>
          <w:tcPr>
            <w:tcW w:w="4764" w:type="dxa"/>
          </w:tcPr>
          <w:p w14:paraId="4DA0F1DA" w14:textId="77777777" w:rsidR="001E1F82" w:rsidRDefault="001E1F82">
            <w:pPr>
              <w:rPr>
                <w:b/>
                <w:bCs/>
                <w:sz w:val="24"/>
                <w:szCs w:val="24"/>
              </w:rPr>
            </w:pPr>
            <w:r>
              <w:rPr>
                <w:rFonts w:hint="cs"/>
                <w:b/>
                <w:bCs/>
                <w:sz w:val="24"/>
                <w:szCs w:val="24"/>
                <w:rtl/>
              </w:rPr>
              <w:t xml:space="preserve">מדינת ישראל  </w:t>
            </w:r>
          </w:p>
        </w:tc>
        <w:tc>
          <w:tcPr>
            <w:tcW w:w="2409" w:type="dxa"/>
          </w:tcPr>
          <w:p w14:paraId="326B07B2" w14:textId="77777777" w:rsidR="001E1F82" w:rsidRDefault="001E1F82"/>
        </w:tc>
      </w:tr>
      <w:bookmarkEnd w:id="1"/>
      <w:tr w:rsidR="001E1F82" w14:paraId="2FB83253" w14:textId="77777777">
        <w:tc>
          <w:tcPr>
            <w:tcW w:w="1474" w:type="dxa"/>
          </w:tcPr>
          <w:p w14:paraId="27F84608" w14:textId="77777777" w:rsidR="001E1F82" w:rsidRDefault="001E1F82">
            <w:pPr>
              <w:rPr>
                <w:b/>
                <w:bCs/>
                <w:sz w:val="24"/>
                <w:szCs w:val="24"/>
              </w:rPr>
            </w:pPr>
          </w:p>
        </w:tc>
        <w:tc>
          <w:tcPr>
            <w:tcW w:w="4764" w:type="dxa"/>
          </w:tcPr>
          <w:p w14:paraId="7AA361CA" w14:textId="77777777" w:rsidR="001E1F82" w:rsidRDefault="001E1F82">
            <w:pPr>
              <w:jc w:val="center"/>
            </w:pPr>
            <w:r>
              <w:rPr>
                <w:rFonts w:hint="cs"/>
                <w:rtl/>
              </w:rPr>
              <w:t>נגד</w:t>
            </w:r>
          </w:p>
        </w:tc>
        <w:tc>
          <w:tcPr>
            <w:tcW w:w="2409" w:type="dxa"/>
          </w:tcPr>
          <w:p w14:paraId="68EB8E1F" w14:textId="77777777" w:rsidR="001E1F82" w:rsidRDefault="001E1F82"/>
        </w:tc>
      </w:tr>
      <w:tr w:rsidR="001E1F82" w14:paraId="5F6318FB" w14:textId="77777777">
        <w:tc>
          <w:tcPr>
            <w:tcW w:w="1474" w:type="dxa"/>
          </w:tcPr>
          <w:p w14:paraId="486F65AE" w14:textId="77777777" w:rsidR="001E1F82" w:rsidRDefault="001E1F82">
            <w:pPr>
              <w:rPr>
                <w:b/>
                <w:bCs/>
                <w:sz w:val="24"/>
                <w:szCs w:val="24"/>
              </w:rPr>
            </w:pPr>
            <w:r>
              <w:rPr>
                <w:rFonts w:hint="cs"/>
                <w:b/>
                <w:bCs/>
                <w:sz w:val="24"/>
                <w:szCs w:val="24"/>
                <w:rtl/>
              </w:rPr>
              <w:t>הנאשם:</w:t>
            </w:r>
          </w:p>
        </w:tc>
        <w:tc>
          <w:tcPr>
            <w:tcW w:w="4764" w:type="dxa"/>
          </w:tcPr>
          <w:p w14:paraId="749CA1A5" w14:textId="77777777" w:rsidR="001E1F82" w:rsidRDefault="001E1F82">
            <w:pPr>
              <w:rPr>
                <w:sz w:val="24"/>
                <w:szCs w:val="24"/>
              </w:rPr>
            </w:pPr>
            <w:r>
              <w:rPr>
                <w:rFonts w:hint="cs"/>
                <w:b/>
                <w:bCs/>
                <w:sz w:val="24"/>
                <w:szCs w:val="24"/>
                <w:rtl/>
              </w:rPr>
              <w:t>צרפתי דוד</w:t>
            </w:r>
            <w:bookmarkStart w:id="2" w:name="שם_ב"/>
            <w:bookmarkEnd w:id="2"/>
            <w:r>
              <w:rPr>
                <w:rFonts w:hint="cs"/>
                <w:b/>
                <w:bCs/>
                <w:sz w:val="24"/>
                <w:szCs w:val="24"/>
                <w:rtl/>
              </w:rPr>
              <w:t xml:space="preserve"> (ת"ז </w:t>
            </w:r>
            <w:r w:rsidR="003214A8">
              <w:rPr>
                <w:b/>
                <w:bCs/>
                <w:sz w:val="24"/>
                <w:szCs w:val="24"/>
              </w:rPr>
              <w:t>xxxxxxxxx</w:t>
            </w:r>
            <w:r>
              <w:rPr>
                <w:rFonts w:hint="cs"/>
                <w:b/>
                <w:bCs/>
                <w:sz w:val="24"/>
                <w:szCs w:val="24"/>
                <w:rtl/>
              </w:rPr>
              <w:t>)</w:t>
            </w:r>
          </w:p>
        </w:tc>
        <w:tc>
          <w:tcPr>
            <w:tcW w:w="2409" w:type="dxa"/>
          </w:tcPr>
          <w:p w14:paraId="37F22430" w14:textId="77777777" w:rsidR="001E1F82" w:rsidRDefault="001E1F82"/>
        </w:tc>
      </w:tr>
    </w:tbl>
    <w:p w14:paraId="77C24353" w14:textId="77777777" w:rsidR="00D82F32" w:rsidRDefault="00D82F32">
      <w:pPr>
        <w:rPr>
          <w:rtl/>
        </w:rPr>
      </w:pPr>
      <w:bookmarkStart w:id="3" w:name="LawTable"/>
      <w:bookmarkEnd w:id="3"/>
    </w:p>
    <w:p w14:paraId="729DC7CD" w14:textId="77777777" w:rsidR="00D82F32" w:rsidRPr="00D82F32" w:rsidRDefault="00D82F32" w:rsidP="00D82F32">
      <w:pPr>
        <w:spacing w:after="120" w:line="240" w:lineRule="exact"/>
        <w:ind w:left="283" w:hanging="283"/>
        <w:jc w:val="both"/>
        <w:rPr>
          <w:rFonts w:ascii="FrankRuehl" w:hAnsi="FrankRuehl" w:cs="FrankRuehl"/>
          <w:sz w:val="24"/>
          <w:szCs w:val="24"/>
          <w:rtl/>
        </w:rPr>
      </w:pPr>
    </w:p>
    <w:p w14:paraId="2A06FF08" w14:textId="77777777" w:rsidR="00D82F32" w:rsidRPr="00D82F32" w:rsidRDefault="00D82F32" w:rsidP="00D82F32">
      <w:pPr>
        <w:spacing w:after="120" w:line="240" w:lineRule="exact"/>
        <w:ind w:left="283" w:hanging="283"/>
        <w:jc w:val="both"/>
        <w:rPr>
          <w:rFonts w:ascii="FrankRuehl" w:hAnsi="FrankRuehl" w:cs="FrankRuehl"/>
          <w:sz w:val="24"/>
          <w:szCs w:val="24"/>
          <w:rtl/>
        </w:rPr>
      </w:pPr>
      <w:r w:rsidRPr="00D82F32">
        <w:rPr>
          <w:rFonts w:ascii="FrankRuehl" w:hAnsi="FrankRuehl" w:cs="FrankRuehl"/>
          <w:sz w:val="24"/>
          <w:szCs w:val="24"/>
          <w:rtl/>
        </w:rPr>
        <w:t xml:space="preserve">חקיקה שאוזכרה: </w:t>
      </w:r>
    </w:p>
    <w:p w14:paraId="69729D9C" w14:textId="77777777" w:rsidR="00D82F32" w:rsidRPr="00D82F32" w:rsidRDefault="00D82F32" w:rsidP="00D82F32">
      <w:pPr>
        <w:spacing w:after="120" w:line="240" w:lineRule="exact"/>
        <w:ind w:left="283" w:hanging="283"/>
        <w:jc w:val="both"/>
        <w:rPr>
          <w:rFonts w:ascii="FrankRuehl" w:hAnsi="FrankRuehl" w:cs="FrankRuehl"/>
          <w:sz w:val="24"/>
          <w:szCs w:val="24"/>
          <w:rtl/>
        </w:rPr>
      </w:pPr>
      <w:hyperlink r:id="rId6" w:history="1">
        <w:r w:rsidRPr="00D82F32">
          <w:rPr>
            <w:rFonts w:ascii="FrankRuehl" w:hAnsi="FrankRuehl" w:cs="FrankRuehl"/>
            <w:color w:val="0000FF"/>
            <w:sz w:val="24"/>
            <w:szCs w:val="24"/>
            <w:u w:val="single"/>
            <w:rtl/>
          </w:rPr>
          <w:t>חוק העונשין, תשל"ז-1977</w:t>
        </w:r>
      </w:hyperlink>
      <w:r w:rsidRPr="00D82F32">
        <w:rPr>
          <w:rFonts w:ascii="FrankRuehl" w:hAnsi="FrankRuehl" w:cs="FrankRuehl"/>
          <w:sz w:val="24"/>
          <w:szCs w:val="24"/>
          <w:rtl/>
        </w:rPr>
        <w:t xml:space="preserve">: סע'  </w:t>
      </w:r>
      <w:hyperlink r:id="rId7" w:history="1">
        <w:r w:rsidRPr="00D82F32">
          <w:rPr>
            <w:rFonts w:ascii="FrankRuehl" w:hAnsi="FrankRuehl" w:cs="FrankRuehl"/>
            <w:color w:val="0000FF"/>
            <w:sz w:val="24"/>
            <w:szCs w:val="24"/>
            <w:u w:val="single"/>
            <w:rtl/>
          </w:rPr>
          <w:t>348(ג)</w:t>
        </w:r>
      </w:hyperlink>
    </w:p>
    <w:p w14:paraId="6D15635A" w14:textId="77777777" w:rsidR="00D82F32" w:rsidRPr="00D82F32" w:rsidRDefault="00D82F32" w:rsidP="00D82F32">
      <w:pPr>
        <w:spacing w:after="120" w:line="240" w:lineRule="exact"/>
        <w:ind w:left="283" w:hanging="283"/>
        <w:jc w:val="both"/>
        <w:rPr>
          <w:rFonts w:ascii="FrankRuehl" w:hAnsi="FrankRuehl" w:cs="FrankRuehl"/>
          <w:sz w:val="24"/>
          <w:szCs w:val="24"/>
          <w:rtl/>
        </w:rPr>
      </w:pPr>
      <w:hyperlink r:id="rId8" w:history="1">
        <w:r w:rsidRPr="00D82F32">
          <w:rPr>
            <w:rFonts w:ascii="FrankRuehl" w:hAnsi="FrankRuehl" w:cs="FrankRuehl"/>
            <w:color w:val="0000FF"/>
            <w:sz w:val="24"/>
            <w:szCs w:val="24"/>
            <w:u w:val="single"/>
            <w:rtl/>
          </w:rPr>
          <w:t>חוק למניעת הטרדה מינית, תשנ"ח-1998</w:t>
        </w:r>
      </w:hyperlink>
      <w:r w:rsidRPr="00D82F32">
        <w:rPr>
          <w:rFonts w:ascii="FrankRuehl" w:hAnsi="FrankRuehl" w:cs="FrankRuehl"/>
          <w:sz w:val="24"/>
          <w:szCs w:val="24"/>
          <w:rtl/>
        </w:rPr>
        <w:t xml:space="preserve">: סע'  </w:t>
      </w:r>
      <w:hyperlink r:id="rId9" w:history="1">
        <w:r w:rsidRPr="00D82F32">
          <w:rPr>
            <w:rFonts w:ascii="FrankRuehl" w:hAnsi="FrankRuehl" w:cs="FrankRuehl"/>
            <w:color w:val="0000FF"/>
            <w:sz w:val="24"/>
            <w:szCs w:val="24"/>
            <w:u w:val="single"/>
            <w:rtl/>
          </w:rPr>
          <w:t>3(א)(2)</w:t>
        </w:r>
      </w:hyperlink>
      <w:r w:rsidRPr="00D82F32">
        <w:rPr>
          <w:rFonts w:ascii="FrankRuehl" w:hAnsi="FrankRuehl" w:cs="FrankRuehl"/>
          <w:sz w:val="24"/>
          <w:szCs w:val="24"/>
          <w:rtl/>
        </w:rPr>
        <w:t xml:space="preserve">, </w:t>
      </w:r>
      <w:hyperlink r:id="rId10" w:history="1">
        <w:r w:rsidRPr="00D82F32">
          <w:rPr>
            <w:rFonts w:ascii="FrankRuehl" w:hAnsi="FrankRuehl" w:cs="FrankRuehl"/>
            <w:color w:val="0000FF"/>
            <w:sz w:val="24"/>
            <w:szCs w:val="24"/>
            <w:u w:val="single"/>
            <w:rtl/>
          </w:rPr>
          <w:t>(3)</w:t>
        </w:r>
      </w:hyperlink>
      <w:r w:rsidRPr="00D82F32">
        <w:rPr>
          <w:rFonts w:ascii="FrankRuehl" w:hAnsi="FrankRuehl" w:cs="FrankRuehl"/>
          <w:sz w:val="24"/>
          <w:szCs w:val="24"/>
          <w:rtl/>
        </w:rPr>
        <w:t xml:space="preserve">, </w:t>
      </w:r>
      <w:hyperlink r:id="rId11" w:history="1">
        <w:r w:rsidRPr="00D82F32">
          <w:rPr>
            <w:rFonts w:ascii="FrankRuehl" w:hAnsi="FrankRuehl" w:cs="FrankRuehl"/>
            <w:color w:val="0000FF"/>
            <w:sz w:val="24"/>
            <w:szCs w:val="24"/>
            <w:u w:val="single"/>
            <w:rtl/>
          </w:rPr>
          <w:t>5</w:t>
        </w:r>
      </w:hyperlink>
    </w:p>
    <w:p w14:paraId="6891734C" w14:textId="77777777" w:rsidR="00D82F32" w:rsidRPr="00D82F32" w:rsidRDefault="00D82F32" w:rsidP="00D82F32">
      <w:pPr>
        <w:spacing w:after="120" w:line="240" w:lineRule="exact"/>
        <w:ind w:left="283" w:hanging="283"/>
        <w:jc w:val="both"/>
        <w:rPr>
          <w:rFonts w:ascii="FrankRuehl" w:hAnsi="FrankRuehl" w:cs="FrankRuehl"/>
          <w:sz w:val="24"/>
          <w:szCs w:val="24"/>
          <w:rtl/>
        </w:rPr>
      </w:pPr>
    </w:p>
    <w:p w14:paraId="2F011156" w14:textId="77777777" w:rsidR="00D82F32" w:rsidRPr="00D82F32" w:rsidRDefault="00D82F32">
      <w:pPr>
        <w:rPr>
          <w:rtl/>
        </w:rPr>
      </w:pPr>
      <w:bookmarkStart w:id="4" w:name="LawTable_End"/>
      <w:bookmarkEnd w:id="4"/>
    </w:p>
    <w:p w14:paraId="5702EB34" w14:textId="77777777" w:rsidR="00D82F32" w:rsidRPr="00D82F32" w:rsidRDefault="00D82F32">
      <w:pPr>
        <w:rPr>
          <w:rtl/>
        </w:rPr>
      </w:pPr>
    </w:p>
    <w:p w14:paraId="2606175D" w14:textId="77777777" w:rsidR="001E1F82" w:rsidRPr="00D82F32" w:rsidRDefault="001E1F82">
      <w:pPr>
        <w:rPr>
          <w:rFonts w:hint="cs"/>
          <w:rtl/>
        </w:rPr>
      </w:pPr>
    </w:p>
    <w:p w14:paraId="52BB0CB9" w14:textId="77777777" w:rsidR="003214A8" w:rsidRPr="003214A8" w:rsidRDefault="003214A8">
      <w:pPr>
        <w:pStyle w:val="Heading4"/>
        <w:rPr>
          <w:b w:val="0"/>
          <w:bCs w:val="0"/>
          <w:sz w:val="30"/>
          <w:szCs w:val="30"/>
          <w:u w:val="none"/>
          <w:rtl/>
        </w:rPr>
      </w:pPr>
      <w:bookmarkStart w:id="5" w:name="סוג_מסמך"/>
      <w:bookmarkEnd w:id="5"/>
    </w:p>
    <w:p w14:paraId="6CE3E90D" w14:textId="77777777" w:rsidR="003214A8" w:rsidRPr="003214A8" w:rsidRDefault="003214A8">
      <w:pPr>
        <w:pStyle w:val="Heading4"/>
        <w:rPr>
          <w:sz w:val="30"/>
          <w:szCs w:val="30"/>
          <w:u w:val="none"/>
          <w:rtl/>
        </w:rPr>
      </w:pPr>
    </w:p>
    <w:p w14:paraId="7E707B60" w14:textId="77777777" w:rsidR="001E1F82" w:rsidRPr="003214A8" w:rsidRDefault="001E1F82">
      <w:pPr>
        <w:pStyle w:val="Heading4"/>
        <w:rPr>
          <w:sz w:val="30"/>
          <w:szCs w:val="30"/>
          <w:u w:val="none"/>
          <w:rtl/>
        </w:rPr>
      </w:pPr>
    </w:p>
    <w:p w14:paraId="3C3A0231" w14:textId="77777777" w:rsidR="001E1F82" w:rsidRDefault="001E1F82">
      <w:pPr>
        <w:jc w:val="center"/>
        <w:rPr>
          <w:b/>
          <w:bCs/>
          <w:sz w:val="30"/>
          <w:szCs w:val="30"/>
          <w:u w:val="single"/>
          <w:rtl/>
        </w:rPr>
      </w:pPr>
      <w:bookmarkStart w:id="6" w:name="PsakDin"/>
      <w:bookmarkEnd w:id="0"/>
      <w:r>
        <w:rPr>
          <w:b/>
          <w:bCs/>
          <w:sz w:val="30"/>
          <w:szCs w:val="30"/>
          <w:u w:val="single"/>
          <w:rtl/>
        </w:rPr>
        <w:t>הכרעת-דין</w:t>
      </w:r>
    </w:p>
    <w:bookmarkEnd w:id="6"/>
    <w:p w14:paraId="1872F66F" w14:textId="77777777" w:rsidR="001E1F82" w:rsidRDefault="001E1F82">
      <w:pPr>
        <w:rPr>
          <w:rFonts w:hint="cs"/>
          <w:sz w:val="24"/>
          <w:szCs w:val="24"/>
          <w:rtl/>
        </w:rPr>
      </w:pPr>
    </w:p>
    <w:p w14:paraId="0D64B1A1" w14:textId="77777777" w:rsidR="001E1F82" w:rsidRDefault="001E1F82">
      <w:pPr>
        <w:rPr>
          <w:rFonts w:hint="cs"/>
          <w:sz w:val="26"/>
          <w:rtl/>
        </w:rPr>
      </w:pPr>
      <w:r>
        <w:rPr>
          <w:rFonts w:hint="cs"/>
          <w:sz w:val="26"/>
          <w:rtl/>
        </w:rPr>
        <w:t>בפתח הדברים אני מודיעה כי החלטתי לזכות את הנאשם.</w:t>
      </w:r>
    </w:p>
    <w:p w14:paraId="6AFF34E5" w14:textId="77777777" w:rsidR="001E1F82" w:rsidRDefault="001E1F82">
      <w:pPr>
        <w:rPr>
          <w:rFonts w:hint="cs"/>
          <w:sz w:val="24"/>
          <w:szCs w:val="24"/>
          <w:rtl/>
        </w:rPr>
      </w:pPr>
    </w:p>
    <w:p w14:paraId="5B9D1300" w14:textId="77777777" w:rsidR="001E1F82" w:rsidRDefault="001E1F82">
      <w:pPr>
        <w:ind w:left="720" w:hanging="720"/>
        <w:jc w:val="both"/>
        <w:rPr>
          <w:rFonts w:hint="cs"/>
          <w:sz w:val="26"/>
          <w:rtl/>
        </w:rPr>
      </w:pPr>
      <w:r>
        <w:rPr>
          <w:rFonts w:hint="cs"/>
          <w:sz w:val="26"/>
          <w:rtl/>
        </w:rPr>
        <w:t>1.</w:t>
      </w:r>
      <w:r>
        <w:rPr>
          <w:rFonts w:hint="cs"/>
          <w:sz w:val="26"/>
          <w:rtl/>
        </w:rPr>
        <w:tab/>
      </w:r>
      <w:bookmarkStart w:id="7" w:name="ABSTRACT_START"/>
      <w:bookmarkEnd w:id="7"/>
      <w:r>
        <w:rPr>
          <w:rFonts w:hint="cs"/>
          <w:sz w:val="26"/>
          <w:rtl/>
        </w:rPr>
        <w:t xml:space="preserve">הנאשם עומד לדין בעבירות של מעשה מגונה באדם, עבירה לפי </w:t>
      </w:r>
      <w:hyperlink r:id="rId12" w:history="1">
        <w:r w:rsidR="00D82F32" w:rsidRPr="00D82F32">
          <w:rPr>
            <w:color w:val="0000FF"/>
            <w:sz w:val="26"/>
            <w:u w:val="single"/>
            <w:rtl/>
          </w:rPr>
          <w:t>סעיף 348(ג)</w:t>
        </w:r>
      </w:hyperlink>
      <w:r>
        <w:rPr>
          <w:rFonts w:hint="cs"/>
          <w:sz w:val="26"/>
          <w:rtl/>
        </w:rPr>
        <w:t xml:space="preserve"> ל</w:t>
      </w:r>
      <w:hyperlink r:id="rId13" w:history="1">
        <w:r w:rsidR="003214A8" w:rsidRPr="003214A8">
          <w:rPr>
            <w:rStyle w:val="Hyperlink"/>
            <w:rFonts w:hint="eastAsia"/>
            <w:sz w:val="26"/>
            <w:rtl/>
          </w:rPr>
          <w:t>חוק</w:t>
        </w:r>
        <w:r w:rsidR="003214A8" w:rsidRPr="003214A8">
          <w:rPr>
            <w:rStyle w:val="Hyperlink"/>
            <w:sz w:val="26"/>
            <w:rtl/>
          </w:rPr>
          <w:t xml:space="preserve"> העונשין</w:t>
        </w:r>
      </w:hyperlink>
      <w:r>
        <w:rPr>
          <w:rFonts w:hint="cs"/>
          <w:sz w:val="26"/>
          <w:rtl/>
        </w:rPr>
        <w:t xml:space="preserve">, ועבירה בניגוד </w:t>
      </w:r>
      <w:hyperlink r:id="rId14" w:history="1">
        <w:r w:rsidR="00D82F32" w:rsidRPr="00D82F32">
          <w:rPr>
            <w:color w:val="0000FF"/>
            <w:sz w:val="26"/>
            <w:u w:val="single"/>
            <w:rtl/>
          </w:rPr>
          <w:t>לסעיף 3(א)(2)</w:t>
        </w:r>
      </w:hyperlink>
      <w:r>
        <w:rPr>
          <w:rFonts w:hint="cs"/>
          <w:sz w:val="26"/>
          <w:rtl/>
        </w:rPr>
        <w:t xml:space="preserve"> + </w:t>
      </w:r>
      <w:hyperlink r:id="rId15" w:history="1">
        <w:r w:rsidR="00D82F32" w:rsidRPr="00D82F32">
          <w:rPr>
            <w:rStyle w:val="Hyperlink"/>
            <w:sz w:val="26"/>
            <w:rtl/>
          </w:rPr>
          <w:t>(3)</w:t>
        </w:r>
      </w:hyperlink>
      <w:r>
        <w:rPr>
          <w:rFonts w:hint="cs"/>
          <w:sz w:val="26"/>
          <w:rtl/>
        </w:rPr>
        <w:t xml:space="preserve"> + </w:t>
      </w:r>
      <w:hyperlink r:id="rId16" w:history="1">
        <w:r w:rsidR="00D82F32" w:rsidRPr="00D82F32">
          <w:rPr>
            <w:color w:val="0000FF"/>
            <w:sz w:val="26"/>
            <w:u w:val="single"/>
            <w:rtl/>
          </w:rPr>
          <w:t>5</w:t>
        </w:r>
      </w:hyperlink>
      <w:r>
        <w:rPr>
          <w:rFonts w:hint="cs"/>
          <w:sz w:val="26"/>
          <w:rtl/>
        </w:rPr>
        <w:t xml:space="preserve"> ל</w:t>
      </w:r>
      <w:hyperlink r:id="rId17" w:history="1">
        <w:r w:rsidR="003214A8" w:rsidRPr="003214A8">
          <w:rPr>
            <w:rStyle w:val="Hyperlink"/>
            <w:rFonts w:hint="eastAsia"/>
            <w:sz w:val="26"/>
            <w:rtl/>
          </w:rPr>
          <w:t>חוק</w:t>
        </w:r>
        <w:r w:rsidR="003214A8" w:rsidRPr="003214A8">
          <w:rPr>
            <w:rStyle w:val="Hyperlink"/>
            <w:sz w:val="26"/>
            <w:rtl/>
          </w:rPr>
          <w:t xml:space="preserve"> למניעת הטרדה מינית</w:t>
        </w:r>
      </w:hyperlink>
      <w:r>
        <w:rPr>
          <w:rFonts w:hint="cs"/>
          <w:sz w:val="26"/>
          <w:rtl/>
        </w:rPr>
        <w:t xml:space="preserve"> התשנ"ח – 1998.</w:t>
      </w:r>
      <w:bookmarkStart w:id="8" w:name="ABSTRACT_END"/>
      <w:bookmarkEnd w:id="8"/>
    </w:p>
    <w:p w14:paraId="33EED0BA" w14:textId="77777777" w:rsidR="001E1F82" w:rsidRDefault="001E1F82">
      <w:pPr>
        <w:ind w:left="720" w:hanging="720"/>
        <w:jc w:val="both"/>
        <w:rPr>
          <w:rFonts w:hint="cs"/>
          <w:sz w:val="26"/>
          <w:rtl/>
        </w:rPr>
      </w:pPr>
      <w:r>
        <w:rPr>
          <w:rFonts w:hint="cs"/>
          <w:sz w:val="26"/>
          <w:rtl/>
        </w:rPr>
        <w:tab/>
      </w:r>
    </w:p>
    <w:p w14:paraId="6BCA2E5C" w14:textId="77777777" w:rsidR="001E1F82" w:rsidRDefault="001E1F82">
      <w:pPr>
        <w:ind w:left="720" w:hanging="720"/>
        <w:jc w:val="both"/>
        <w:rPr>
          <w:rFonts w:hint="cs"/>
          <w:sz w:val="26"/>
          <w:rtl/>
        </w:rPr>
      </w:pPr>
      <w:r>
        <w:rPr>
          <w:rFonts w:hint="cs"/>
          <w:sz w:val="26"/>
          <w:rtl/>
        </w:rPr>
        <w:tab/>
        <w:t xml:space="preserve">על פי עובדות כתב האישום, בתקופה הרלוונטית היה הנאשם בעלים של מונית "סיטרואן קסרה", מ.ר. 25-207-46. בתאריך 15/08/02, אחר הצהריים, באזור </w:t>
      </w:r>
      <w:r>
        <w:rPr>
          <w:rFonts w:hint="cs"/>
          <w:sz w:val="26"/>
          <w:rtl/>
        </w:rPr>
        <w:lastRenderedPageBreak/>
        <w:t xml:space="preserve">התעשיה ברעננה, עלתה מאיה לוי (להלן: "המתלוננת"), למונית וביקשה להגיע להרצליה. במונית ישבו הנהג זאב נגר ולצידו, במושב הקדמי, ישב הנאשם. </w:t>
      </w:r>
    </w:p>
    <w:p w14:paraId="46616181" w14:textId="77777777" w:rsidR="001E1F82" w:rsidRDefault="001E1F82">
      <w:pPr>
        <w:ind w:left="720" w:hanging="720"/>
        <w:jc w:val="both"/>
        <w:rPr>
          <w:rFonts w:hint="cs"/>
          <w:sz w:val="26"/>
          <w:rtl/>
        </w:rPr>
      </w:pPr>
      <w:r>
        <w:rPr>
          <w:rFonts w:hint="cs"/>
          <w:sz w:val="26"/>
          <w:rtl/>
        </w:rPr>
        <w:tab/>
        <w:t>נטען, כי במהלך הנסיעה עבר הנאשם דרך המעבר שבין שני המושבים הקדמיים והתיישב במושב האחורי, תוך שהוא מצמיד גופו לגופה של המתלוננת ואמר לה: "את באה איתי לבית שלי בכפר-סבא". המתלוננת השיבה: "מה פתאום"?</w:t>
      </w:r>
    </w:p>
    <w:p w14:paraId="20E662DD" w14:textId="77777777" w:rsidR="001E1F82" w:rsidRDefault="001E1F82">
      <w:pPr>
        <w:ind w:left="720" w:hanging="720"/>
        <w:jc w:val="both"/>
        <w:rPr>
          <w:rFonts w:hint="cs"/>
          <w:sz w:val="26"/>
          <w:rtl/>
        </w:rPr>
      </w:pPr>
      <w:r>
        <w:rPr>
          <w:rFonts w:hint="cs"/>
          <w:sz w:val="26"/>
          <w:rtl/>
        </w:rPr>
        <w:tab/>
        <w:t xml:space="preserve">נטען בהמשך, כי הנאשם נגע ברגלה והיא הסיטה ידו ממנה, החזיק בידה ואמר לה שיש לה ציפורניים יפות הצריכות מילוי, והיא הרחיקה ידו מידה. כשאמרה לו המתלוננת שיש לה חבר, שב מיד הנאשם למושב הקדמי, סובב פניו כלפי המתלוננת, הושיט ידו וליטף שערות ראשה של המתלוננת ואמר לה: "איזו בחורה, לא רואים בחורה יפה כמוך כל יום". </w:t>
      </w:r>
      <w:r>
        <w:rPr>
          <w:rFonts w:hint="cs"/>
          <w:sz w:val="26"/>
          <w:rtl/>
        </w:rPr>
        <w:tab/>
        <w:t>בשלב זה ביקשה המתלוננת לרדת מהמונית. הנהג אמר לה שיקח אותה להרצליה, הנאשם ירד מהמונית והנהג התנצל בפניה כשדמעות בעיניו.</w:t>
      </w:r>
    </w:p>
    <w:p w14:paraId="416B7953" w14:textId="77777777" w:rsidR="001E1F82" w:rsidRDefault="001E1F82">
      <w:pPr>
        <w:ind w:left="720" w:hanging="720"/>
        <w:jc w:val="both"/>
        <w:rPr>
          <w:rFonts w:hint="cs"/>
          <w:sz w:val="26"/>
          <w:rtl/>
        </w:rPr>
      </w:pPr>
    </w:p>
    <w:p w14:paraId="531A321A" w14:textId="77777777" w:rsidR="001E1F82" w:rsidRDefault="001E1F82">
      <w:pPr>
        <w:ind w:left="720" w:hanging="720"/>
        <w:jc w:val="both"/>
        <w:rPr>
          <w:rFonts w:hint="cs"/>
          <w:sz w:val="26"/>
          <w:rtl/>
        </w:rPr>
      </w:pPr>
      <w:r>
        <w:rPr>
          <w:rFonts w:hint="cs"/>
          <w:sz w:val="26"/>
          <w:rtl/>
        </w:rPr>
        <w:t>2.</w:t>
      </w:r>
      <w:r>
        <w:rPr>
          <w:rFonts w:hint="cs"/>
          <w:sz w:val="26"/>
          <w:rtl/>
        </w:rPr>
        <w:tab/>
        <w:t xml:space="preserve">בתשובה לכתב האישום, הודה הנאשם בנוכחותו במונית ובנסיעה המשותפת עם המתלוננת. הנאשם הודה שעבר למושב האחורי ומכחיש שנצמד לגופה של המתלוננת ונגע ברגלה של המתלוננת. מודה שאמר לה שיש לה ציפורניים יפות וכשהושיטה את ידה, נגע בציפורניה. מודה שחזר למושב הקדמי, וטוען כי משלב זה לא היתה לו יותר שיחה עם המתלוננת ולא נגע בה. </w:t>
      </w:r>
    </w:p>
    <w:p w14:paraId="2F00FE31" w14:textId="77777777" w:rsidR="001E1F82" w:rsidRDefault="001E1F82">
      <w:pPr>
        <w:ind w:left="720" w:hanging="720"/>
        <w:jc w:val="both"/>
        <w:rPr>
          <w:rFonts w:hint="cs"/>
          <w:sz w:val="26"/>
          <w:rtl/>
        </w:rPr>
      </w:pPr>
    </w:p>
    <w:p w14:paraId="5424631C" w14:textId="77777777" w:rsidR="001E1F82" w:rsidRDefault="001E1F82">
      <w:pPr>
        <w:ind w:left="720" w:hanging="720"/>
        <w:jc w:val="both"/>
        <w:rPr>
          <w:rFonts w:hint="cs"/>
          <w:sz w:val="26"/>
          <w:rtl/>
        </w:rPr>
      </w:pPr>
      <w:r>
        <w:rPr>
          <w:rFonts w:hint="cs"/>
          <w:sz w:val="26"/>
          <w:rtl/>
        </w:rPr>
        <w:t>3.</w:t>
      </w:r>
      <w:r>
        <w:rPr>
          <w:rFonts w:hint="cs"/>
          <w:sz w:val="26"/>
          <w:rtl/>
        </w:rPr>
        <w:tab/>
        <w:t>שתי שאלות להכרעה:</w:t>
      </w:r>
    </w:p>
    <w:p w14:paraId="12FB03B0" w14:textId="77777777" w:rsidR="001E1F82" w:rsidRDefault="001E1F82">
      <w:pPr>
        <w:ind w:left="720" w:hanging="720"/>
        <w:jc w:val="both"/>
        <w:rPr>
          <w:rFonts w:hint="cs"/>
          <w:sz w:val="26"/>
          <w:rtl/>
        </w:rPr>
      </w:pPr>
      <w:r>
        <w:rPr>
          <w:rFonts w:hint="cs"/>
          <w:sz w:val="26"/>
          <w:rtl/>
        </w:rPr>
        <w:tab/>
        <w:t>א.</w:t>
      </w:r>
      <w:r>
        <w:rPr>
          <w:rFonts w:hint="cs"/>
          <w:sz w:val="26"/>
          <w:rtl/>
        </w:rPr>
        <w:tab/>
        <w:t>האם הנאשם ביצע את המעשים המיוחסים לו?</w:t>
      </w:r>
    </w:p>
    <w:p w14:paraId="42C93A99" w14:textId="77777777" w:rsidR="001E1F82" w:rsidRDefault="001E1F82">
      <w:pPr>
        <w:ind w:left="1440" w:hanging="720"/>
        <w:jc w:val="both"/>
        <w:rPr>
          <w:rFonts w:hint="cs"/>
          <w:sz w:val="26"/>
          <w:rtl/>
        </w:rPr>
      </w:pPr>
      <w:r>
        <w:rPr>
          <w:rFonts w:hint="cs"/>
          <w:sz w:val="26"/>
          <w:rtl/>
        </w:rPr>
        <w:t>ב.</w:t>
      </w:r>
      <w:r>
        <w:rPr>
          <w:rFonts w:hint="cs"/>
          <w:sz w:val="26"/>
          <w:rtl/>
        </w:rPr>
        <w:tab/>
        <w:t>האם המעשים שבוצעו מגבשים, בנסיבות המקרה, את העבירות המיוחסות לנאשם.</w:t>
      </w:r>
    </w:p>
    <w:p w14:paraId="3CD9DA3F" w14:textId="77777777" w:rsidR="001E1F82" w:rsidRDefault="001E1F82">
      <w:pPr>
        <w:ind w:left="720" w:firstLine="720"/>
        <w:jc w:val="both"/>
        <w:rPr>
          <w:rFonts w:hint="cs"/>
          <w:sz w:val="26"/>
          <w:rtl/>
        </w:rPr>
      </w:pPr>
    </w:p>
    <w:p w14:paraId="0C96747D" w14:textId="77777777" w:rsidR="001E1F82" w:rsidRDefault="001E1F82">
      <w:pPr>
        <w:ind w:left="720" w:hanging="720"/>
        <w:jc w:val="both"/>
        <w:rPr>
          <w:rFonts w:hint="cs"/>
          <w:sz w:val="26"/>
          <w:rtl/>
        </w:rPr>
      </w:pPr>
      <w:r>
        <w:rPr>
          <w:rFonts w:hint="cs"/>
          <w:sz w:val="26"/>
          <w:rtl/>
        </w:rPr>
        <w:t>4.</w:t>
      </w:r>
      <w:r>
        <w:rPr>
          <w:rFonts w:hint="cs"/>
          <w:sz w:val="26"/>
          <w:rtl/>
        </w:rPr>
        <w:tab/>
        <w:t>התביעה זימנה לעדות שני עדים, המתלוננת ומר זאב נגר – נהג המונית. הוגשה הודעת הנאשם במשטרה.</w:t>
      </w:r>
    </w:p>
    <w:p w14:paraId="02FF8B79" w14:textId="77777777" w:rsidR="001E1F82" w:rsidRDefault="001E1F82">
      <w:pPr>
        <w:ind w:left="720" w:hanging="720"/>
        <w:jc w:val="both"/>
        <w:rPr>
          <w:rFonts w:hint="cs"/>
          <w:sz w:val="26"/>
          <w:rtl/>
        </w:rPr>
      </w:pPr>
      <w:r>
        <w:rPr>
          <w:rFonts w:hint="cs"/>
          <w:sz w:val="26"/>
          <w:rtl/>
        </w:rPr>
        <w:tab/>
        <w:t>הנאשם העיד כעד הגנה.</w:t>
      </w:r>
    </w:p>
    <w:p w14:paraId="20964CF1" w14:textId="77777777" w:rsidR="001E1F82" w:rsidRDefault="001E1F82">
      <w:pPr>
        <w:ind w:left="720" w:hanging="720"/>
        <w:rPr>
          <w:rFonts w:hint="cs"/>
          <w:sz w:val="26"/>
          <w:rtl/>
        </w:rPr>
      </w:pPr>
    </w:p>
    <w:p w14:paraId="411284EE" w14:textId="77777777" w:rsidR="001E1F82" w:rsidRDefault="001E1F82">
      <w:pPr>
        <w:ind w:left="720" w:hanging="720"/>
        <w:rPr>
          <w:rFonts w:hint="cs"/>
          <w:sz w:val="26"/>
          <w:rtl/>
        </w:rPr>
      </w:pPr>
      <w:r>
        <w:rPr>
          <w:rFonts w:hint="cs"/>
          <w:sz w:val="26"/>
          <w:rtl/>
        </w:rPr>
        <w:t>5.</w:t>
      </w:r>
      <w:r>
        <w:rPr>
          <w:rFonts w:hint="cs"/>
          <w:sz w:val="26"/>
          <w:rtl/>
        </w:rPr>
        <w:tab/>
      </w:r>
      <w:r>
        <w:rPr>
          <w:rFonts w:hint="cs"/>
          <w:b/>
          <w:bCs/>
          <w:sz w:val="26"/>
          <w:u w:val="single"/>
          <w:rtl/>
        </w:rPr>
        <w:t>עדות המתלוננת</w:t>
      </w:r>
    </w:p>
    <w:p w14:paraId="7E8284F6" w14:textId="77777777" w:rsidR="001E1F82" w:rsidRDefault="001E1F82">
      <w:pPr>
        <w:ind w:left="720" w:hanging="720"/>
        <w:jc w:val="both"/>
        <w:rPr>
          <w:rFonts w:hint="cs"/>
          <w:sz w:val="26"/>
          <w:rtl/>
        </w:rPr>
      </w:pPr>
      <w:r>
        <w:rPr>
          <w:rFonts w:hint="cs"/>
          <w:sz w:val="26"/>
          <w:rtl/>
        </w:rPr>
        <w:tab/>
        <w:t>המתלוננת כיום בת 24, נשואה ואם לילד.</w:t>
      </w:r>
    </w:p>
    <w:p w14:paraId="7033BDC9" w14:textId="77777777" w:rsidR="001E1F82" w:rsidRDefault="001E1F82">
      <w:pPr>
        <w:ind w:left="720" w:hanging="720"/>
        <w:jc w:val="both"/>
        <w:rPr>
          <w:rFonts w:hint="cs"/>
          <w:sz w:val="26"/>
          <w:rtl/>
        </w:rPr>
      </w:pPr>
      <w:r>
        <w:rPr>
          <w:rFonts w:hint="cs"/>
          <w:sz w:val="26"/>
          <w:rtl/>
        </w:rPr>
        <w:tab/>
        <w:t>בתאריך הרלוונטי היתה רווקה, התגוררה בהרצליה.</w:t>
      </w:r>
    </w:p>
    <w:p w14:paraId="0C04C1EE" w14:textId="77777777" w:rsidR="001E1F82" w:rsidRDefault="001E1F82">
      <w:pPr>
        <w:ind w:left="720" w:hanging="720"/>
        <w:jc w:val="both"/>
        <w:rPr>
          <w:rFonts w:hint="cs"/>
          <w:sz w:val="26"/>
          <w:rtl/>
        </w:rPr>
      </w:pPr>
      <w:r>
        <w:rPr>
          <w:rFonts w:hint="cs"/>
          <w:sz w:val="26"/>
          <w:rtl/>
        </w:rPr>
        <w:lastRenderedPageBreak/>
        <w:tab/>
        <w:t xml:space="preserve">היא העידה, כי בתאריך הרלוונטי יצאה מקניון "רננים" ברעננה ועלתה על מונית פרטית (מוניות אב-ים) כדי להגיע לביתה בהרצליה. היא התיישבה במושב האחורי והנאשם התיישב במושב הקדמי, ליד הנהג. לאחר שהנהג החל בנסיעתו, הנאשם עבר מבין שני המושבים הקדמיים למושב האחורי והתיישב לידה. הנהג שאל "לאן", והיא השיבה "להרצליה". הנאשם התערב ואמר "לא, נוסעים לבית שלי בכפר-סבא", ונגע לה ברגל. לדבריה, נלחצה כשראתה שהנהג נוסע בדרך שאינה מכירה. הנהג השיב שלא תדאג, שהוא נוסע להרצליה. הנאשם נגע לה בציפורניים, אמר לה שיש לה ציפורניים יפות ואמר לה שהיא צריכה מילוי. הנאשם חזר לשבת קדימה על הברכיים, כשהפנים מופנות אליה, והעביר יד בין שערות ראשה. הנאשם אמר לה שהיא בחורה יפה ולא כל יום רואים בחורה כמוה. </w:t>
      </w:r>
    </w:p>
    <w:p w14:paraId="2D908F52" w14:textId="77777777" w:rsidR="001E1F82" w:rsidRDefault="001E1F82">
      <w:pPr>
        <w:ind w:left="720" w:hanging="720"/>
        <w:jc w:val="both"/>
        <w:rPr>
          <w:rFonts w:hint="cs"/>
          <w:sz w:val="26"/>
          <w:rtl/>
        </w:rPr>
      </w:pPr>
      <w:r>
        <w:rPr>
          <w:rFonts w:hint="cs"/>
          <w:sz w:val="26"/>
          <w:rtl/>
        </w:rPr>
        <w:tab/>
        <w:t xml:space="preserve">הנהג הוריד את הנאשם ברחוב "אחוזה" ואותה בסמוך לביתה בהרצליה. </w:t>
      </w:r>
    </w:p>
    <w:p w14:paraId="1DD6F7AF" w14:textId="77777777" w:rsidR="001E1F82" w:rsidRDefault="001E1F82">
      <w:pPr>
        <w:ind w:left="720" w:hanging="720"/>
        <w:jc w:val="both"/>
        <w:rPr>
          <w:rFonts w:hint="cs"/>
          <w:sz w:val="26"/>
          <w:rtl/>
        </w:rPr>
      </w:pPr>
      <w:r>
        <w:rPr>
          <w:rFonts w:hint="cs"/>
          <w:sz w:val="26"/>
          <w:rtl/>
        </w:rPr>
        <w:tab/>
        <w:t xml:space="preserve">היא העידה, כי בשלב כלשהו ביקשה מהנהג שיוריד אותה באמצע הדרך, והוא השיב לה שהוא לא מוריד בחורות באמצע הכביש, וסיפר לה כי המונית שייכת לנאשם והוא עובד אצלו. </w:t>
      </w:r>
    </w:p>
    <w:p w14:paraId="5AE8C592" w14:textId="77777777" w:rsidR="001E1F82" w:rsidRDefault="001E1F82">
      <w:pPr>
        <w:ind w:left="720" w:hanging="720"/>
        <w:jc w:val="both"/>
        <w:rPr>
          <w:rFonts w:hint="cs"/>
          <w:sz w:val="26"/>
          <w:rtl/>
        </w:rPr>
      </w:pPr>
      <w:r>
        <w:rPr>
          <w:rFonts w:hint="cs"/>
          <w:sz w:val="26"/>
          <w:rtl/>
        </w:rPr>
        <w:tab/>
        <w:t xml:space="preserve">היא מציינת, כי נלחצה מהמסלול בו נסע הנהג ומהעובדה שהנאשם עבר למושב האחורי. </w:t>
      </w:r>
    </w:p>
    <w:p w14:paraId="2EF05971" w14:textId="77777777" w:rsidR="001E1F82" w:rsidRDefault="001E1F82">
      <w:pPr>
        <w:ind w:left="720" w:hanging="720"/>
        <w:jc w:val="both"/>
        <w:rPr>
          <w:rFonts w:hint="cs"/>
          <w:sz w:val="26"/>
          <w:rtl/>
        </w:rPr>
      </w:pPr>
      <w:r>
        <w:rPr>
          <w:rFonts w:hint="cs"/>
          <w:sz w:val="26"/>
          <w:rtl/>
        </w:rPr>
        <w:tab/>
        <w:t>עד כאן עדותה בחקירה ראשית.</w:t>
      </w:r>
    </w:p>
    <w:p w14:paraId="55A41100" w14:textId="77777777" w:rsidR="001E1F82" w:rsidRDefault="001E1F82">
      <w:pPr>
        <w:ind w:left="720" w:hanging="720"/>
        <w:jc w:val="both"/>
        <w:rPr>
          <w:rFonts w:hint="cs"/>
          <w:sz w:val="26"/>
          <w:rtl/>
        </w:rPr>
      </w:pPr>
    </w:p>
    <w:p w14:paraId="122D1BBF" w14:textId="77777777" w:rsidR="001E1F82" w:rsidRDefault="001E1F82">
      <w:pPr>
        <w:ind w:left="720" w:hanging="720"/>
        <w:jc w:val="both"/>
        <w:rPr>
          <w:rFonts w:hint="cs"/>
          <w:sz w:val="26"/>
          <w:rtl/>
        </w:rPr>
      </w:pPr>
      <w:r>
        <w:rPr>
          <w:rFonts w:hint="cs"/>
          <w:sz w:val="26"/>
          <w:rtl/>
        </w:rPr>
        <w:tab/>
        <w:t>בחקירה נגדית, לא ידעה המתלוננת לפרט את הנסיבות שבהן, לדבריה, נגע הנאשם בציפורניה והאם הראתה לו את הציפורניים באוויר והוא נגע, או שלא הראתה לו והוא נגע לה בציפורן. היא מאשרת שלא משך ידה ולא לקח לה את היד. היא משיבה "הוא נגע לי ביד ואז הרחקתי ממנו את היד".</w:t>
      </w:r>
    </w:p>
    <w:p w14:paraId="678E33B1" w14:textId="77777777" w:rsidR="001E1F82" w:rsidRDefault="001E1F82">
      <w:pPr>
        <w:ind w:left="720" w:hanging="720"/>
        <w:jc w:val="both"/>
        <w:rPr>
          <w:rFonts w:hint="cs"/>
          <w:sz w:val="26"/>
          <w:rtl/>
        </w:rPr>
      </w:pPr>
      <w:r>
        <w:rPr>
          <w:rFonts w:hint="cs"/>
          <w:sz w:val="26"/>
          <w:rtl/>
        </w:rPr>
        <w:tab/>
        <w:t xml:space="preserve">היא מאשרת, כי הנאשם חזר למושב הקידמי מיד לאחר שאמרה לו שיעזוב אותה ויש לה חבר. היא מאשרת שהנאשם החמיא לה ואמר לה שהיא יפה. היא לא זכרה איך בדיוק הנאשם נגע לה בשיער. היא לא ידעה להסביר מדוע לא סיפרה בחקירתה במשטרה שהיא התרחקה ממנו או שאמרה לנאשם שיעזוב אותה. </w:t>
      </w:r>
    </w:p>
    <w:p w14:paraId="55620E2D" w14:textId="77777777" w:rsidR="001E1F82" w:rsidRDefault="001E1F82">
      <w:pPr>
        <w:ind w:left="720" w:hanging="720"/>
        <w:jc w:val="both"/>
        <w:rPr>
          <w:rFonts w:hint="cs"/>
          <w:sz w:val="26"/>
          <w:rtl/>
        </w:rPr>
      </w:pPr>
    </w:p>
    <w:p w14:paraId="2DC6BE5F" w14:textId="77777777" w:rsidR="001E1F82" w:rsidRDefault="001E1F82">
      <w:pPr>
        <w:ind w:left="720" w:hanging="720"/>
        <w:jc w:val="both"/>
        <w:rPr>
          <w:rFonts w:hint="cs"/>
          <w:sz w:val="26"/>
          <w:rtl/>
        </w:rPr>
      </w:pPr>
      <w:r>
        <w:rPr>
          <w:rFonts w:hint="cs"/>
          <w:sz w:val="26"/>
          <w:rtl/>
        </w:rPr>
        <w:t>6.</w:t>
      </w:r>
      <w:r>
        <w:rPr>
          <w:rFonts w:hint="cs"/>
          <w:sz w:val="26"/>
          <w:rtl/>
        </w:rPr>
        <w:tab/>
      </w:r>
      <w:r>
        <w:rPr>
          <w:rFonts w:hint="cs"/>
          <w:b/>
          <w:bCs/>
          <w:sz w:val="26"/>
          <w:u w:val="single"/>
          <w:rtl/>
        </w:rPr>
        <w:t>גירסת הנאשם</w:t>
      </w:r>
    </w:p>
    <w:p w14:paraId="3C821D2D" w14:textId="77777777" w:rsidR="001E1F82" w:rsidRDefault="001E1F82">
      <w:pPr>
        <w:ind w:left="720" w:hanging="720"/>
        <w:jc w:val="both"/>
        <w:rPr>
          <w:rFonts w:hint="cs"/>
          <w:sz w:val="26"/>
          <w:rtl/>
        </w:rPr>
      </w:pPr>
      <w:r>
        <w:rPr>
          <w:rFonts w:hint="cs"/>
          <w:sz w:val="26"/>
          <w:rtl/>
        </w:rPr>
        <w:t xml:space="preserve"> </w:t>
      </w:r>
      <w:r>
        <w:rPr>
          <w:rFonts w:hint="cs"/>
          <w:sz w:val="26"/>
          <w:rtl/>
        </w:rPr>
        <w:tab/>
        <w:t xml:space="preserve">הנאשם העיד, כי עם עלייתה של המתלוננת למונית, הוא סיפר לה שהוא גר בכפר סבא והוא יסע איתם עד לכפר סבא, שם ירד והיא תמשיך עם המונית להרצליה. הוא חשב שהיא "חמודה", הוא אישר, כי במהלך הנסיעה החמיא לה ו"התחיל איתה כמו שהוא מתחיל עם הרבה בחורות ברחוב". הוא שאל אותה אם אפשר לעבור אחורה, היא </w:t>
      </w:r>
      <w:r>
        <w:rPr>
          <w:rFonts w:hint="cs"/>
          <w:sz w:val="26"/>
          <w:rtl/>
        </w:rPr>
        <w:lastRenderedPageBreak/>
        <w:t xml:space="preserve">חייכה ושתקה. הוא עבר אחורנית, ישב בצד המונית והחמיא לה על הציפורניים שלה. הם שוחחו וכשסיפרה לו שיש לה חבר, חזר לשבת קדימה והמשיך לשוחח איתה, כשהוא מסובב את ראשו אחורנית. </w:t>
      </w:r>
    </w:p>
    <w:p w14:paraId="66A618F1" w14:textId="77777777" w:rsidR="001E1F82" w:rsidRDefault="001E1F82">
      <w:pPr>
        <w:ind w:left="720" w:hanging="720"/>
        <w:jc w:val="both"/>
        <w:rPr>
          <w:rFonts w:hint="cs"/>
          <w:sz w:val="26"/>
          <w:rtl/>
        </w:rPr>
      </w:pPr>
      <w:r>
        <w:rPr>
          <w:rFonts w:hint="cs"/>
          <w:sz w:val="26"/>
          <w:rtl/>
        </w:rPr>
        <w:tab/>
        <w:t>שלל את הטענה שלקח לה את היד. לגירסתו, היא "מסרה" לו את היד והראתה לו את הציפורניים והיה מגע יד ביד – נגיעה.</w:t>
      </w:r>
    </w:p>
    <w:p w14:paraId="0D17CE57" w14:textId="77777777" w:rsidR="001E1F82" w:rsidRDefault="001E1F82">
      <w:pPr>
        <w:ind w:left="720" w:hanging="720"/>
        <w:jc w:val="both"/>
        <w:rPr>
          <w:rFonts w:hint="cs"/>
          <w:sz w:val="26"/>
          <w:rtl/>
        </w:rPr>
      </w:pPr>
      <w:r>
        <w:rPr>
          <w:rFonts w:hint="cs"/>
          <w:sz w:val="26"/>
          <w:rtl/>
        </w:rPr>
        <w:tab/>
        <w:t>הוא אישר, שהמתלוננת נלחצה וביקשה לרדת כשנהג המונית לא פנה לרחוב "ויצמן". שלל את הטענה שאמר לה שהיא באה אליו הביתה לכפ"ס.</w:t>
      </w:r>
    </w:p>
    <w:p w14:paraId="65538B96" w14:textId="77777777" w:rsidR="001E1F82" w:rsidRDefault="001E1F82">
      <w:pPr>
        <w:ind w:left="720" w:hanging="720"/>
        <w:jc w:val="both"/>
        <w:rPr>
          <w:rFonts w:hint="cs"/>
          <w:sz w:val="26"/>
          <w:rtl/>
        </w:rPr>
      </w:pPr>
      <w:r>
        <w:rPr>
          <w:rFonts w:hint="cs"/>
          <w:sz w:val="26"/>
          <w:rtl/>
        </w:rPr>
        <w:tab/>
        <w:t>גרסת הנאשם בביהמ"ש תואמת בעיקרי הדברים גרסתו במשטרה (ת/1).</w:t>
      </w:r>
    </w:p>
    <w:p w14:paraId="511EEB3C" w14:textId="77777777" w:rsidR="001E1F82" w:rsidRDefault="001E1F82">
      <w:pPr>
        <w:ind w:left="720" w:hanging="720"/>
        <w:jc w:val="both"/>
        <w:rPr>
          <w:rFonts w:hint="cs"/>
          <w:sz w:val="26"/>
          <w:rtl/>
        </w:rPr>
      </w:pPr>
    </w:p>
    <w:p w14:paraId="2A332C4C" w14:textId="77777777" w:rsidR="001E1F82" w:rsidRDefault="001E1F82">
      <w:pPr>
        <w:ind w:left="720" w:hanging="720"/>
        <w:jc w:val="both"/>
        <w:rPr>
          <w:rFonts w:hint="cs"/>
          <w:sz w:val="26"/>
          <w:rtl/>
        </w:rPr>
      </w:pPr>
      <w:r>
        <w:rPr>
          <w:rFonts w:hint="cs"/>
          <w:sz w:val="26"/>
          <w:rtl/>
        </w:rPr>
        <w:t>7.</w:t>
      </w:r>
      <w:r>
        <w:rPr>
          <w:rFonts w:hint="cs"/>
          <w:sz w:val="26"/>
          <w:rtl/>
        </w:rPr>
        <w:tab/>
        <w:t xml:space="preserve">עד התביעה זאב נגר, הוא נהג המונית שהסיע את המתלוננת. </w:t>
      </w:r>
    </w:p>
    <w:p w14:paraId="08372EBD" w14:textId="77777777" w:rsidR="001E1F82" w:rsidRDefault="001E1F82">
      <w:pPr>
        <w:ind w:left="720" w:hanging="720"/>
        <w:jc w:val="both"/>
        <w:rPr>
          <w:rFonts w:hint="cs"/>
          <w:sz w:val="26"/>
          <w:rtl/>
        </w:rPr>
      </w:pPr>
      <w:r>
        <w:rPr>
          <w:rFonts w:hint="cs"/>
          <w:sz w:val="26"/>
          <w:rtl/>
        </w:rPr>
        <w:tab/>
        <w:t>הוא העיד, כי שמע שיחה בין הנאשם והמתלוננת. הדברים ששמע מאשרים גירסתו של הנאשם, שניסה "להתחיל" עם המתלוננת. שמע שמדברים גם על ציפורן.</w:t>
      </w:r>
    </w:p>
    <w:p w14:paraId="4808B4F1" w14:textId="77777777" w:rsidR="001E1F82" w:rsidRDefault="001E1F82">
      <w:pPr>
        <w:ind w:left="720" w:hanging="720"/>
        <w:jc w:val="both"/>
        <w:rPr>
          <w:rFonts w:hint="cs"/>
          <w:sz w:val="26"/>
          <w:rtl/>
        </w:rPr>
      </w:pPr>
      <w:r>
        <w:rPr>
          <w:rFonts w:hint="cs"/>
          <w:sz w:val="26"/>
          <w:rtl/>
        </w:rPr>
        <w:tab/>
        <w:t>הוא לא ראה מגע בין הנאשם והמתלוננת. לדבריו, היו ביניהם צחקוקים.</w:t>
      </w:r>
    </w:p>
    <w:p w14:paraId="111268CE" w14:textId="77777777" w:rsidR="001E1F82" w:rsidRDefault="001E1F82">
      <w:pPr>
        <w:ind w:left="720" w:hanging="720"/>
        <w:jc w:val="both"/>
        <w:rPr>
          <w:rFonts w:hint="cs"/>
          <w:sz w:val="26"/>
          <w:rtl/>
        </w:rPr>
      </w:pPr>
      <w:r>
        <w:rPr>
          <w:rFonts w:hint="cs"/>
          <w:sz w:val="26"/>
          <w:rtl/>
        </w:rPr>
        <w:tab/>
        <w:t xml:space="preserve">לגרסתו, לא מצא חן בעיניו שהנאשם עבר לשבת במושב האחורי ו"השיחה שלו איתה" והוא צעק לו שיחזור לשבת קדימה. </w:t>
      </w:r>
    </w:p>
    <w:p w14:paraId="0A4B65DB" w14:textId="77777777" w:rsidR="001E1F82" w:rsidRDefault="001E1F82">
      <w:pPr>
        <w:ind w:left="720" w:hanging="720"/>
        <w:jc w:val="both"/>
        <w:rPr>
          <w:rFonts w:hint="cs"/>
          <w:color w:val="FF0000"/>
          <w:sz w:val="26"/>
          <w:rtl/>
        </w:rPr>
      </w:pPr>
      <w:r>
        <w:rPr>
          <w:rFonts w:hint="cs"/>
          <w:sz w:val="26"/>
          <w:rtl/>
        </w:rPr>
        <w:tab/>
      </w:r>
    </w:p>
    <w:p w14:paraId="098F2CD2" w14:textId="77777777" w:rsidR="001E1F82" w:rsidRDefault="001E1F82">
      <w:pPr>
        <w:ind w:left="720" w:hanging="720"/>
        <w:jc w:val="both"/>
        <w:rPr>
          <w:rFonts w:hint="cs"/>
          <w:sz w:val="26"/>
          <w:rtl/>
        </w:rPr>
      </w:pPr>
      <w:r>
        <w:rPr>
          <w:rFonts w:hint="cs"/>
          <w:sz w:val="26"/>
          <w:rtl/>
        </w:rPr>
        <w:t>8.</w:t>
      </w:r>
      <w:r>
        <w:rPr>
          <w:rFonts w:hint="cs"/>
          <w:sz w:val="26"/>
          <w:rtl/>
        </w:rPr>
        <w:tab/>
        <w:t>בתום שמיעת הראיות לא היתה מחלוקת בנקודות הבאות:</w:t>
      </w:r>
    </w:p>
    <w:p w14:paraId="54B738D9" w14:textId="77777777" w:rsidR="001E1F82" w:rsidRDefault="001E1F82">
      <w:pPr>
        <w:ind w:left="720" w:hanging="720"/>
        <w:jc w:val="both"/>
        <w:rPr>
          <w:rFonts w:hint="cs"/>
          <w:sz w:val="26"/>
          <w:rtl/>
        </w:rPr>
      </w:pPr>
      <w:r>
        <w:rPr>
          <w:rFonts w:hint="cs"/>
          <w:sz w:val="26"/>
          <w:rtl/>
        </w:rPr>
        <w:tab/>
        <w:t>(1)</w:t>
      </w:r>
      <w:r>
        <w:rPr>
          <w:rFonts w:hint="cs"/>
          <w:sz w:val="26"/>
          <w:rtl/>
        </w:rPr>
        <w:tab/>
        <w:t>הנאשם עבר למושב האחורי תוך כדי נסיעה.</w:t>
      </w:r>
    </w:p>
    <w:p w14:paraId="140CBE64" w14:textId="77777777" w:rsidR="001E1F82" w:rsidRDefault="001E1F82">
      <w:pPr>
        <w:ind w:left="720" w:hanging="720"/>
        <w:jc w:val="both"/>
        <w:rPr>
          <w:rFonts w:hint="cs"/>
          <w:sz w:val="26"/>
          <w:rtl/>
        </w:rPr>
      </w:pPr>
      <w:r>
        <w:rPr>
          <w:rFonts w:hint="cs"/>
          <w:sz w:val="26"/>
          <w:rtl/>
        </w:rPr>
        <w:tab/>
        <w:t>(2)</w:t>
      </w:r>
      <w:r>
        <w:rPr>
          <w:rFonts w:hint="cs"/>
          <w:sz w:val="26"/>
          <w:rtl/>
        </w:rPr>
        <w:tab/>
        <w:t xml:space="preserve">הנאשם החמיא למתלוננת תוך כדי נסיעה. </w:t>
      </w:r>
    </w:p>
    <w:p w14:paraId="47F0C8D6" w14:textId="77777777" w:rsidR="001E1F82" w:rsidRDefault="001E1F82">
      <w:pPr>
        <w:rPr>
          <w:rFonts w:hint="cs"/>
          <w:sz w:val="26"/>
          <w:rtl/>
        </w:rPr>
      </w:pPr>
      <w:r>
        <w:rPr>
          <w:rFonts w:hint="cs"/>
          <w:sz w:val="26"/>
          <w:rtl/>
        </w:rPr>
        <w:tab/>
        <w:t>(3)</w:t>
      </w:r>
      <w:r>
        <w:rPr>
          <w:rFonts w:hint="cs"/>
          <w:sz w:val="26"/>
          <w:rtl/>
        </w:rPr>
        <w:tab/>
        <w:t xml:space="preserve">הנאשם נגע בציפורן (או ציפורניים) של המתלוננת כאשר הוא יושב במושב </w:t>
      </w:r>
    </w:p>
    <w:p w14:paraId="7B5590A8" w14:textId="77777777" w:rsidR="001E1F82" w:rsidRDefault="001E1F82">
      <w:pPr>
        <w:ind w:left="720" w:firstLine="720"/>
        <w:rPr>
          <w:rFonts w:hint="cs"/>
          <w:sz w:val="26"/>
          <w:rtl/>
        </w:rPr>
      </w:pPr>
      <w:r>
        <w:rPr>
          <w:rFonts w:hint="cs"/>
          <w:sz w:val="26"/>
          <w:rtl/>
        </w:rPr>
        <w:t>האחורי.</w:t>
      </w:r>
    </w:p>
    <w:p w14:paraId="1C9B71D9" w14:textId="77777777" w:rsidR="001E1F82" w:rsidRDefault="001E1F82">
      <w:pPr>
        <w:ind w:left="720" w:hanging="720"/>
        <w:jc w:val="both"/>
        <w:rPr>
          <w:rFonts w:hint="cs"/>
          <w:sz w:val="26"/>
          <w:rtl/>
        </w:rPr>
      </w:pPr>
      <w:r>
        <w:rPr>
          <w:rFonts w:hint="cs"/>
          <w:sz w:val="26"/>
          <w:rtl/>
        </w:rPr>
        <w:tab/>
        <w:t>(4)</w:t>
      </w:r>
      <w:r>
        <w:rPr>
          <w:rFonts w:hint="cs"/>
          <w:sz w:val="26"/>
          <w:rtl/>
        </w:rPr>
        <w:tab/>
        <w:t>הנאשם חזר לשבת במושב הקדמי מיד לאחר שנודע לו שיש לה חבר.</w:t>
      </w:r>
    </w:p>
    <w:p w14:paraId="126B4C34" w14:textId="77777777" w:rsidR="001E1F82" w:rsidRDefault="001E1F82">
      <w:pPr>
        <w:ind w:left="1440" w:hanging="720"/>
        <w:jc w:val="both"/>
        <w:rPr>
          <w:rFonts w:hint="cs"/>
          <w:sz w:val="26"/>
          <w:rtl/>
        </w:rPr>
      </w:pPr>
      <w:r>
        <w:rPr>
          <w:rFonts w:hint="cs"/>
          <w:sz w:val="26"/>
          <w:rtl/>
        </w:rPr>
        <w:t>(5)</w:t>
      </w:r>
      <w:r>
        <w:rPr>
          <w:rFonts w:hint="cs"/>
          <w:sz w:val="26"/>
          <w:rtl/>
        </w:rPr>
        <w:tab/>
        <w:t xml:space="preserve">נהג המונית סטה ממסלול נסיעתו המקובל להרצליה, כדי להוריד את הנאשם באחוזה ואין חולק, שלא הביא זאת לידיעת המתלוננת. </w:t>
      </w:r>
    </w:p>
    <w:p w14:paraId="39572D79" w14:textId="77777777" w:rsidR="001E1F82" w:rsidRDefault="001E1F82">
      <w:pPr>
        <w:ind w:left="720" w:hanging="720"/>
        <w:jc w:val="both"/>
        <w:rPr>
          <w:rFonts w:hint="cs"/>
          <w:sz w:val="26"/>
          <w:rtl/>
        </w:rPr>
      </w:pPr>
    </w:p>
    <w:p w14:paraId="607858D7" w14:textId="77777777" w:rsidR="001E1F82" w:rsidRDefault="001E1F82">
      <w:pPr>
        <w:ind w:left="720" w:hanging="720"/>
        <w:jc w:val="both"/>
        <w:rPr>
          <w:rFonts w:hint="cs"/>
          <w:sz w:val="26"/>
          <w:rtl/>
        </w:rPr>
      </w:pPr>
      <w:r>
        <w:rPr>
          <w:rFonts w:hint="cs"/>
          <w:sz w:val="26"/>
          <w:rtl/>
        </w:rPr>
        <w:t>9.</w:t>
      </w:r>
      <w:r>
        <w:rPr>
          <w:rFonts w:hint="cs"/>
          <w:sz w:val="26"/>
          <w:rtl/>
        </w:rPr>
        <w:tab/>
        <w:t>גירסת נהג המונית, כי הנאשם חזר לשבת במושב הקדמי לאחר שצעק עליו אינה, עולה בקנה אחד עם גירסת המתלוננת והיא אינה אמינה עלי. שהרי, המתלוננת עצמה העידה, שהנאשם חזר מייד למושב הקדמי לאחר שאמרה לו שיש לה חבר ושיעזוב אותה. לא סביר, שהמתלוננת "תקל" עם הנאשם כאשר הנסיבות היו כפי שתאר נהג המונית.</w:t>
      </w:r>
    </w:p>
    <w:p w14:paraId="03F520CD" w14:textId="77777777" w:rsidR="001E1F82" w:rsidRDefault="001E1F82">
      <w:pPr>
        <w:ind w:left="720" w:hanging="720"/>
        <w:jc w:val="both"/>
        <w:rPr>
          <w:rFonts w:hint="cs"/>
          <w:sz w:val="26"/>
          <w:rtl/>
        </w:rPr>
      </w:pPr>
      <w:r>
        <w:rPr>
          <w:rFonts w:hint="cs"/>
          <w:sz w:val="26"/>
          <w:rtl/>
        </w:rPr>
        <w:tab/>
        <w:t xml:space="preserve">גירסת הנאשם, לפיה עבר למושב האחורי והחמיא לה במטרה "להתחיל איתה" מתיישבת עם עדותו של נהג המונית ואינה סותרת עדות המתלוננת. </w:t>
      </w:r>
    </w:p>
    <w:p w14:paraId="6DF81324" w14:textId="77777777" w:rsidR="001E1F82" w:rsidRDefault="001E1F82">
      <w:pPr>
        <w:ind w:left="720" w:hanging="720"/>
        <w:jc w:val="both"/>
        <w:rPr>
          <w:rFonts w:hint="cs"/>
          <w:sz w:val="26"/>
          <w:rtl/>
        </w:rPr>
      </w:pPr>
      <w:r>
        <w:rPr>
          <w:rFonts w:hint="cs"/>
          <w:sz w:val="26"/>
          <w:rtl/>
        </w:rPr>
        <w:tab/>
        <w:t>ברור, שאפילו כך על בית המשפט לבדוק אילו מעשים עשה הנאשם על מנת "להתחיל איתה" והאם מעשים אלה עולים כדי עבירה פלילית.</w:t>
      </w:r>
    </w:p>
    <w:p w14:paraId="61032E88" w14:textId="77777777" w:rsidR="001E1F82" w:rsidRDefault="001E1F82">
      <w:pPr>
        <w:ind w:left="720" w:hanging="720"/>
        <w:jc w:val="both"/>
        <w:rPr>
          <w:rFonts w:hint="cs"/>
          <w:sz w:val="26"/>
          <w:rtl/>
        </w:rPr>
      </w:pPr>
      <w:r>
        <w:rPr>
          <w:rFonts w:hint="cs"/>
          <w:sz w:val="26"/>
          <w:rtl/>
        </w:rPr>
        <w:tab/>
      </w:r>
    </w:p>
    <w:p w14:paraId="521D0B52" w14:textId="77777777" w:rsidR="001E1F82" w:rsidRDefault="001E1F82">
      <w:pPr>
        <w:ind w:left="720" w:hanging="720"/>
        <w:jc w:val="both"/>
        <w:rPr>
          <w:rFonts w:hint="cs"/>
          <w:sz w:val="26"/>
          <w:rtl/>
        </w:rPr>
      </w:pPr>
      <w:r>
        <w:rPr>
          <w:rFonts w:hint="cs"/>
          <w:sz w:val="26"/>
          <w:rtl/>
        </w:rPr>
        <w:t>10.</w:t>
      </w:r>
      <w:r>
        <w:rPr>
          <w:rFonts w:hint="cs"/>
          <w:sz w:val="26"/>
          <w:rtl/>
        </w:rPr>
        <w:tab/>
        <w:t xml:space="preserve">המתלוננת מאשרת שהיא נלחצה משהבחינה, שהנהג אינו נוסע בדרך הרגילה להרצליה. לכך יש להוסיף את הנתון הבא, שבא מפיה של המתלוננת לפיו, לאחר שהמונית החלה בנסיעתה, הנהג שאל "לאן" והיא השיבה "להרצליה". כאן התערב הנאשם ואמר "לא, נוסעים לבית שלי בכפר-סבא". </w:t>
      </w:r>
    </w:p>
    <w:p w14:paraId="3F48228E" w14:textId="77777777" w:rsidR="001E1F82" w:rsidRDefault="001E1F82">
      <w:pPr>
        <w:ind w:left="720" w:hanging="720"/>
        <w:jc w:val="both"/>
        <w:rPr>
          <w:rFonts w:hint="cs"/>
          <w:sz w:val="26"/>
          <w:rtl/>
        </w:rPr>
      </w:pPr>
      <w:r>
        <w:rPr>
          <w:rFonts w:hint="cs"/>
          <w:sz w:val="26"/>
          <w:rtl/>
        </w:rPr>
        <w:tab/>
        <w:t>להבנתי, לא ניתן לייחס לנאשם במשפט הנ"ל, כוונה לקחת אותה לביתו בכפ"ס. הנאשם ידע מה שהמתלוננת לא ידעה, שהנהג שינה מסלול נסיעתו על מנת להורידו ברחוב "אחוזה" בדרכו להרצליה, ולזה התכוון. אין חולק, שהנהג לא אמר לה, בטרם יצא לנסיעה, שהוא אמור לשנות מסלול הנסיעה הרגיל כדי להוריד את הנאשם.</w:t>
      </w:r>
    </w:p>
    <w:p w14:paraId="4D626C4A" w14:textId="77777777" w:rsidR="001E1F82" w:rsidRDefault="001E1F82">
      <w:pPr>
        <w:ind w:left="720" w:hanging="720"/>
        <w:jc w:val="both"/>
        <w:rPr>
          <w:rFonts w:hint="cs"/>
          <w:sz w:val="26"/>
          <w:rtl/>
        </w:rPr>
      </w:pPr>
      <w:r>
        <w:rPr>
          <w:rFonts w:hint="cs"/>
          <w:sz w:val="26"/>
          <w:rtl/>
        </w:rPr>
        <w:tab/>
        <w:t>אין לי ספק, שאילולא קיומן של הנסיבות הנ"ל הדבר לא היה מגיע לכדי תלונה.</w:t>
      </w:r>
    </w:p>
    <w:p w14:paraId="53E13064" w14:textId="77777777" w:rsidR="001E1F82" w:rsidRDefault="001E1F82">
      <w:pPr>
        <w:ind w:left="720" w:hanging="720"/>
        <w:jc w:val="both"/>
        <w:rPr>
          <w:rFonts w:hint="cs"/>
          <w:sz w:val="26"/>
          <w:rtl/>
        </w:rPr>
      </w:pPr>
    </w:p>
    <w:p w14:paraId="010A608C" w14:textId="77777777" w:rsidR="001E1F82" w:rsidRDefault="001E1F82">
      <w:pPr>
        <w:ind w:left="720" w:hanging="720"/>
        <w:jc w:val="both"/>
        <w:rPr>
          <w:rFonts w:hint="cs"/>
          <w:sz w:val="26"/>
          <w:rtl/>
        </w:rPr>
      </w:pPr>
      <w:r>
        <w:rPr>
          <w:rFonts w:hint="cs"/>
          <w:sz w:val="26"/>
          <w:rtl/>
        </w:rPr>
        <w:t>11.</w:t>
      </w:r>
      <w:r>
        <w:rPr>
          <w:rFonts w:hint="cs"/>
          <w:sz w:val="26"/>
          <w:rtl/>
        </w:rPr>
        <w:tab/>
        <w:t>מספר משפטים לגבי ניסוח כתב האישום.</w:t>
      </w:r>
    </w:p>
    <w:p w14:paraId="062683C6" w14:textId="77777777" w:rsidR="001E1F82" w:rsidRDefault="001E1F82">
      <w:pPr>
        <w:ind w:left="720" w:hanging="720"/>
        <w:jc w:val="both"/>
        <w:rPr>
          <w:rFonts w:hint="cs"/>
          <w:sz w:val="26"/>
          <w:rtl/>
        </w:rPr>
      </w:pPr>
      <w:r>
        <w:rPr>
          <w:rFonts w:hint="cs"/>
          <w:sz w:val="26"/>
          <w:rtl/>
        </w:rPr>
        <w:tab/>
        <w:t xml:space="preserve">אפילו אם אקבל את גירסת המתלוננת כלשונה, גירסת התביעה כפי שפורטה בכתב האישום אינה משקפת את גרסת המתלוננת והיא מחמירה עם הנאשם. </w:t>
      </w:r>
    </w:p>
    <w:p w14:paraId="0E99FD27" w14:textId="77777777" w:rsidR="001E1F82" w:rsidRDefault="001E1F82">
      <w:pPr>
        <w:ind w:left="720"/>
        <w:jc w:val="both"/>
        <w:rPr>
          <w:rFonts w:hint="cs"/>
          <w:sz w:val="26"/>
          <w:rtl/>
        </w:rPr>
      </w:pPr>
      <w:r>
        <w:rPr>
          <w:rFonts w:hint="cs"/>
          <w:sz w:val="26"/>
          <w:rtl/>
        </w:rPr>
        <w:t>במה דברים אמורים ?</w:t>
      </w:r>
    </w:p>
    <w:p w14:paraId="44918550" w14:textId="77777777" w:rsidR="001E1F82" w:rsidRDefault="001E1F82">
      <w:pPr>
        <w:ind w:left="720" w:hanging="720"/>
        <w:jc w:val="both"/>
        <w:rPr>
          <w:rFonts w:hint="cs"/>
          <w:sz w:val="26"/>
          <w:rtl/>
        </w:rPr>
      </w:pPr>
      <w:r>
        <w:rPr>
          <w:rFonts w:hint="cs"/>
          <w:sz w:val="26"/>
          <w:rtl/>
        </w:rPr>
        <w:tab/>
        <w:t xml:space="preserve">אין בסיס לנטען בסיפא של סעיף 4 לכתב האישום, שהנאשם אמר לה "את באה איתי לבית שלי בכפר-סבא" ובתגובה לכך השיבה לו "מה פתאום". </w:t>
      </w:r>
    </w:p>
    <w:p w14:paraId="1DB414DA" w14:textId="77777777" w:rsidR="001E1F82" w:rsidRDefault="001E1F82">
      <w:pPr>
        <w:ind w:left="720" w:hanging="720"/>
        <w:jc w:val="both"/>
        <w:rPr>
          <w:rFonts w:hint="cs"/>
          <w:sz w:val="26"/>
          <w:rtl/>
        </w:rPr>
      </w:pPr>
      <w:r>
        <w:rPr>
          <w:rFonts w:hint="cs"/>
          <w:sz w:val="26"/>
          <w:rtl/>
        </w:rPr>
        <w:tab/>
        <w:t>התייחסתי כבר לגרסת המתלוננת בנקודה זו והיא שונה באופן מהותי מהגרסה המופיעה בכתב האישום.  אמרתי כבר,שאין להסיק ממנה מסקנה לחובת הנאשם.</w:t>
      </w:r>
    </w:p>
    <w:p w14:paraId="2090C37E" w14:textId="77777777" w:rsidR="001E1F82" w:rsidRDefault="001E1F82">
      <w:pPr>
        <w:ind w:left="720" w:hanging="720"/>
        <w:jc w:val="both"/>
        <w:rPr>
          <w:rFonts w:hint="cs"/>
          <w:sz w:val="26"/>
          <w:rtl/>
        </w:rPr>
      </w:pPr>
      <w:r>
        <w:rPr>
          <w:rFonts w:hint="cs"/>
          <w:sz w:val="26"/>
          <w:rtl/>
        </w:rPr>
        <w:tab/>
      </w:r>
    </w:p>
    <w:p w14:paraId="6CA87982" w14:textId="77777777" w:rsidR="001E1F82" w:rsidRDefault="001E1F82">
      <w:pPr>
        <w:ind w:left="720"/>
        <w:jc w:val="both"/>
        <w:rPr>
          <w:rFonts w:hint="cs"/>
          <w:sz w:val="26"/>
          <w:rtl/>
        </w:rPr>
      </w:pPr>
      <w:r>
        <w:rPr>
          <w:rFonts w:hint="cs"/>
          <w:sz w:val="26"/>
          <w:rtl/>
        </w:rPr>
        <w:t>אין גם בסיס לאמור בחלקו השני של סעיף 5 לעובדות כתב האישום, ש"המתלוננת הסיטה את ידו מן הרגל". המתלוננת דיברה בעדותה על נגיעה, משתמע מכך אפילו לגרסתה, שהנאשם נגע והרפה ממנה. ניתן להבין מעדותה שמדובר בנגיעה של מה בכך.</w:t>
      </w:r>
    </w:p>
    <w:p w14:paraId="164A6E09" w14:textId="77777777" w:rsidR="001E1F82" w:rsidRDefault="001E1F82">
      <w:pPr>
        <w:ind w:left="720" w:hanging="720"/>
        <w:jc w:val="both"/>
        <w:rPr>
          <w:rFonts w:hint="cs"/>
          <w:sz w:val="26"/>
          <w:rtl/>
        </w:rPr>
      </w:pPr>
      <w:r>
        <w:rPr>
          <w:rFonts w:hint="cs"/>
          <w:sz w:val="26"/>
          <w:rtl/>
        </w:rPr>
        <w:tab/>
      </w:r>
    </w:p>
    <w:p w14:paraId="406C01D9" w14:textId="77777777" w:rsidR="001E1F82" w:rsidRDefault="001E1F82">
      <w:pPr>
        <w:ind w:left="720"/>
        <w:jc w:val="both"/>
        <w:rPr>
          <w:rFonts w:hint="cs"/>
          <w:sz w:val="26"/>
          <w:rtl/>
        </w:rPr>
      </w:pPr>
      <w:r>
        <w:rPr>
          <w:rFonts w:hint="cs"/>
          <w:sz w:val="26"/>
          <w:rtl/>
        </w:rPr>
        <w:t xml:space="preserve">אין בסיס לטענה שבסעיף 6 לכתב האישום, לפיה הנאשם </w:t>
      </w:r>
      <w:r>
        <w:rPr>
          <w:rFonts w:hint="cs"/>
          <w:sz w:val="26"/>
          <w:u w:val="single"/>
          <w:rtl/>
        </w:rPr>
        <w:t>החזיק</w:t>
      </w:r>
      <w:r>
        <w:rPr>
          <w:rFonts w:hint="cs"/>
          <w:sz w:val="26"/>
          <w:rtl/>
        </w:rPr>
        <w:t xml:space="preserve"> בידה של המתלוננת. על פי שתי הגרסאות (של המתלוננת ושל הנאשם), הנאשם נגע בציפורניים של המתלוננת בסיטואציה שאפילו המתלוננת לא זכרה באיזה נסיבות היתה הנגיעה. </w:t>
      </w:r>
    </w:p>
    <w:p w14:paraId="0A8FAC9D" w14:textId="77777777" w:rsidR="001E1F82" w:rsidRDefault="001E1F82">
      <w:pPr>
        <w:ind w:left="720"/>
        <w:jc w:val="both"/>
        <w:rPr>
          <w:rFonts w:hint="cs"/>
          <w:sz w:val="26"/>
          <w:rtl/>
        </w:rPr>
      </w:pPr>
      <w:r>
        <w:rPr>
          <w:rFonts w:hint="cs"/>
          <w:sz w:val="26"/>
          <w:rtl/>
        </w:rPr>
        <w:t xml:space="preserve">התאור שבא מפיה בביהמ"ש, שונה מזה שפורט בכתב האישום. </w:t>
      </w:r>
    </w:p>
    <w:p w14:paraId="44DDC127" w14:textId="77777777" w:rsidR="001E1F82" w:rsidRDefault="001E1F82">
      <w:pPr>
        <w:ind w:left="720"/>
        <w:jc w:val="both"/>
        <w:rPr>
          <w:rFonts w:hint="cs"/>
          <w:sz w:val="26"/>
          <w:rtl/>
        </w:rPr>
      </w:pPr>
      <w:r>
        <w:rPr>
          <w:rFonts w:hint="cs"/>
          <w:sz w:val="26"/>
          <w:rtl/>
        </w:rPr>
        <w:t xml:space="preserve">ספק אם כתב האישום היה מוגש על בסיס העובדות שנטענו בביהמ"ש. </w:t>
      </w:r>
    </w:p>
    <w:p w14:paraId="0A47BEE7" w14:textId="77777777" w:rsidR="001E1F82" w:rsidRDefault="001E1F82">
      <w:pPr>
        <w:ind w:left="720" w:hanging="720"/>
        <w:jc w:val="both"/>
        <w:rPr>
          <w:rFonts w:hint="cs"/>
          <w:sz w:val="26"/>
          <w:rtl/>
        </w:rPr>
      </w:pPr>
    </w:p>
    <w:p w14:paraId="7D734D33" w14:textId="77777777" w:rsidR="001E1F82" w:rsidRDefault="001E1F82">
      <w:pPr>
        <w:ind w:left="720" w:hanging="720"/>
        <w:jc w:val="both"/>
        <w:rPr>
          <w:rFonts w:hint="cs"/>
          <w:sz w:val="26"/>
          <w:rtl/>
        </w:rPr>
      </w:pPr>
      <w:r>
        <w:rPr>
          <w:rFonts w:hint="cs"/>
          <w:sz w:val="26"/>
          <w:rtl/>
        </w:rPr>
        <w:t>12.</w:t>
      </w:r>
      <w:r>
        <w:rPr>
          <w:rFonts w:hint="cs"/>
          <w:sz w:val="26"/>
          <w:rtl/>
        </w:rPr>
        <w:tab/>
        <w:t xml:space="preserve">בסופן של ראיות, בנסיבות שפורטו המתלוננת מייחסת לנאשם את המעשים הבאים: נגיעה ברגל, נגיעה בציפרניים וליטוף השיער. </w:t>
      </w:r>
    </w:p>
    <w:p w14:paraId="4B65A0F4" w14:textId="77777777" w:rsidR="001E1F82" w:rsidRDefault="001E1F82">
      <w:pPr>
        <w:ind w:left="720" w:hanging="720"/>
        <w:jc w:val="both"/>
        <w:rPr>
          <w:rFonts w:hint="cs"/>
          <w:sz w:val="26"/>
          <w:rtl/>
        </w:rPr>
      </w:pPr>
    </w:p>
    <w:p w14:paraId="14DC7B32" w14:textId="77777777" w:rsidR="001E1F82" w:rsidRDefault="001E1F82">
      <w:pPr>
        <w:ind w:left="720" w:hanging="720"/>
        <w:jc w:val="both"/>
        <w:rPr>
          <w:rFonts w:hint="cs"/>
          <w:sz w:val="26"/>
          <w:rtl/>
        </w:rPr>
      </w:pPr>
      <w:r>
        <w:rPr>
          <w:rFonts w:hint="cs"/>
          <w:sz w:val="26"/>
          <w:rtl/>
        </w:rPr>
        <w:t>13.</w:t>
      </w:r>
      <w:r>
        <w:rPr>
          <w:rFonts w:hint="cs"/>
          <w:sz w:val="26"/>
          <w:rtl/>
        </w:rPr>
        <w:tab/>
        <w:t>הנאשם מודה שנגע בציפורניה של המתלוננת ומכחיש נגיעה ברגל וליטוף בשיער.</w:t>
      </w:r>
    </w:p>
    <w:p w14:paraId="696EFCBC" w14:textId="77777777" w:rsidR="001E1F82" w:rsidRDefault="001E1F82">
      <w:pPr>
        <w:ind w:left="720" w:hanging="720"/>
        <w:jc w:val="both"/>
        <w:rPr>
          <w:rFonts w:hint="cs"/>
          <w:sz w:val="26"/>
          <w:rtl/>
        </w:rPr>
      </w:pPr>
      <w:r>
        <w:rPr>
          <w:rFonts w:hint="cs"/>
          <w:sz w:val="26"/>
          <w:rtl/>
        </w:rPr>
        <w:tab/>
        <w:t>על בסיס עדותה של המתלוננת, איני יכולה לקבוע בוודאות על רקע הדברים שנאמרו שהמתלוננת לא "שיתפה פעולה" עם הנאשם ולמיצער, לא הביעה הסתייגות מהמעבר שלו למושב האחורי ומהמחמאות שהרעיף כלפיה.</w:t>
      </w:r>
    </w:p>
    <w:p w14:paraId="61E2B4C0" w14:textId="77777777" w:rsidR="001E1F82" w:rsidRDefault="001E1F82">
      <w:pPr>
        <w:ind w:left="720"/>
        <w:jc w:val="both"/>
        <w:rPr>
          <w:rFonts w:hint="cs"/>
          <w:sz w:val="26"/>
          <w:rtl/>
        </w:rPr>
      </w:pPr>
      <w:r>
        <w:rPr>
          <w:rFonts w:hint="cs"/>
          <w:sz w:val="26"/>
          <w:rtl/>
        </w:rPr>
        <w:t xml:space="preserve">די לציין, כי גם המתלוננת לא זכרה אם על רקע התייחסות הנאשם לציפורניים שלה, הראתה לו את הציפורניים באוויר, או שלא הראתה לו והוא נגע. </w:t>
      </w:r>
    </w:p>
    <w:p w14:paraId="513D1EA3" w14:textId="77777777" w:rsidR="001E1F82" w:rsidRDefault="001E1F82">
      <w:pPr>
        <w:ind w:left="720" w:hanging="720"/>
        <w:jc w:val="both"/>
        <w:rPr>
          <w:rFonts w:hint="cs"/>
          <w:sz w:val="26"/>
          <w:rtl/>
        </w:rPr>
      </w:pPr>
    </w:p>
    <w:p w14:paraId="30CD3AD8" w14:textId="77777777" w:rsidR="001E1F82" w:rsidRDefault="001E1F82">
      <w:pPr>
        <w:ind w:left="720" w:hanging="720"/>
        <w:jc w:val="both"/>
        <w:rPr>
          <w:rFonts w:hint="cs"/>
          <w:sz w:val="26"/>
          <w:rtl/>
        </w:rPr>
      </w:pPr>
      <w:r>
        <w:rPr>
          <w:rFonts w:hint="cs"/>
          <w:sz w:val="26"/>
          <w:rtl/>
        </w:rPr>
        <w:tab/>
        <w:t xml:space="preserve">הנגיעה ברגל וליטוף השיער. </w:t>
      </w:r>
    </w:p>
    <w:p w14:paraId="4C572BF6" w14:textId="77777777" w:rsidR="001E1F82" w:rsidRDefault="001E1F82">
      <w:pPr>
        <w:ind w:left="720" w:hanging="720"/>
        <w:jc w:val="both"/>
        <w:rPr>
          <w:rFonts w:hint="cs"/>
          <w:sz w:val="26"/>
          <w:rtl/>
        </w:rPr>
      </w:pPr>
      <w:r>
        <w:rPr>
          <w:rFonts w:hint="cs"/>
          <w:sz w:val="26"/>
          <w:rtl/>
        </w:rPr>
        <w:tab/>
        <w:t>התובעת טענה, שמעשים אלה, בנסיבות שבוצעו, מגבשים עבירה של מעשה מגונה כהגדרתו בחוק. הסנגור מבקש לקבוע שמעשים אלה לא בוצעו כלל על ידי הנאשם ולחילופין אם בוצעו, אין לייחס להם משמעות מינית.</w:t>
      </w:r>
    </w:p>
    <w:p w14:paraId="473E5EBF" w14:textId="77777777" w:rsidR="001E1F82" w:rsidRDefault="001E1F82">
      <w:pPr>
        <w:ind w:left="720"/>
        <w:jc w:val="both"/>
        <w:rPr>
          <w:rFonts w:hint="cs"/>
          <w:sz w:val="26"/>
          <w:rtl/>
        </w:rPr>
      </w:pPr>
      <w:r>
        <w:rPr>
          <w:rFonts w:hint="cs"/>
          <w:sz w:val="26"/>
          <w:rtl/>
        </w:rPr>
        <w:t>לציין, כי מלכתחילה ייחסה התביעה לנאשם בכתב האישום עבירה של מעשה מגונה בלבד. רק מאוחר יותר (בישיבת ההקראה), ביקשה לתקן את כתב האישום על ידי הוספת הוראת חיקוק של הטרדה מינית.</w:t>
      </w:r>
    </w:p>
    <w:p w14:paraId="3EC5B22F" w14:textId="77777777" w:rsidR="001E1F82" w:rsidRDefault="001E1F82">
      <w:pPr>
        <w:ind w:left="720" w:hanging="720"/>
        <w:jc w:val="both"/>
        <w:rPr>
          <w:rFonts w:hint="cs"/>
          <w:sz w:val="26"/>
          <w:rtl/>
        </w:rPr>
      </w:pPr>
      <w:r>
        <w:rPr>
          <w:rFonts w:hint="cs"/>
          <w:sz w:val="26"/>
          <w:rtl/>
        </w:rPr>
        <w:tab/>
        <w:t xml:space="preserve">גם בסופן של הראיות, לא ירדתי לסוף דעתה של התביעה, אם הכוונה לאישום חלופי, או לאישום נפרד, המתייחס, אולי, לדברי החיזור כלפיה. </w:t>
      </w:r>
    </w:p>
    <w:p w14:paraId="41518506" w14:textId="77777777" w:rsidR="001E1F82" w:rsidRDefault="001E1F82">
      <w:pPr>
        <w:ind w:left="720" w:hanging="720"/>
        <w:jc w:val="both"/>
        <w:rPr>
          <w:rFonts w:hint="cs"/>
          <w:sz w:val="26"/>
          <w:rtl/>
        </w:rPr>
      </w:pPr>
    </w:p>
    <w:p w14:paraId="6F6909C0" w14:textId="77777777" w:rsidR="001E1F82" w:rsidRDefault="001E1F82">
      <w:pPr>
        <w:ind w:left="720" w:hanging="720"/>
        <w:jc w:val="both"/>
        <w:rPr>
          <w:rFonts w:hint="cs"/>
          <w:sz w:val="26"/>
          <w:rtl/>
        </w:rPr>
      </w:pPr>
      <w:r>
        <w:rPr>
          <w:rFonts w:hint="cs"/>
          <w:sz w:val="26"/>
          <w:rtl/>
        </w:rPr>
        <w:t>14.</w:t>
      </w:r>
      <w:r>
        <w:rPr>
          <w:rFonts w:hint="cs"/>
          <w:sz w:val="26"/>
          <w:rtl/>
        </w:rPr>
        <w:tab/>
        <w:t>אני נותנת אמון בגירסת המתלוננת, שהנאשם נגע ברגלה וליטף שערה. אני תמימת דעים עם ב"כ התביעה, כי המתלוננת לא הפריזה בתאור הארועים ותארה את הדברים כפי שהתרחשו. בנקודות מסויימות, כאשר לא היתה לה תשובה חד משמעית, היא השיבה, שאינה זוכרת, אינה יודעת וכו'.</w:t>
      </w:r>
    </w:p>
    <w:p w14:paraId="2BA7EB09" w14:textId="77777777" w:rsidR="001E1F82" w:rsidRDefault="001E1F82">
      <w:pPr>
        <w:ind w:left="720" w:hanging="720"/>
        <w:jc w:val="both"/>
        <w:rPr>
          <w:rFonts w:hint="cs"/>
          <w:sz w:val="26"/>
          <w:rtl/>
        </w:rPr>
      </w:pPr>
      <w:r>
        <w:rPr>
          <w:rFonts w:hint="cs"/>
          <w:sz w:val="26"/>
          <w:rtl/>
        </w:rPr>
        <w:tab/>
        <w:t xml:space="preserve">עמדה זו של המתלוננת, מלמדת במכלול הנסיבות על מהימנותה. </w:t>
      </w:r>
    </w:p>
    <w:p w14:paraId="63F07B7A" w14:textId="77777777" w:rsidR="001E1F82" w:rsidRDefault="001E1F82">
      <w:pPr>
        <w:ind w:left="720"/>
        <w:jc w:val="both"/>
        <w:rPr>
          <w:rFonts w:hint="cs"/>
          <w:sz w:val="26"/>
          <w:rtl/>
        </w:rPr>
      </w:pPr>
      <w:r>
        <w:rPr>
          <w:rFonts w:hint="cs"/>
          <w:sz w:val="26"/>
          <w:rtl/>
        </w:rPr>
        <w:t>מכאן ברורה עמדתי, שאני מחליטה להעדיף גרסתה של המתלוננת על פני גרסת הנאשם בנקודות אלה. העובדות האחרות לא היו שנויות במחלוקת, שהרי הנאשם אישר  השתלשלות הארועים ומקצתם של הדברים.</w:t>
      </w:r>
    </w:p>
    <w:p w14:paraId="1BBDF4E7" w14:textId="77777777" w:rsidR="001E1F82" w:rsidRDefault="001E1F82">
      <w:pPr>
        <w:ind w:left="720"/>
        <w:jc w:val="both"/>
        <w:rPr>
          <w:rFonts w:hint="cs"/>
          <w:sz w:val="26"/>
          <w:rtl/>
        </w:rPr>
      </w:pPr>
    </w:p>
    <w:p w14:paraId="616905E0" w14:textId="77777777" w:rsidR="001E1F82" w:rsidRDefault="001E1F82">
      <w:pPr>
        <w:ind w:left="720" w:hanging="720"/>
        <w:jc w:val="both"/>
        <w:rPr>
          <w:rFonts w:hint="cs"/>
          <w:sz w:val="26"/>
          <w:rtl/>
        </w:rPr>
      </w:pPr>
      <w:r>
        <w:rPr>
          <w:rFonts w:hint="cs"/>
          <w:sz w:val="26"/>
          <w:rtl/>
        </w:rPr>
        <w:t>15.</w:t>
      </w:r>
      <w:r>
        <w:rPr>
          <w:rFonts w:hint="cs"/>
          <w:sz w:val="26"/>
          <w:rtl/>
        </w:rPr>
        <w:tab/>
        <w:t xml:space="preserve">סעיף האישום בגינו עומד הנאשם לדין הוא </w:t>
      </w:r>
      <w:hyperlink r:id="rId18" w:history="1">
        <w:r w:rsidR="00D82F32" w:rsidRPr="00D82F32">
          <w:rPr>
            <w:color w:val="0000FF"/>
            <w:sz w:val="26"/>
            <w:u w:val="single"/>
            <w:rtl/>
          </w:rPr>
          <w:t>סעיף 348(ג)</w:t>
        </w:r>
      </w:hyperlink>
      <w:r>
        <w:rPr>
          <w:rFonts w:hint="cs"/>
          <w:sz w:val="26"/>
          <w:rtl/>
        </w:rPr>
        <w:t xml:space="preserve"> ל</w:t>
      </w:r>
      <w:hyperlink r:id="rId19" w:history="1">
        <w:r w:rsidR="003214A8" w:rsidRPr="003214A8">
          <w:rPr>
            <w:rStyle w:val="Hyperlink"/>
            <w:rFonts w:hint="eastAsia"/>
            <w:sz w:val="26"/>
            <w:rtl/>
          </w:rPr>
          <w:t>חוק</w:t>
        </w:r>
        <w:r w:rsidR="003214A8" w:rsidRPr="003214A8">
          <w:rPr>
            <w:rStyle w:val="Hyperlink"/>
            <w:sz w:val="26"/>
            <w:rtl/>
          </w:rPr>
          <w:t xml:space="preserve"> העונשין</w:t>
        </w:r>
      </w:hyperlink>
      <w:r>
        <w:rPr>
          <w:rFonts w:hint="cs"/>
          <w:sz w:val="26"/>
          <w:rtl/>
        </w:rPr>
        <w:t>, שכותרתו "מעשה מגונה" וזו לשונו:</w:t>
      </w:r>
    </w:p>
    <w:p w14:paraId="151358EA" w14:textId="77777777" w:rsidR="001E1F82" w:rsidRDefault="001E1F82">
      <w:pPr>
        <w:ind w:left="1440"/>
        <w:jc w:val="both"/>
        <w:rPr>
          <w:rFonts w:hint="cs"/>
          <w:b/>
          <w:bCs/>
          <w:sz w:val="26"/>
          <w:rtl/>
        </w:rPr>
      </w:pPr>
      <w:r>
        <w:rPr>
          <w:rFonts w:hint="cs"/>
          <w:sz w:val="26"/>
          <w:rtl/>
        </w:rPr>
        <w:t>"</w:t>
      </w:r>
      <w:r>
        <w:rPr>
          <w:rFonts w:hint="cs"/>
          <w:b/>
          <w:bCs/>
          <w:sz w:val="26"/>
          <w:rtl/>
        </w:rPr>
        <w:t>(ג) העושה מעשה מגונה באדם בלא הסכמתו או שלא בנסיבות כאמור בסעיפים קטנים (א) (ב) או (ג1) דינו – מאסר שלוש שנים.</w:t>
      </w:r>
    </w:p>
    <w:p w14:paraId="2246CA1F" w14:textId="77777777" w:rsidR="001E1F82" w:rsidRDefault="001E1F82">
      <w:pPr>
        <w:ind w:left="1440"/>
        <w:jc w:val="both"/>
        <w:rPr>
          <w:rFonts w:hint="cs"/>
          <w:b/>
          <w:bCs/>
          <w:sz w:val="26"/>
          <w:rtl/>
        </w:rPr>
      </w:pPr>
      <w:r>
        <w:rPr>
          <w:rFonts w:hint="cs"/>
          <w:b/>
          <w:bCs/>
          <w:sz w:val="26"/>
          <w:rtl/>
        </w:rPr>
        <w:t>.</w:t>
      </w:r>
    </w:p>
    <w:p w14:paraId="10C4DB2F" w14:textId="77777777" w:rsidR="001E1F82" w:rsidRDefault="001E1F82">
      <w:pPr>
        <w:ind w:left="1440"/>
        <w:jc w:val="both"/>
        <w:rPr>
          <w:rFonts w:hint="cs"/>
          <w:b/>
          <w:bCs/>
          <w:sz w:val="26"/>
          <w:rtl/>
        </w:rPr>
      </w:pPr>
      <w:r>
        <w:rPr>
          <w:rFonts w:hint="cs"/>
          <w:b/>
          <w:bCs/>
          <w:sz w:val="26"/>
          <w:rtl/>
        </w:rPr>
        <w:t>.</w:t>
      </w:r>
    </w:p>
    <w:p w14:paraId="6B195E55" w14:textId="77777777" w:rsidR="001E1F82" w:rsidRDefault="001E1F82">
      <w:pPr>
        <w:ind w:left="1440"/>
        <w:jc w:val="both"/>
        <w:rPr>
          <w:rFonts w:hint="cs"/>
          <w:b/>
          <w:bCs/>
          <w:sz w:val="26"/>
          <w:rtl/>
        </w:rPr>
      </w:pPr>
      <w:r>
        <w:rPr>
          <w:rFonts w:hint="cs"/>
          <w:b/>
          <w:bCs/>
          <w:sz w:val="26"/>
          <w:rtl/>
        </w:rPr>
        <w:t>.</w:t>
      </w:r>
    </w:p>
    <w:p w14:paraId="4744CEED" w14:textId="77777777" w:rsidR="001E1F82" w:rsidRDefault="001E1F82">
      <w:pPr>
        <w:ind w:left="1440"/>
        <w:jc w:val="both"/>
        <w:rPr>
          <w:rFonts w:hint="cs"/>
          <w:b/>
          <w:bCs/>
          <w:sz w:val="26"/>
          <w:rtl/>
        </w:rPr>
      </w:pPr>
      <w:r>
        <w:rPr>
          <w:rFonts w:hint="cs"/>
          <w:b/>
          <w:bCs/>
          <w:sz w:val="26"/>
          <w:rtl/>
        </w:rPr>
        <w:t>(ו) בסימן זה "מעשה מגונה" – מעשה לשם גירוי, סיפוק או ביזוי מיניים".</w:t>
      </w:r>
    </w:p>
    <w:p w14:paraId="35C3313D" w14:textId="77777777" w:rsidR="001E1F82" w:rsidRDefault="001E1F82">
      <w:pPr>
        <w:ind w:left="1440"/>
        <w:jc w:val="both"/>
        <w:rPr>
          <w:rFonts w:hint="cs"/>
          <w:b/>
          <w:bCs/>
          <w:sz w:val="26"/>
          <w:rtl/>
        </w:rPr>
      </w:pPr>
    </w:p>
    <w:p w14:paraId="1C44D484" w14:textId="77777777" w:rsidR="001E1F82" w:rsidRDefault="001E1F82">
      <w:pPr>
        <w:ind w:left="720"/>
        <w:jc w:val="both"/>
        <w:rPr>
          <w:rFonts w:hint="cs"/>
          <w:sz w:val="26"/>
          <w:rtl/>
        </w:rPr>
      </w:pPr>
      <w:r>
        <w:rPr>
          <w:rFonts w:hint="cs"/>
          <w:sz w:val="26"/>
          <w:rtl/>
        </w:rPr>
        <w:t>לאחר בחינת הדברים, הגעתי למסקנה, כי המעשים הנ"ל, בנסיבות שהוכחו אינם מגבשים את יסודות העבירה המיוחסת לנאשם. שכן, לא מצאתי בהם יסוד לייצר מיני ושוכנעתי, שלא נתגבשה אצל הנאשם הכוונה הדרושה על פי החוק והיא יסוד נפשי לשם גירוי, סיפוק או ביזוי מיניים.</w:t>
      </w:r>
    </w:p>
    <w:p w14:paraId="1799A040" w14:textId="77777777" w:rsidR="001E1F82" w:rsidRDefault="001E1F82">
      <w:pPr>
        <w:ind w:left="720"/>
        <w:jc w:val="both"/>
        <w:rPr>
          <w:rFonts w:hint="cs"/>
          <w:sz w:val="26"/>
          <w:rtl/>
        </w:rPr>
      </w:pPr>
      <w:r>
        <w:rPr>
          <w:rFonts w:hint="cs"/>
          <w:sz w:val="26"/>
          <w:rtl/>
        </w:rPr>
        <w:t>לחילופין, איני מוציאה מכלל אפשרות, שברגע שהיתה שיחה בניהם לגבי הציפורניים והמתלוננת הראתה לנאשם את הציפורניים, יכול הנאשם היה להבין שהיא "זורמת" איתו.</w:t>
      </w:r>
    </w:p>
    <w:p w14:paraId="7BA577FC" w14:textId="77777777" w:rsidR="001E1F82" w:rsidRDefault="001E1F82">
      <w:pPr>
        <w:ind w:left="720"/>
        <w:jc w:val="both"/>
        <w:rPr>
          <w:rFonts w:hint="cs"/>
          <w:sz w:val="26"/>
          <w:rtl/>
        </w:rPr>
      </w:pPr>
    </w:p>
    <w:p w14:paraId="15F8FC5B" w14:textId="77777777" w:rsidR="001E1F82" w:rsidRDefault="001E1F82">
      <w:pPr>
        <w:ind w:left="720"/>
        <w:jc w:val="both"/>
        <w:rPr>
          <w:rFonts w:hint="cs"/>
          <w:sz w:val="26"/>
          <w:rtl/>
        </w:rPr>
      </w:pPr>
    </w:p>
    <w:p w14:paraId="0BF5E1A4" w14:textId="77777777" w:rsidR="001E1F82" w:rsidRDefault="001E1F82">
      <w:pPr>
        <w:ind w:left="720"/>
        <w:jc w:val="both"/>
        <w:rPr>
          <w:rFonts w:hint="cs"/>
          <w:sz w:val="26"/>
          <w:rtl/>
        </w:rPr>
      </w:pPr>
      <w:r>
        <w:rPr>
          <w:rFonts w:hint="cs"/>
          <w:sz w:val="26"/>
          <w:rtl/>
        </w:rPr>
        <w:t>ב</w:t>
      </w:r>
      <w:hyperlink r:id="rId20" w:history="1">
        <w:r w:rsidR="003214A8" w:rsidRPr="003214A8">
          <w:rPr>
            <w:rStyle w:val="Hyperlink"/>
            <w:rFonts w:hint="eastAsia"/>
            <w:sz w:val="26"/>
            <w:rtl/>
          </w:rPr>
          <w:t>ע</w:t>
        </w:r>
        <w:r w:rsidR="003214A8" w:rsidRPr="003214A8">
          <w:rPr>
            <w:rStyle w:val="Hyperlink"/>
            <w:sz w:val="26"/>
            <w:rtl/>
          </w:rPr>
          <w:t>.פ. 6255/03 פלוני נ' מדינת ישראל פד"י מ"ח</w:t>
        </w:r>
      </w:hyperlink>
      <w:r>
        <w:rPr>
          <w:rFonts w:hint="cs"/>
          <w:sz w:val="26"/>
          <w:rtl/>
        </w:rPr>
        <w:t xml:space="preserve">  168נאמר מפי כבוד השופט חשין:</w:t>
      </w:r>
    </w:p>
    <w:p w14:paraId="72DDF4FE" w14:textId="77777777" w:rsidR="001E1F82" w:rsidRDefault="001E1F82">
      <w:pPr>
        <w:ind w:left="1440" w:right="993"/>
        <w:jc w:val="both"/>
        <w:rPr>
          <w:rFonts w:hint="cs"/>
          <w:b/>
          <w:bCs/>
          <w:sz w:val="26"/>
          <w:rtl/>
        </w:rPr>
      </w:pPr>
      <w:r>
        <w:rPr>
          <w:rFonts w:hint="cs"/>
          <w:sz w:val="26"/>
          <w:rtl/>
        </w:rPr>
        <w:t>"</w:t>
      </w:r>
      <w:r>
        <w:rPr>
          <w:rFonts w:hint="cs"/>
          <w:b/>
          <w:bCs/>
          <w:sz w:val="26"/>
          <w:rtl/>
        </w:rPr>
        <w:t>המונח "מעשה מגונה" אינו נתון להגדרה ממצה ומדוייקת. דבר זה אין לך בו אלא מקומו ושעתו, והשקפות החברה בה מבוצע המעשה. ברוב המכריע של המקרים – אך לא תמיד ממש – מצוי במעשה זה יסוד של יצרי מין".</w:t>
      </w:r>
    </w:p>
    <w:p w14:paraId="480C98C1" w14:textId="77777777" w:rsidR="001E1F82" w:rsidRDefault="001E1F82">
      <w:pPr>
        <w:ind w:left="1440" w:right="993"/>
        <w:jc w:val="both"/>
        <w:rPr>
          <w:rFonts w:hint="cs"/>
          <w:sz w:val="26"/>
          <w:rtl/>
        </w:rPr>
      </w:pPr>
    </w:p>
    <w:p w14:paraId="264CEDEB" w14:textId="77777777" w:rsidR="001E1F82" w:rsidRDefault="001E1F82">
      <w:pPr>
        <w:ind w:left="1440" w:right="993"/>
        <w:jc w:val="both"/>
        <w:rPr>
          <w:rFonts w:hint="cs"/>
          <w:sz w:val="26"/>
          <w:rtl/>
        </w:rPr>
      </w:pPr>
      <w:r>
        <w:rPr>
          <w:rFonts w:hint="cs"/>
          <w:sz w:val="26"/>
          <w:rtl/>
        </w:rPr>
        <w:t xml:space="preserve">ובהמשך, </w:t>
      </w:r>
    </w:p>
    <w:p w14:paraId="705026FC" w14:textId="77777777" w:rsidR="001E1F82" w:rsidRDefault="001E1F82">
      <w:pPr>
        <w:ind w:left="1440" w:right="993"/>
        <w:jc w:val="both"/>
        <w:rPr>
          <w:rFonts w:hint="cs"/>
          <w:sz w:val="26"/>
          <w:rtl/>
        </w:rPr>
      </w:pPr>
      <w:r>
        <w:rPr>
          <w:rFonts w:hint="cs"/>
          <w:sz w:val="26"/>
          <w:rtl/>
        </w:rPr>
        <w:t>"</w:t>
      </w:r>
      <w:r>
        <w:rPr>
          <w:rFonts w:hint="cs"/>
          <w:b/>
          <w:bCs/>
          <w:sz w:val="26"/>
          <w:rtl/>
        </w:rPr>
        <w:t>היסוד העובדתי בעבירה של עשיית מעשה מגונה הוא מעשה שבנסיבות העניין מהווה בעיני האדם הסביר מעשה מגונה ובלבד שנתלווה אליו יסוד נפשי של מטרה ספציפית שהמעשה הוא למטרה של גירוי, ספוק או ביזוי מיני</w:t>
      </w:r>
      <w:r>
        <w:rPr>
          <w:rFonts w:hint="cs"/>
          <w:sz w:val="26"/>
          <w:rtl/>
        </w:rPr>
        <w:t>".</w:t>
      </w:r>
    </w:p>
    <w:p w14:paraId="4DF490D9" w14:textId="77777777" w:rsidR="001E1F82" w:rsidRDefault="001E1F82">
      <w:pPr>
        <w:ind w:left="720" w:hanging="720"/>
        <w:jc w:val="both"/>
        <w:rPr>
          <w:rFonts w:hint="cs"/>
          <w:b/>
          <w:bCs/>
          <w:sz w:val="26"/>
          <w:rtl/>
        </w:rPr>
      </w:pPr>
    </w:p>
    <w:p w14:paraId="3A65C60D" w14:textId="77777777" w:rsidR="001E1F82" w:rsidRDefault="001E1F82">
      <w:pPr>
        <w:ind w:left="720" w:hanging="720"/>
        <w:jc w:val="both"/>
        <w:rPr>
          <w:rFonts w:hint="cs"/>
          <w:sz w:val="26"/>
          <w:rtl/>
        </w:rPr>
      </w:pPr>
      <w:r>
        <w:rPr>
          <w:rFonts w:hint="cs"/>
          <w:sz w:val="26"/>
          <w:rtl/>
        </w:rPr>
        <w:t>16.</w:t>
      </w:r>
      <w:r>
        <w:rPr>
          <w:rFonts w:hint="cs"/>
          <w:sz w:val="26"/>
          <w:rtl/>
        </w:rPr>
        <w:tab/>
        <w:t>מקור האיסור הפלילי לבצע מעשה מגונה הוא בצורך להגן על שלמות גופו וצנעת פרטיותו של האדם (דברי גב' השופטת פרוקצ'ה ב</w:t>
      </w:r>
      <w:hyperlink r:id="rId21" w:history="1">
        <w:r w:rsidR="003214A8" w:rsidRPr="003214A8">
          <w:rPr>
            <w:rStyle w:val="Hyperlink"/>
            <w:rFonts w:hint="eastAsia"/>
            <w:sz w:val="26"/>
            <w:rtl/>
          </w:rPr>
          <w:t>ע</w:t>
        </w:r>
        <w:r w:rsidR="003214A8" w:rsidRPr="003214A8">
          <w:rPr>
            <w:rStyle w:val="Hyperlink"/>
            <w:sz w:val="26"/>
            <w:rtl/>
          </w:rPr>
          <w:t>.פ 6269/99 כהן נ' מ"י פד"י נה</w:t>
        </w:r>
      </w:hyperlink>
      <w:r>
        <w:rPr>
          <w:rFonts w:hint="cs"/>
          <w:sz w:val="26"/>
          <w:rtl/>
        </w:rPr>
        <w:t>(2) 496.)</w:t>
      </w:r>
    </w:p>
    <w:p w14:paraId="6D6BA5CE" w14:textId="77777777" w:rsidR="001E1F82" w:rsidRDefault="001E1F82">
      <w:pPr>
        <w:ind w:left="720" w:hanging="720"/>
        <w:jc w:val="both"/>
        <w:rPr>
          <w:rFonts w:hint="cs"/>
          <w:sz w:val="26"/>
          <w:rtl/>
        </w:rPr>
      </w:pPr>
      <w:r>
        <w:rPr>
          <w:rFonts w:hint="cs"/>
          <w:sz w:val="26"/>
          <w:rtl/>
        </w:rPr>
        <w:tab/>
      </w:r>
    </w:p>
    <w:p w14:paraId="55C4BBCE" w14:textId="77777777" w:rsidR="001E1F82" w:rsidRDefault="001E1F82">
      <w:pPr>
        <w:ind w:left="720" w:hanging="720"/>
        <w:jc w:val="both"/>
        <w:rPr>
          <w:rFonts w:hint="cs"/>
          <w:sz w:val="26"/>
          <w:rtl/>
        </w:rPr>
      </w:pPr>
      <w:r>
        <w:rPr>
          <w:rFonts w:hint="cs"/>
          <w:sz w:val="26"/>
          <w:rtl/>
        </w:rPr>
        <w:t>17.</w:t>
      </w:r>
      <w:r>
        <w:rPr>
          <w:rFonts w:hint="cs"/>
          <w:sz w:val="26"/>
          <w:rtl/>
        </w:rPr>
        <w:tab/>
        <w:t xml:space="preserve">באשר להטרדה המינית- אפילו שלא ירדתי לסוף דעתה של התביעה, אם מדובר בטענה חילופית או בעבירה המיוחסת לנאשם לגבי השיחה שלו עם המתלוננת, החיזור, המחמאות וכו'. התגובה המיידית של הנאשם, בנסיבות שהוכחו, כאשר גם על פי גרסתה, הוא "ישר" חזר קדימה, כאשר אמרה לו שיש לה חבר,  מצביעה על העדר כוונה כלשהיא ולפחות ספק. </w:t>
      </w:r>
    </w:p>
    <w:p w14:paraId="7765C44B" w14:textId="77777777" w:rsidR="001E1F82" w:rsidRDefault="001E1F82">
      <w:pPr>
        <w:ind w:left="720" w:hanging="720"/>
        <w:jc w:val="both"/>
        <w:rPr>
          <w:rFonts w:hint="cs"/>
          <w:sz w:val="26"/>
          <w:rtl/>
        </w:rPr>
      </w:pPr>
      <w:r>
        <w:rPr>
          <w:rFonts w:hint="cs"/>
          <w:sz w:val="26"/>
          <w:rtl/>
        </w:rPr>
        <w:tab/>
        <w:t>נקבע בפסיקה, כי את אופייה האמיתי של התנהגותו של מי שמיוחסת לו הטרדה מינית, יש לפרש על רקע מכלול נסיבות המקרה והתנהגות הצדדים המעורבים בארוע הנידון (</w:t>
      </w:r>
      <w:hyperlink r:id="rId22" w:history="1">
        <w:r w:rsidR="003214A8" w:rsidRPr="003214A8">
          <w:rPr>
            <w:rStyle w:val="Hyperlink"/>
            <w:rFonts w:hint="eastAsia"/>
            <w:sz w:val="26"/>
            <w:rtl/>
          </w:rPr>
          <w:t>עש</w:t>
        </w:r>
        <w:r w:rsidR="003214A8" w:rsidRPr="003214A8">
          <w:rPr>
            <w:rStyle w:val="Hyperlink"/>
            <w:sz w:val="26"/>
            <w:rtl/>
          </w:rPr>
          <w:t>"מ 6920/03 כהן נ' מ"י פד"י נה</w:t>
        </w:r>
      </w:hyperlink>
      <w:r>
        <w:rPr>
          <w:rFonts w:hint="cs"/>
          <w:sz w:val="26"/>
          <w:rtl/>
        </w:rPr>
        <w:t>(3) 660,655).</w:t>
      </w:r>
    </w:p>
    <w:p w14:paraId="1628781F" w14:textId="77777777" w:rsidR="001E1F82" w:rsidRDefault="001E1F82">
      <w:pPr>
        <w:jc w:val="both"/>
        <w:rPr>
          <w:rFonts w:hint="cs"/>
          <w:sz w:val="26"/>
          <w:rtl/>
        </w:rPr>
      </w:pPr>
    </w:p>
    <w:p w14:paraId="2994EEF1" w14:textId="77777777" w:rsidR="001E1F82" w:rsidRDefault="001E1F82">
      <w:pPr>
        <w:ind w:left="720"/>
        <w:jc w:val="both"/>
        <w:rPr>
          <w:rFonts w:hint="cs"/>
          <w:sz w:val="26"/>
          <w:rtl/>
        </w:rPr>
      </w:pPr>
      <w:r>
        <w:rPr>
          <w:rFonts w:hint="cs"/>
          <w:sz w:val="26"/>
          <w:rtl/>
        </w:rPr>
        <w:t>השאלה בדבר מצבו הנפשי – סובייקטיבי של המטריד בעת ביצוע המעשים, תיבחן על רקע מכלול נסיבות הענין וכבר אמרתי דעתי בעניין זה.</w:t>
      </w:r>
    </w:p>
    <w:p w14:paraId="519F576F" w14:textId="77777777" w:rsidR="001E1F82" w:rsidRDefault="001E1F82">
      <w:pPr>
        <w:ind w:left="720"/>
        <w:jc w:val="both"/>
        <w:rPr>
          <w:rFonts w:hint="cs"/>
          <w:sz w:val="26"/>
          <w:rtl/>
        </w:rPr>
      </w:pPr>
    </w:p>
    <w:p w14:paraId="68EA2CE4" w14:textId="77777777" w:rsidR="001E1F82" w:rsidRDefault="001E1F82">
      <w:pPr>
        <w:ind w:left="720"/>
        <w:jc w:val="both"/>
        <w:rPr>
          <w:rFonts w:hint="cs"/>
          <w:sz w:val="26"/>
          <w:rtl/>
        </w:rPr>
      </w:pPr>
      <w:r>
        <w:rPr>
          <w:rFonts w:hint="cs"/>
          <w:sz w:val="26"/>
          <w:rtl/>
        </w:rPr>
        <w:t>לאור האמור לעיל, אני קובעת שהתביעה לא עמדה בנטל הראיה המוטל עליה ואני מחליטה לזכות את הנאשם.</w:t>
      </w:r>
    </w:p>
    <w:p w14:paraId="7AC9126C" w14:textId="77777777" w:rsidR="001E1F82" w:rsidRDefault="001E1F82">
      <w:pPr>
        <w:ind w:left="720"/>
        <w:jc w:val="both"/>
        <w:rPr>
          <w:rFonts w:hint="cs"/>
          <w:sz w:val="26"/>
          <w:rtl/>
        </w:rPr>
      </w:pPr>
      <w:r>
        <w:rPr>
          <w:rFonts w:hint="cs"/>
          <w:sz w:val="26"/>
          <w:rtl/>
        </w:rPr>
        <w:t>בשולי הדברים אומר, כי ביני לביני שקלתי, אם מדובר בעבירה של תקיפה (במדרג נמוך ביותר). מאחר ולא עלתה אפשרות כזו מפי התביעה אני פטורה מלהתייחס לכך.</w:t>
      </w:r>
    </w:p>
    <w:p w14:paraId="0ED4B325" w14:textId="77777777" w:rsidR="001E1F82" w:rsidRDefault="001E1F82">
      <w:pPr>
        <w:ind w:left="720"/>
        <w:jc w:val="both"/>
        <w:rPr>
          <w:rFonts w:hint="cs"/>
          <w:sz w:val="26"/>
          <w:rtl/>
        </w:rPr>
      </w:pPr>
    </w:p>
    <w:p w14:paraId="10E95A4D" w14:textId="77777777" w:rsidR="001E1F82" w:rsidRDefault="001E1F82">
      <w:pPr>
        <w:rPr>
          <w:rFonts w:hint="cs"/>
          <w:b/>
          <w:bCs/>
          <w:color w:val="FFFFFF"/>
          <w:sz w:val="2"/>
          <w:szCs w:val="2"/>
          <w:rtl/>
        </w:rPr>
      </w:pPr>
      <w:bookmarkStart w:id="9" w:name="Decision2"/>
      <w:bookmarkStart w:id="10" w:name="Decision1"/>
    </w:p>
    <w:p w14:paraId="6339F6DD" w14:textId="77777777" w:rsidR="001E1F82" w:rsidRDefault="001E1F82">
      <w:pPr>
        <w:rPr>
          <w:b/>
          <w:bCs/>
          <w:color w:val="FFFFFF"/>
          <w:sz w:val="2"/>
          <w:szCs w:val="2"/>
          <w:rtl/>
        </w:rPr>
      </w:pPr>
      <w:r>
        <w:rPr>
          <w:b/>
          <w:bCs/>
          <w:color w:val="FFFFFF"/>
          <w:sz w:val="2"/>
          <w:szCs w:val="2"/>
          <w:rtl/>
        </w:rPr>
        <w:t>5129371</w:t>
      </w:r>
    </w:p>
    <w:p w14:paraId="41C073A5" w14:textId="77777777" w:rsidR="001E1F82" w:rsidRDefault="001E1F82">
      <w:pPr>
        <w:rPr>
          <w:rFonts w:hint="cs"/>
          <w:b/>
          <w:bCs/>
          <w:color w:val="FFFFFF"/>
          <w:sz w:val="2"/>
          <w:szCs w:val="2"/>
          <w:rtl/>
        </w:rPr>
      </w:pPr>
      <w:r>
        <w:rPr>
          <w:b/>
          <w:bCs/>
          <w:color w:val="FFFFFF"/>
          <w:sz w:val="2"/>
          <w:szCs w:val="2"/>
          <w:rtl/>
        </w:rPr>
        <w:t>54678313</w:t>
      </w:r>
    </w:p>
    <w:p w14:paraId="0F216859" w14:textId="77777777" w:rsidR="001E1F82" w:rsidRDefault="001E1F82">
      <w:pPr>
        <w:rPr>
          <w:b/>
          <w:bCs/>
          <w:color w:val="FFFFFF"/>
          <w:sz w:val="2"/>
          <w:szCs w:val="2"/>
          <w:rtl/>
        </w:rPr>
      </w:pPr>
      <w:r>
        <w:rPr>
          <w:b/>
          <w:bCs/>
          <w:color w:val="FFFFFF"/>
          <w:sz w:val="2"/>
          <w:szCs w:val="2"/>
          <w:rtl/>
        </w:rPr>
        <w:t>5129371</w:t>
      </w:r>
    </w:p>
    <w:p w14:paraId="0FACC4EC" w14:textId="77777777" w:rsidR="001E1F82" w:rsidRDefault="001E1F82">
      <w:pPr>
        <w:rPr>
          <w:rFonts w:hint="cs"/>
          <w:b/>
          <w:bCs/>
          <w:sz w:val="26"/>
          <w:rtl/>
        </w:rPr>
      </w:pPr>
      <w:r>
        <w:rPr>
          <w:b/>
          <w:bCs/>
          <w:color w:val="FFFFFF"/>
          <w:sz w:val="2"/>
          <w:szCs w:val="2"/>
          <w:rtl/>
        </w:rPr>
        <w:t>54678313</w:t>
      </w:r>
      <w:r>
        <w:rPr>
          <w:rFonts w:hint="cs"/>
          <w:b/>
          <w:bCs/>
          <w:sz w:val="26"/>
          <w:rtl/>
        </w:rPr>
        <w:t>ניתנה היום י"א בטבת, תשס"ו (11 בינואר 2006) במעמד הנאשם וב"כ וב"כ התביעה עו"ד אהרונוביץ.</w:t>
      </w:r>
    </w:p>
    <w:p w14:paraId="720B5A1D" w14:textId="77777777" w:rsidR="001E1F82" w:rsidRDefault="001E1F82">
      <w:pPr>
        <w:jc w:val="right"/>
        <w:rPr>
          <w:rFonts w:hint="cs"/>
          <w:b/>
          <w:bCs/>
          <w:sz w:val="26"/>
          <w:rtl/>
        </w:rPr>
      </w:pPr>
      <w:r>
        <w:rPr>
          <w:rFonts w:hint="cs"/>
          <w:b/>
          <w:bCs/>
          <w:sz w:val="26"/>
          <w:rtl/>
        </w:rPr>
        <w:t xml:space="preserve">                                                                                ______________</w:t>
      </w:r>
    </w:p>
    <w:p w14:paraId="388CF635" w14:textId="77777777" w:rsidR="001E1F82" w:rsidRDefault="001E1F82">
      <w:pPr>
        <w:keepNext/>
        <w:rPr>
          <w:rFonts w:hAnsi="David" w:hint="cs"/>
          <w:color w:val="000000"/>
          <w:sz w:val="22"/>
          <w:szCs w:val="22"/>
          <w:rtl/>
        </w:rPr>
      </w:pPr>
    </w:p>
    <w:p w14:paraId="12CE29D8" w14:textId="77777777" w:rsidR="001E1F82" w:rsidRDefault="001E1F82">
      <w:pPr>
        <w:keepNext/>
        <w:rPr>
          <w:rFonts w:hAnsi="David" w:hint="cs"/>
          <w:color w:val="000000"/>
          <w:sz w:val="22"/>
          <w:szCs w:val="22"/>
          <w:rtl/>
        </w:rPr>
      </w:pPr>
    </w:p>
    <w:p w14:paraId="0A280E1A" w14:textId="77777777" w:rsidR="001E1F82" w:rsidRDefault="001E1F82">
      <w:pPr>
        <w:keepNext/>
        <w:rPr>
          <w:rFonts w:hAnsi="David"/>
          <w:color w:val="000000"/>
          <w:sz w:val="22"/>
          <w:szCs w:val="22"/>
          <w:rtl/>
        </w:rPr>
      </w:pPr>
      <w:r>
        <w:rPr>
          <w:rFonts w:hAnsi="David"/>
          <w:color w:val="000000"/>
          <w:sz w:val="22"/>
          <w:szCs w:val="22"/>
          <w:rtl/>
        </w:rPr>
        <w:t>ק. רג'יניאנו 54678313-2407/04</w:t>
      </w:r>
    </w:p>
    <w:p w14:paraId="3DB1ABA0" w14:textId="77777777" w:rsidR="001E1F82" w:rsidRDefault="001E1F82">
      <w:pPr>
        <w:jc w:val="right"/>
        <w:rPr>
          <w:rFonts w:hint="cs"/>
          <w:b/>
          <w:bCs/>
          <w:sz w:val="26"/>
          <w:rtl/>
        </w:rPr>
      </w:pPr>
      <w:r>
        <w:rPr>
          <w:rFonts w:hint="cs"/>
          <w:b/>
          <w:bCs/>
          <w:sz w:val="26"/>
          <w:rtl/>
        </w:rPr>
        <w:t>ק.רג'יניאנו, שופטת</w:t>
      </w:r>
    </w:p>
    <w:bookmarkEnd w:id="9"/>
    <w:bookmarkEnd w:id="10"/>
    <w:p w14:paraId="6411EB18" w14:textId="77777777" w:rsidR="001E1F82" w:rsidRDefault="001E1F82">
      <w:pPr>
        <w:rPr>
          <w:rtl/>
        </w:rPr>
      </w:pPr>
      <w:r>
        <w:rPr>
          <w:color w:val="000000"/>
          <w:rtl/>
        </w:rPr>
        <w:t>נוסח מסמך זה כפוף לשינויי ניסוח ועריכה</w:t>
      </w:r>
    </w:p>
    <w:sectPr w:rsidR="001E1F82">
      <w:headerReference w:type="even" r:id="rId23"/>
      <w:headerReference w:type="default" r:id="rId24"/>
      <w:footerReference w:type="even" r:id="rId25"/>
      <w:footerReference w:type="default" r:id="rId2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D67F" w14:textId="77777777" w:rsidR="0019685C" w:rsidRDefault="0019685C">
      <w:r>
        <w:separator/>
      </w:r>
    </w:p>
  </w:endnote>
  <w:endnote w:type="continuationSeparator" w:id="0">
    <w:p w14:paraId="5A7567BE" w14:textId="77777777" w:rsidR="0019685C" w:rsidRDefault="0019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09D6" w14:textId="77777777" w:rsidR="00BD57B9" w:rsidRDefault="00BD57B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52C1887" w14:textId="77777777" w:rsidR="00BD57B9" w:rsidRDefault="00BD57B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B5DF51" w14:textId="77777777" w:rsidR="00BD57B9" w:rsidRDefault="00BD57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14A8">
      <w:rPr>
        <w:rFonts w:cs="TopType Jerushalmi"/>
        <w:noProof/>
        <w:color w:val="000000"/>
        <w:sz w:val="14"/>
        <w:szCs w:val="14"/>
      </w:rPr>
      <w:t>Z:\00000000000000000000000000000000000-2016---------------\HAKIKA-KIDUD-2016\2006\Given2006\shalom\word\outdoc-nohyper\01\OutDoc-Makor\s04002407-351.doc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E54C" w14:textId="77777777" w:rsidR="00BD57B9" w:rsidRDefault="00BD57B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405E1">
      <w:rPr>
        <w:rFonts w:hAnsi="FrankRuehl" w:cs="FrankRuehl"/>
        <w:noProof/>
        <w:sz w:val="24"/>
        <w:rtl/>
      </w:rPr>
      <w:t>1</w:t>
    </w:r>
    <w:r>
      <w:rPr>
        <w:rFonts w:hAnsi="FrankRuehl" w:cs="FrankRuehl"/>
        <w:sz w:val="24"/>
        <w:rtl/>
      </w:rPr>
      <w:fldChar w:fldCharType="end"/>
    </w:r>
  </w:p>
  <w:p w14:paraId="04AC47CA" w14:textId="77777777" w:rsidR="00BD57B9" w:rsidRDefault="00BD57B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4AC62E" w14:textId="77777777" w:rsidR="00BD57B9" w:rsidRDefault="00BD57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14A8">
      <w:rPr>
        <w:rFonts w:cs="TopType Jerushalmi"/>
        <w:noProof/>
        <w:color w:val="000000"/>
        <w:sz w:val="14"/>
        <w:szCs w:val="14"/>
      </w:rPr>
      <w:t>Z:\00000000000000000000000000000000000-2016---------------\HAKIKA-KIDUD-2016\2006\Given2006\shalom\word\outdoc-nohyper\01\OutDoc-Makor\s04002407-351.doc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ECFC" w14:textId="77777777" w:rsidR="0019685C" w:rsidRDefault="0019685C">
      <w:r>
        <w:separator/>
      </w:r>
    </w:p>
  </w:footnote>
  <w:footnote w:type="continuationSeparator" w:id="0">
    <w:p w14:paraId="4BA00D22" w14:textId="77777777" w:rsidR="0019685C" w:rsidRDefault="00196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C15D" w14:textId="77777777" w:rsidR="00BD57B9" w:rsidRDefault="00BD57B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2407/04</w:t>
    </w:r>
    <w:r>
      <w:rPr>
        <w:rFonts w:hAnsi="David"/>
        <w:color w:val="000000"/>
        <w:sz w:val="22"/>
        <w:szCs w:val="22"/>
        <w:rtl/>
      </w:rPr>
      <w:tab/>
      <w:t xml:space="preserve"> מדינת ישראל נ' צרפתי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3BBC" w14:textId="77777777" w:rsidR="00BD57B9" w:rsidRDefault="00BD57B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2407/04</w:t>
    </w:r>
    <w:r>
      <w:rPr>
        <w:rFonts w:hAnsi="David"/>
        <w:color w:val="000000"/>
        <w:sz w:val="22"/>
        <w:szCs w:val="22"/>
        <w:rtl/>
      </w:rPr>
      <w:tab/>
      <w:t xml:space="preserve"> מדינת ישראל נ' צרפתי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E1F82"/>
    <w:rsid w:val="00052CCF"/>
    <w:rsid w:val="0019685C"/>
    <w:rsid w:val="001E1F82"/>
    <w:rsid w:val="003214A8"/>
    <w:rsid w:val="003405E1"/>
    <w:rsid w:val="00AA3D5E"/>
    <w:rsid w:val="00BD57B9"/>
    <w:rsid w:val="00D82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25CDD3"/>
  <w15:chartTrackingRefBased/>
  <w15:docId w15:val="{21BED997-3BA7-4F28-B225-165C968C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ind w:left="2160" w:firstLine="720"/>
      <w:outlineLvl w:val="4"/>
    </w:pPr>
    <w:rPr>
      <w:b/>
      <w:bCs/>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jc w:val="both"/>
    </w:pPr>
    <w:rPr>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21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5676920"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2507"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2507/5" TargetMode="External"/><Relationship Id="rId20" Type="http://schemas.openxmlformats.org/officeDocument/2006/relationships/hyperlink" Target="http://www.nevo.co.il/case/623249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5"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2507/3.a.3"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2507/3.a.2" TargetMode="External"/><Relationship Id="rId14" Type="http://schemas.openxmlformats.org/officeDocument/2006/relationships/hyperlink" Target="http://www.nevo.co.il/law/72507/3.a.2" TargetMode="External"/><Relationship Id="rId22" Type="http://schemas.openxmlformats.org/officeDocument/2006/relationships/hyperlink" Target="http://www.nevo.co.il/case/608980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1812</Words>
  <Characters>10334</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12122</CharactersWithSpaces>
  <SharedDoc>false</SharedDoc>
  <HLinks>
    <vt:vector size="102" baseType="variant">
      <vt:variant>
        <vt:i4>4128893</vt:i4>
      </vt:variant>
      <vt:variant>
        <vt:i4>48</vt:i4>
      </vt:variant>
      <vt:variant>
        <vt:i4>0</vt:i4>
      </vt:variant>
      <vt:variant>
        <vt:i4>5</vt:i4>
      </vt:variant>
      <vt:variant>
        <vt:lpwstr>http://www.nevo.co.il/case/6089809</vt:lpwstr>
      </vt:variant>
      <vt:variant>
        <vt:lpwstr/>
      </vt:variant>
      <vt:variant>
        <vt:i4>3866742</vt:i4>
      </vt:variant>
      <vt:variant>
        <vt:i4>45</vt:i4>
      </vt:variant>
      <vt:variant>
        <vt:i4>0</vt:i4>
      </vt:variant>
      <vt:variant>
        <vt:i4>5</vt:i4>
      </vt:variant>
      <vt:variant>
        <vt:lpwstr>http://www.nevo.co.il/case/5676920</vt:lpwstr>
      </vt:variant>
      <vt:variant>
        <vt:lpwstr/>
      </vt:variant>
      <vt:variant>
        <vt:i4>3539069</vt:i4>
      </vt:variant>
      <vt:variant>
        <vt:i4>42</vt:i4>
      </vt:variant>
      <vt:variant>
        <vt:i4>0</vt:i4>
      </vt:variant>
      <vt:variant>
        <vt:i4>5</vt:i4>
      </vt:variant>
      <vt:variant>
        <vt:lpwstr>http://www.nevo.co.il/case/6232497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7864418</vt:i4>
      </vt:variant>
      <vt:variant>
        <vt:i4>33</vt:i4>
      </vt:variant>
      <vt:variant>
        <vt:i4>0</vt:i4>
      </vt:variant>
      <vt:variant>
        <vt:i4>5</vt:i4>
      </vt:variant>
      <vt:variant>
        <vt:lpwstr>http://www.nevo.co.il/law/72507</vt:lpwstr>
      </vt:variant>
      <vt:variant>
        <vt:lpwstr/>
      </vt:variant>
      <vt:variant>
        <vt:i4>5701717</vt:i4>
      </vt:variant>
      <vt:variant>
        <vt:i4>30</vt:i4>
      </vt:variant>
      <vt:variant>
        <vt:i4>0</vt:i4>
      </vt:variant>
      <vt:variant>
        <vt:i4>5</vt:i4>
      </vt:variant>
      <vt:variant>
        <vt:lpwstr>http://www.nevo.co.il/law/72507/5</vt:lpwstr>
      </vt:variant>
      <vt:variant>
        <vt:lpwstr/>
      </vt:variant>
      <vt:variant>
        <vt:i4>5701639</vt:i4>
      </vt:variant>
      <vt:variant>
        <vt:i4>27</vt:i4>
      </vt:variant>
      <vt:variant>
        <vt:i4>0</vt:i4>
      </vt:variant>
      <vt:variant>
        <vt:i4>5</vt:i4>
      </vt:variant>
      <vt:variant>
        <vt:lpwstr>http://www.nevo.co.il/law/72507/3.a.3</vt:lpwstr>
      </vt:variant>
      <vt:variant>
        <vt:lpwstr/>
      </vt:variant>
      <vt:variant>
        <vt:i4>5701639</vt:i4>
      </vt:variant>
      <vt:variant>
        <vt:i4>24</vt:i4>
      </vt:variant>
      <vt:variant>
        <vt:i4>0</vt:i4>
      </vt:variant>
      <vt:variant>
        <vt:i4>5</vt:i4>
      </vt:variant>
      <vt:variant>
        <vt:lpwstr>http://www.nevo.co.il/law/72507/3.a.2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5701717</vt:i4>
      </vt:variant>
      <vt:variant>
        <vt:i4>15</vt:i4>
      </vt:variant>
      <vt:variant>
        <vt:i4>0</vt:i4>
      </vt:variant>
      <vt:variant>
        <vt:i4>5</vt:i4>
      </vt:variant>
      <vt:variant>
        <vt:lpwstr>http://www.nevo.co.il/law/72507/5</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5701639</vt:i4>
      </vt:variant>
      <vt:variant>
        <vt:i4>9</vt:i4>
      </vt:variant>
      <vt:variant>
        <vt:i4>0</vt:i4>
      </vt:variant>
      <vt:variant>
        <vt:i4>5</vt:i4>
      </vt:variant>
      <vt:variant>
        <vt:lpwstr>http://www.nevo.co.il/law/72507/3.a.2</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2006-01-11T08:10:00Z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2407</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צרפתי דוד</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20060111</vt:lpwstr>
  </property>
  <property fmtid="{D5CDD505-2E9C-101B-9397-08002B2CF9AE}" pid="12" name="WORDNUMPAGES">
    <vt:lpwstr>8</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6232497;5676920;6089809</vt:lpwstr>
  </property>
  <property fmtid="{D5CDD505-2E9C-101B-9397-08002B2CF9AE}" pid="32" name="LAWLISTTMP1">
    <vt:lpwstr>70301/348.c:2</vt:lpwstr>
  </property>
  <property fmtid="{D5CDD505-2E9C-101B-9397-08002B2CF9AE}" pid="33" name="LAWLISTTMP2">
    <vt:lpwstr>72507/003.a.2;003.a.3;005</vt:lpwstr>
  </property>
</Properties>
</file>