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CCDA" w14:textId="77777777" w:rsidR="00FA5336" w:rsidRDefault="00FA5336">
      <w:pPr>
        <w:jc w:val="center"/>
        <w:rPr>
          <w:b/>
          <w:bCs/>
          <w:sz w:val="24"/>
          <w:rtl/>
        </w:rPr>
      </w:pPr>
      <w:bookmarkStart w:id="0" w:name="סוג_מסמך"/>
      <w:bookmarkStart w:id="1" w:name="LastJudge"/>
      <w:r>
        <w:rPr>
          <w:rFonts w:hint="cs"/>
          <w:b/>
          <w:bCs/>
          <w:sz w:val="24"/>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2"/>
        <w:gridCol w:w="822"/>
        <w:gridCol w:w="2092"/>
      </w:tblGrid>
      <w:tr w:rsidR="00FA5336" w14:paraId="39D42D9F" w14:textId="77777777" w:rsidTr="00FA5336">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08A1938D" w14:textId="77777777" w:rsidR="00FA5336" w:rsidRDefault="00FA5336">
            <w:pPr>
              <w:rPr>
                <w:b/>
                <w:bCs/>
                <w:sz w:val="24"/>
              </w:rPr>
            </w:pPr>
            <w:r>
              <w:rPr>
                <w:rFonts w:hint="cs"/>
                <w:b/>
                <w:bCs/>
                <w:sz w:val="24"/>
                <w:rtl/>
              </w:rPr>
              <w:t>בית משפט השלום חיפה</w:t>
            </w:r>
          </w:p>
        </w:tc>
        <w:tc>
          <w:tcPr>
            <w:tcW w:w="2914" w:type="dxa"/>
            <w:gridSpan w:val="2"/>
            <w:tcBorders>
              <w:top w:val="single" w:sz="4" w:space="0" w:color="auto"/>
              <w:left w:val="single" w:sz="4" w:space="0" w:color="auto"/>
              <w:bottom w:val="single" w:sz="4" w:space="0" w:color="auto"/>
              <w:right w:val="single" w:sz="4" w:space="0" w:color="auto"/>
            </w:tcBorders>
          </w:tcPr>
          <w:p w14:paraId="39A63F39" w14:textId="77777777" w:rsidR="00FA5336" w:rsidRDefault="00FA5336">
            <w:pPr>
              <w:rPr>
                <w:b/>
                <w:bCs/>
                <w:sz w:val="24"/>
              </w:rPr>
            </w:pPr>
            <w:r>
              <w:rPr>
                <w:rFonts w:hint="cs"/>
                <w:b/>
                <w:bCs/>
                <w:sz w:val="24"/>
                <w:rtl/>
              </w:rPr>
              <w:t>פ  003800/04</w:t>
            </w:r>
          </w:p>
        </w:tc>
      </w:tr>
      <w:tr w:rsidR="00FA5336" w14:paraId="62779B2D" w14:textId="77777777" w:rsidTr="00FA5336">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BE70448" w14:textId="77777777" w:rsidR="00FA5336" w:rsidRDefault="00FA5336">
            <w:pPr>
              <w:bidi w:val="0"/>
              <w:spacing w:line="240" w:lineRule="auto"/>
              <w:jc w:val="left"/>
              <w:rPr>
                <w:b/>
                <w:bCs/>
                <w:sz w:val="24"/>
              </w:rPr>
            </w:pPr>
          </w:p>
        </w:tc>
        <w:tc>
          <w:tcPr>
            <w:tcW w:w="2914" w:type="dxa"/>
            <w:gridSpan w:val="2"/>
            <w:tcBorders>
              <w:top w:val="single" w:sz="4" w:space="0" w:color="auto"/>
              <w:left w:val="single" w:sz="4" w:space="0" w:color="auto"/>
              <w:bottom w:val="single" w:sz="4" w:space="0" w:color="auto"/>
              <w:right w:val="single" w:sz="4" w:space="0" w:color="auto"/>
            </w:tcBorders>
          </w:tcPr>
          <w:p w14:paraId="089BF7A1" w14:textId="77777777" w:rsidR="00FA5336" w:rsidRDefault="00FA5336">
            <w:pPr>
              <w:rPr>
                <w:b/>
                <w:bCs/>
                <w:sz w:val="24"/>
              </w:rPr>
            </w:pPr>
          </w:p>
        </w:tc>
      </w:tr>
      <w:tr w:rsidR="00FA5336" w14:paraId="4F074D6C" w14:textId="77777777" w:rsidTr="00FA5336">
        <w:trPr>
          <w:trHeight w:val="286"/>
        </w:trPr>
        <w:tc>
          <w:tcPr>
            <w:tcW w:w="766" w:type="dxa"/>
            <w:tcBorders>
              <w:top w:val="single" w:sz="4" w:space="0" w:color="auto"/>
              <w:left w:val="single" w:sz="4" w:space="0" w:color="auto"/>
              <w:bottom w:val="single" w:sz="4" w:space="0" w:color="auto"/>
              <w:right w:val="single" w:sz="4" w:space="0" w:color="auto"/>
            </w:tcBorders>
          </w:tcPr>
          <w:p w14:paraId="2188F653" w14:textId="77777777" w:rsidR="00FA5336" w:rsidRDefault="00FA5336">
            <w:pPr>
              <w:rPr>
                <w:b/>
                <w:bCs/>
                <w:sz w:val="24"/>
              </w:rPr>
            </w:pPr>
            <w:r>
              <w:rPr>
                <w:rFonts w:hint="cs"/>
                <w:b/>
                <w:bCs/>
                <w:sz w:val="24"/>
                <w:rtl/>
              </w:rPr>
              <w:t>בפני:</w:t>
            </w:r>
          </w:p>
        </w:tc>
        <w:tc>
          <w:tcPr>
            <w:tcW w:w="4842" w:type="dxa"/>
            <w:tcBorders>
              <w:top w:val="single" w:sz="4" w:space="0" w:color="auto"/>
              <w:left w:val="single" w:sz="4" w:space="0" w:color="auto"/>
              <w:bottom w:val="single" w:sz="4" w:space="0" w:color="auto"/>
              <w:right w:val="single" w:sz="4" w:space="0" w:color="auto"/>
            </w:tcBorders>
          </w:tcPr>
          <w:p w14:paraId="1E5E93FD" w14:textId="77777777" w:rsidR="00FA5336" w:rsidRDefault="00FA5336">
            <w:pPr>
              <w:rPr>
                <w:b/>
                <w:bCs/>
                <w:sz w:val="24"/>
              </w:rPr>
            </w:pPr>
            <w:r>
              <w:rPr>
                <w:rFonts w:hint="cs"/>
                <w:b/>
                <w:bCs/>
                <w:sz w:val="24"/>
                <w:rtl/>
              </w:rPr>
              <w:t>השופטת ר. פוקס</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D600F7A" w14:textId="77777777" w:rsidR="00FA5336" w:rsidRDefault="00FA5336">
            <w:pPr>
              <w:rPr>
                <w:b/>
                <w:bCs/>
                <w:sz w:val="24"/>
              </w:rPr>
            </w:pPr>
            <w:r>
              <w:rPr>
                <w:rFonts w:hint="cs"/>
                <w:b/>
                <w:bCs/>
                <w:sz w:val="24"/>
                <w:rtl/>
              </w:rPr>
              <w:t>תאריך:</w:t>
            </w:r>
          </w:p>
        </w:tc>
        <w:tc>
          <w:tcPr>
            <w:tcW w:w="2092" w:type="dxa"/>
            <w:tcBorders>
              <w:top w:val="single" w:sz="4" w:space="0" w:color="auto"/>
              <w:left w:val="single" w:sz="4" w:space="0" w:color="auto"/>
              <w:bottom w:val="single" w:sz="4" w:space="0" w:color="auto"/>
              <w:right w:val="single" w:sz="4" w:space="0" w:color="auto"/>
            </w:tcBorders>
          </w:tcPr>
          <w:p w14:paraId="593E887F" w14:textId="77777777" w:rsidR="00FA5336" w:rsidRDefault="00FA5336">
            <w:pPr>
              <w:rPr>
                <w:b/>
                <w:bCs/>
                <w:sz w:val="24"/>
              </w:rPr>
            </w:pPr>
            <w:r>
              <w:rPr>
                <w:rFonts w:hint="cs"/>
                <w:b/>
                <w:bCs/>
                <w:sz w:val="24"/>
                <w:rtl/>
              </w:rPr>
              <w:t>15/11/2005</w:t>
            </w:r>
          </w:p>
        </w:tc>
      </w:tr>
    </w:tbl>
    <w:p w14:paraId="6632078B" w14:textId="77777777" w:rsidR="00FA5336" w:rsidRDefault="00FA5336">
      <w:pPr>
        <w:pStyle w:val="Header"/>
        <w:jc w:val="left"/>
        <w:rPr>
          <w:rFonts w:hint="cs"/>
          <w:b/>
          <w:bCs/>
          <w:sz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FA5336" w14:paraId="25BB0F26" w14:textId="77777777" w:rsidTr="00FA5336">
        <w:tc>
          <w:tcPr>
            <w:tcW w:w="1362" w:type="dxa"/>
          </w:tcPr>
          <w:p w14:paraId="28583B23" w14:textId="77777777" w:rsidR="00FA5336" w:rsidRDefault="00FA5336">
            <w:pPr>
              <w:pStyle w:val="a"/>
              <w:rPr>
                <w:szCs w:val="26"/>
              </w:rPr>
            </w:pPr>
            <w:bookmarkStart w:id="2" w:name="שם_א" w:colFirst="1" w:colLast="1"/>
            <w:bookmarkStart w:id="3" w:name="FirstAppellant"/>
            <w:r>
              <w:rPr>
                <w:rFonts w:hint="cs"/>
                <w:rtl/>
              </w:rPr>
              <w:t>בעניין:</w:t>
            </w:r>
          </w:p>
        </w:tc>
        <w:tc>
          <w:tcPr>
            <w:tcW w:w="4820" w:type="dxa"/>
          </w:tcPr>
          <w:p w14:paraId="5BE166CF" w14:textId="77777777" w:rsidR="00FA5336" w:rsidRDefault="00FA5336">
            <w:pPr>
              <w:pStyle w:val="a"/>
            </w:pPr>
            <w:r>
              <w:rPr>
                <w:rFonts w:hint="cs"/>
                <w:rtl/>
              </w:rPr>
              <w:t xml:space="preserve">מדינת ישראל </w:t>
            </w:r>
          </w:p>
        </w:tc>
        <w:tc>
          <w:tcPr>
            <w:tcW w:w="2409" w:type="dxa"/>
          </w:tcPr>
          <w:p w14:paraId="7131FCC5" w14:textId="77777777" w:rsidR="00FA5336" w:rsidRDefault="00FA5336">
            <w:pPr>
              <w:pStyle w:val="a"/>
            </w:pPr>
            <w:r>
              <w:rPr>
                <w:rFonts w:hint="cs"/>
                <w:rtl/>
              </w:rPr>
              <w:t>המאשימה</w:t>
            </w:r>
          </w:p>
        </w:tc>
      </w:tr>
      <w:bookmarkEnd w:id="2"/>
      <w:bookmarkEnd w:id="3"/>
      <w:tr w:rsidR="00FA5336" w14:paraId="3D0A8F14" w14:textId="77777777" w:rsidTr="00FA5336">
        <w:tc>
          <w:tcPr>
            <w:tcW w:w="1362" w:type="dxa"/>
          </w:tcPr>
          <w:p w14:paraId="1440E8C5" w14:textId="77777777" w:rsidR="00FA5336" w:rsidRDefault="00FA5336">
            <w:pPr>
              <w:pStyle w:val="a"/>
            </w:pPr>
          </w:p>
        </w:tc>
        <w:tc>
          <w:tcPr>
            <w:tcW w:w="4820" w:type="dxa"/>
          </w:tcPr>
          <w:p w14:paraId="192E7761" w14:textId="77777777" w:rsidR="00FA5336" w:rsidRDefault="00FA5336">
            <w:pPr>
              <w:pStyle w:val="a"/>
              <w:jc w:val="center"/>
              <w:rPr>
                <w:sz w:val="34"/>
                <w:szCs w:val="32"/>
              </w:rPr>
            </w:pPr>
          </w:p>
          <w:p w14:paraId="26A6855A" w14:textId="77777777" w:rsidR="00FA5336" w:rsidRDefault="00FA5336">
            <w:pPr>
              <w:pStyle w:val="a"/>
              <w:jc w:val="center"/>
              <w:rPr>
                <w:rFonts w:hint="cs"/>
                <w:sz w:val="34"/>
                <w:szCs w:val="32"/>
                <w:rtl/>
              </w:rPr>
            </w:pPr>
            <w:r>
              <w:rPr>
                <w:rFonts w:hint="cs"/>
                <w:sz w:val="34"/>
                <w:szCs w:val="32"/>
                <w:rtl/>
              </w:rPr>
              <w:t xml:space="preserve">- נ ג ד – </w:t>
            </w:r>
          </w:p>
          <w:p w14:paraId="5D56A19D" w14:textId="77777777" w:rsidR="00FA5336" w:rsidRDefault="00FA5336">
            <w:pPr>
              <w:pStyle w:val="a"/>
              <w:jc w:val="center"/>
            </w:pPr>
          </w:p>
        </w:tc>
        <w:tc>
          <w:tcPr>
            <w:tcW w:w="2409" w:type="dxa"/>
          </w:tcPr>
          <w:p w14:paraId="5F82EEA8" w14:textId="77777777" w:rsidR="00FA5336" w:rsidRDefault="00FA5336">
            <w:pPr>
              <w:pStyle w:val="a"/>
            </w:pPr>
          </w:p>
        </w:tc>
      </w:tr>
      <w:tr w:rsidR="00FA5336" w14:paraId="6C2E686C" w14:textId="77777777" w:rsidTr="00FA5336">
        <w:tc>
          <w:tcPr>
            <w:tcW w:w="1362" w:type="dxa"/>
          </w:tcPr>
          <w:p w14:paraId="591FC942" w14:textId="77777777" w:rsidR="00FA5336" w:rsidRDefault="00FA5336">
            <w:pPr>
              <w:pStyle w:val="a"/>
              <w:rPr>
                <w:szCs w:val="26"/>
              </w:rPr>
            </w:pPr>
            <w:bookmarkStart w:id="4" w:name="שם_ב" w:colFirst="1" w:colLast="1"/>
          </w:p>
        </w:tc>
        <w:tc>
          <w:tcPr>
            <w:tcW w:w="4820" w:type="dxa"/>
          </w:tcPr>
          <w:p w14:paraId="3378BE65" w14:textId="77777777" w:rsidR="00FA5336" w:rsidRDefault="00FA5336">
            <w:pPr>
              <w:pStyle w:val="a"/>
            </w:pPr>
            <w:r>
              <w:rPr>
                <w:rFonts w:hint="cs"/>
                <w:rtl/>
              </w:rPr>
              <w:t>יוסף בן יצחק גרשי</w:t>
            </w:r>
          </w:p>
        </w:tc>
        <w:tc>
          <w:tcPr>
            <w:tcW w:w="2409" w:type="dxa"/>
          </w:tcPr>
          <w:p w14:paraId="3A2D053B" w14:textId="77777777" w:rsidR="00FA5336" w:rsidRDefault="00FA5336">
            <w:pPr>
              <w:pStyle w:val="a"/>
            </w:pPr>
            <w:r>
              <w:rPr>
                <w:rFonts w:hint="cs"/>
                <w:rtl/>
              </w:rPr>
              <w:t>הנאשם</w:t>
            </w:r>
          </w:p>
        </w:tc>
      </w:tr>
    </w:tbl>
    <w:p w14:paraId="4B68D5B8" w14:textId="77777777" w:rsidR="002F2874" w:rsidRDefault="002F2874">
      <w:pPr>
        <w:pStyle w:val="Heading1"/>
        <w:rPr>
          <w:b w:val="0"/>
          <w:bCs w:val="0"/>
          <w:u w:val="none"/>
          <w:rtl/>
        </w:rPr>
      </w:pPr>
      <w:bookmarkStart w:id="5" w:name="LawTable"/>
      <w:bookmarkEnd w:id="4"/>
      <w:bookmarkEnd w:id="5"/>
    </w:p>
    <w:p w14:paraId="0FDBCFA2" w14:textId="77777777" w:rsidR="002F2874" w:rsidRPr="002F2874" w:rsidRDefault="002F2874" w:rsidP="002F2874">
      <w:pPr>
        <w:pStyle w:val="Heading1"/>
        <w:spacing w:after="120" w:line="240" w:lineRule="exact"/>
        <w:ind w:left="283" w:hanging="283"/>
        <w:jc w:val="both"/>
        <w:rPr>
          <w:rFonts w:ascii="FrankRuehl" w:hAnsi="FrankRuehl" w:cs="FrankRuehl"/>
          <w:b w:val="0"/>
          <w:bCs w:val="0"/>
          <w:sz w:val="24"/>
          <w:szCs w:val="24"/>
          <w:u w:val="none"/>
          <w:rtl/>
        </w:rPr>
      </w:pPr>
    </w:p>
    <w:p w14:paraId="7EB940E1" w14:textId="77777777" w:rsidR="002F2874" w:rsidRPr="002F2874" w:rsidRDefault="002F2874" w:rsidP="002F2874">
      <w:pPr>
        <w:pStyle w:val="Heading1"/>
        <w:spacing w:after="120" w:line="240" w:lineRule="exact"/>
        <w:ind w:left="283" w:hanging="283"/>
        <w:jc w:val="both"/>
        <w:rPr>
          <w:rFonts w:ascii="FrankRuehl" w:hAnsi="FrankRuehl" w:cs="FrankRuehl"/>
          <w:b w:val="0"/>
          <w:bCs w:val="0"/>
          <w:sz w:val="24"/>
          <w:szCs w:val="24"/>
          <w:u w:val="none"/>
          <w:rtl/>
        </w:rPr>
      </w:pPr>
      <w:r w:rsidRPr="002F2874">
        <w:rPr>
          <w:rFonts w:ascii="FrankRuehl" w:hAnsi="FrankRuehl" w:cs="FrankRuehl"/>
          <w:b w:val="0"/>
          <w:bCs w:val="0"/>
          <w:sz w:val="24"/>
          <w:szCs w:val="24"/>
          <w:u w:val="none"/>
          <w:rtl/>
        </w:rPr>
        <w:t xml:space="preserve">חקיקה שאוזכרה: </w:t>
      </w:r>
    </w:p>
    <w:p w14:paraId="23FAFF6F" w14:textId="77777777" w:rsidR="002F2874" w:rsidRPr="002F2874" w:rsidRDefault="002F2874" w:rsidP="002F2874">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2F2874">
          <w:rPr>
            <w:rFonts w:ascii="FrankRuehl" w:hAnsi="FrankRuehl" w:cs="FrankRuehl"/>
            <w:b w:val="0"/>
            <w:bCs w:val="0"/>
            <w:color w:val="0000FF"/>
            <w:sz w:val="24"/>
            <w:szCs w:val="24"/>
            <w:rtl/>
          </w:rPr>
          <w:t>חוק העונשין, תשל"ז-1977</w:t>
        </w:r>
      </w:hyperlink>
      <w:r w:rsidRPr="002F2874">
        <w:rPr>
          <w:rFonts w:ascii="FrankRuehl" w:hAnsi="FrankRuehl" w:cs="FrankRuehl"/>
          <w:b w:val="0"/>
          <w:bCs w:val="0"/>
          <w:sz w:val="24"/>
          <w:szCs w:val="24"/>
          <w:u w:val="none"/>
          <w:rtl/>
        </w:rPr>
        <w:t xml:space="preserve">: סע'  </w:t>
      </w:r>
      <w:hyperlink r:id="rId8" w:history="1">
        <w:r w:rsidRPr="002F2874">
          <w:rPr>
            <w:rFonts w:ascii="FrankRuehl" w:hAnsi="FrankRuehl" w:cs="FrankRuehl"/>
            <w:b w:val="0"/>
            <w:bCs w:val="0"/>
            <w:color w:val="0000FF"/>
            <w:sz w:val="24"/>
            <w:szCs w:val="24"/>
            <w:rtl/>
          </w:rPr>
          <w:t>349</w:t>
        </w:r>
      </w:hyperlink>
      <w:r w:rsidRPr="002F2874">
        <w:rPr>
          <w:rFonts w:ascii="FrankRuehl" w:hAnsi="FrankRuehl" w:cs="FrankRuehl"/>
          <w:b w:val="0"/>
          <w:bCs w:val="0"/>
          <w:sz w:val="24"/>
          <w:szCs w:val="24"/>
          <w:u w:val="none"/>
          <w:rtl/>
        </w:rPr>
        <w:t xml:space="preserve">, </w:t>
      </w:r>
      <w:hyperlink r:id="rId9" w:history="1">
        <w:r w:rsidRPr="002F2874">
          <w:rPr>
            <w:rFonts w:ascii="FrankRuehl" w:hAnsi="FrankRuehl" w:cs="FrankRuehl"/>
            <w:b w:val="0"/>
            <w:bCs w:val="0"/>
            <w:color w:val="0000FF"/>
            <w:sz w:val="24"/>
            <w:szCs w:val="24"/>
            <w:rtl/>
          </w:rPr>
          <w:t>פרק י'</w:t>
        </w:r>
      </w:hyperlink>
    </w:p>
    <w:p w14:paraId="6F261D5D" w14:textId="77777777" w:rsidR="002F2874" w:rsidRPr="002F2874" w:rsidRDefault="002F2874" w:rsidP="002F2874">
      <w:pPr>
        <w:pStyle w:val="Heading1"/>
        <w:spacing w:after="120" w:line="240" w:lineRule="exact"/>
        <w:ind w:left="283" w:hanging="283"/>
        <w:jc w:val="both"/>
        <w:rPr>
          <w:rFonts w:ascii="FrankRuehl" w:hAnsi="FrankRuehl" w:cs="FrankRuehl"/>
          <w:b w:val="0"/>
          <w:bCs w:val="0"/>
          <w:sz w:val="24"/>
          <w:szCs w:val="24"/>
          <w:u w:val="none"/>
          <w:rtl/>
        </w:rPr>
      </w:pPr>
      <w:hyperlink r:id="rId10" w:history="1">
        <w:r w:rsidRPr="002F2874">
          <w:rPr>
            <w:rFonts w:ascii="FrankRuehl" w:hAnsi="FrankRuehl" w:cs="FrankRuehl"/>
            <w:b w:val="0"/>
            <w:bCs w:val="0"/>
            <w:color w:val="0000FF"/>
            <w:sz w:val="24"/>
            <w:szCs w:val="24"/>
            <w:rtl/>
          </w:rPr>
          <w:t>פקודת המבחן [נוסח חדש], תשכ"ט-1969</w:t>
        </w:r>
      </w:hyperlink>
    </w:p>
    <w:p w14:paraId="24416309" w14:textId="77777777" w:rsidR="002F2874" w:rsidRPr="002F2874" w:rsidRDefault="002F2874" w:rsidP="002F2874">
      <w:pPr>
        <w:pStyle w:val="Heading1"/>
        <w:spacing w:after="120" w:line="240" w:lineRule="exact"/>
        <w:ind w:left="283" w:hanging="283"/>
        <w:jc w:val="both"/>
        <w:rPr>
          <w:rFonts w:ascii="FrankRuehl" w:hAnsi="FrankRuehl" w:cs="FrankRuehl"/>
          <w:b w:val="0"/>
          <w:bCs w:val="0"/>
          <w:sz w:val="24"/>
          <w:szCs w:val="24"/>
          <w:u w:val="none"/>
          <w:rtl/>
        </w:rPr>
      </w:pPr>
    </w:p>
    <w:p w14:paraId="7B81199F" w14:textId="77777777" w:rsidR="002F2874" w:rsidRPr="002F2874" w:rsidRDefault="002F2874">
      <w:pPr>
        <w:pStyle w:val="Heading1"/>
        <w:rPr>
          <w:b w:val="0"/>
          <w:bCs w:val="0"/>
          <w:u w:val="none"/>
          <w:rtl/>
        </w:rPr>
      </w:pPr>
      <w:bookmarkStart w:id="6" w:name="LawTable_End"/>
      <w:bookmarkEnd w:id="6"/>
    </w:p>
    <w:p w14:paraId="22C0E24C" w14:textId="77777777" w:rsidR="006250B7" w:rsidRPr="006250B7" w:rsidRDefault="006250B7">
      <w:pPr>
        <w:pStyle w:val="Heading1"/>
        <w:rPr>
          <w:b w:val="0"/>
          <w:bCs w:val="0"/>
          <w:u w:val="none"/>
          <w:rtl/>
        </w:rPr>
      </w:pPr>
    </w:p>
    <w:p w14:paraId="5CB64910" w14:textId="77777777" w:rsidR="006250B7" w:rsidRPr="006250B7" w:rsidRDefault="006250B7">
      <w:pPr>
        <w:pStyle w:val="Heading1"/>
        <w:rPr>
          <w:u w:val="none"/>
          <w:rtl/>
        </w:rPr>
      </w:pPr>
    </w:p>
    <w:p w14:paraId="581DC147" w14:textId="77777777" w:rsidR="00FA5336" w:rsidRPr="006250B7" w:rsidRDefault="00FA5336">
      <w:pPr>
        <w:pStyle w:val="Heading1"/>
        <w:rPr>
          <w:rFonts w:hint="cs"/>
          <w:u w:val="none"/>
          <w:rtl/>
        </w:rPr>
      </w:pPr>
    </w:p>
    <w:p w14:paraId="088CB22A" w14:textId="77777777" w:rsidR="003353FC" w:rsidRPr="003353FC" w:rsidRDefault="003353FC">
      <w:pPr>
        <w:pStyle w:val="Heading1"/>
        <w:rPr>
          <w:b w:val="0"/>
          <w:bCs w:val="0"/>
          <w:u w:val="none"/>
          <w:rtl/>
        </w:rPr>
      </w:pPr>
    </w:p>
    <w:p w14:paraId="189BA1EB" w14:textId="77777777" w:rsidR="003353FC" w:rsidRPr="003353FC" w:rsidRDefault="003353FC">
      <w:pPr>
        <w:pStyle w:val="Heading1"/>
        <w:rPr>
          <w:u w:val="none"/>
          <w:rtl/>
        </w:rPr>
      </w:pPr>
    </w:p>
    <w:p w14:paraId="259F71BD" w14:textId="77777777" w:rsidR="00FA5336" w:rsidRPr="003353FC" w:rsidRDefault="00FA5336">
      <w:pPr>
        <w:pStyle w:val="Heading1"/>
        <w:rPr>
          <w:u w:val="none"/>
          <w:rtl/>
        </w:rPr>
      </w:pPr>
    </w:p>
    <w:p w14:paraId="70DB306E" w14:textId="77777777" w:rsidR="00FA5336" w:rsidRDefault="00FA5336">
      <w:pPr>
        <w:jc w:val="center"/>
        <w:rPr>
          <w:b/>
          <w:bCs/>
          <w:sz w:val="32"/>
          <w:szCs w:val="32"/>
          <w:u w:val="single"/>
          <w:rtl/>
        </w:rPr>
      </w:pPr>
      <w:bookmarkStart w:id="7" w:name="PsakDin"/>
      <w:bookmarkEnd w:id="1"/>
      <w:r>
        <w:rPr>
          <w:b/>
          <w:bCs/>
          <w:sz w:val="32"/>
          <w:szCs w:val="32"/>
          <w:u w:val="single"/>
          <w:rtl/>
        </w:rPr>
        <w:t>הכרעת דין</w:t>
      </w:r>
    </w:p>
    <w:bookmarkEnd w:id="7"/>
    <w:p w14:paraId="23DDE4D3" w14:textId="77777777" w:rsidR="00FA5336" w:rsidRDefault="00FA5336">
      <w:pPr>
        <w:rPr>
          <w:rFonts w:hint="cs"/>
          <w:b/>
          <w:bCs/>
          <w:u w:val="single"/>
          <w:rtl/>
        </w:rPr>
      </w:pPr>
      <w:r>
        <w:rPr>
          <w:rFonts w:hint="cs"/>
          <w:b/>
          <w:bCs/>
          <w:u w:val="single"/>
          <w:rtl/>
        </w:rPr>
        <w:t>הרקע:</w:t>
      </w:r>
    </w:p>
    <w:p w14:paraId="12A025AE" w14:textId="77777777" w:rsidR="00FA5336" w:rsidRDefault="00FA5336">
      <w:pPr>
        <w:rPr>
          <w:rFonts w:hint="cs"/>
          <w:b/>
          <w:bCs/>
          <w:u w:val="single"/>
          <w:rtl/>
        </w:rPr>
      </w:pPr>
    </w:p>
    <w:p w14:paraId="24D25270" w14:textId="77777777" w:rsidR="00FA5336" w:rsidRDefault="00FA5336">
      <w:pPr>
        <w:rPr>
          <w:rFonts w:hint="cs"/>
          <w:rtl/>
        </w:rPr>
      </w:pPr>
      <w:bookmarkStart w:id="8" w:name="ABSTRACT_START"/>
      <w:bookmarkEnd w:id="0"/>
      <w:bookmarkEnd w:id="8"/>
      <w:r>
        <w:rPr>
          <w:rFonts w:hint="cs"/>
          <w:rtl/>
        </w:rPr>
        <w:t xml:space="preserve">הנאשם הודה בפני בביצוע עבירה של מעשה מגונה בפומבי, עבירה לפי </w:t>
      </w:r>
      <w:hyperlink r:id="rId11" w:history="1">
        <w:r w:rsidR="006250B7" w:rsidRPr="006250B7">
          <w:rPr>
            <w:color w:val="0000FF"/>
            <w:u w:val="single"/>
            <w:rtl/>
          </w:rPr>
          <w:t>סעיף 349</w:t>
        </w:r>
      </w:hyperlink>
      <w:r>
        <w:rPr>
          <w:rFonts w:hint="cs"/>
          <w:rtl/>
        </w:rPr>
        <w:t>, ל</w:t>
      </w:r>
      <w:hyperlink r:id="rId12" w:history="1">
        <w:r w:rsidR="003353FC" w:rsidRPr="003353FC">
          <w:rPr>
            <w:rStyle w:val="Hyperlink"/>
            <w:rFonts w:hint="eastAsia"/>
            <w:rtl/>
          </w:rPr>
          <w:t>חוק</w:t>
        </w:r>
        <w:r w:rsidR="003353FC" w:rsidRPr="003353FC">
          <w:rPr>
            <w:rStyle w:val="Hyperlink"/>
            <w:rtl/>
          </w:rPr>
          <w:t xml:space="preserve"> העונשין</w:t>
        </w:r>
      </w:hyperlink>
      <w:r>
        <w:rPr>
          <w:rFonts w:hint="cs"/>
          <w:rtl/>
        </w:rPr>
        <w:t xml:space="preserve"> תשל"ז – 1977</w:t>
      </w:r>
      <w:bookmarkStart w:id="9" w:name="ABSTRACT_END"/>
      <w:bookmarkEnd w:id="9"/>
      <w:r>
        <w:rPr>
          <w:rFonts w:hint="cs"/>
          <w:rtl/>
        </w:rPr>
        <w:t xml:space="preserve">. </w:t>
      </w:r>
    </w:p>
    <w:p w14:paraId="33B15E71" w14:textId="77777777" w:rsidR="00FA5336" w:rsidRDefault="00FA5336">
      <w:pPr>
        <w:rPr>
          <w:rFonts w:hint="cs"/>
          <w:rtl/>
        </w:rPr>
      </w:pPr>
    </w:p>
    <w:p w14:paraId="3680E107" w14:textId="77777777" w:rsidR="00FA5336" w:rsidRDefault="00FA5336">
      <w:pPr>
        <w:rPr>
          <w:rFonts w:hint="cs"/>
          <w:rtl/>
        </w:rPr>
      </w:pPr>
      <w:r>
        <w:rPr>
          <w:rFonts w:hint="cs"/>
          <w:rtl/>
        </w:rPr>
        <w:t xml:space="preserve">בהסכמת הצדדים הופנה הנאשם להכנת תסקיר שירות מבחן, בטרם הרשעה. </w:t>
      </w:r>
    </w:p>
    <w:p w14:paraId="0945AA6E" w14:textId="77777777" w:rsidR="00FA5336" w:rsidRDefault="00FA5336">
      <w:pPr>
        <w:rPr>
          <w:rFonts w:hint="cs"/>
          <w:rtl/>
        </w:rPr>
      </w:pPr>
    </w:p>
    <w:p w14:paraId="50A7EC1E" w14:textId="77777777" w:rsidR="00FA5336" w:rsidRDefault="00FA5336">
      <w:pPr>
        <w:rPr>
          <w:rFonts w:hint="cs"/>
          <w:rtl/>
        </w:rPr>
      </w:pPr>
      <w:r>
        <w:rPr>
          <w:rFonts w:hint="cs"/>
          <w:rtl/>
        </w:rPr>
        <w:t xml:space="preserve">תסקיר שירות מבחן מיום 11.10.05 סוקר את אורח חייו של הנאשם, יליד 1980. </w:t>
      </w:r>
    </w:p>
    <w:p w14:paraId="551A108A" w14:textId="77777777" w:rsidR="00FA5336" w:rsidRDefault="00FA5336">
      <w:pPr>
        <w:rPr>
          <w:rFonts w:hint="cs"/>
          <w:rtl/>
        </w:rPr>
      </w:pPr>
    </w:p>
    <w:p w14:paraId="63F96F93" w14:textId="77777777" w:rsidR="00FA5336" w:rsidRDefault="00FA5336">
      <w:pPr>
        <w:rPr>
          <w:rFonts w:hint="cs"/>
          <w:rtl/>
        </w:rPr>
      </w:pPr>
      <w:r>
        <w:rPr>
          <w:rFonts w:hint="cs"/>
          <w:rtl/>
        </w:rPr>
        <w:lastRenderedPageBreak/>
        <w:t>קצין המבחן במהלך הקשר עם הנאשם, התרשם כי מדובר בנאשם המודע למעשיו, לוקח אחריות מלאה ומביע חרטה כנה.</w:t>
      </w:r>
    </w:p>
    <w:p w14:paraId="733A3463" w14:textId="77777777" w:rsidR="00FA5336" w:rsidRDefault="00FA5336">
      <w:pPr>
        <w:rPr>
          <w:rFonts w:hint="cs"/>
          <w:rtl/>
        </w:rPr>
      </w:pPr>
    </w:p>
    <w:p w14:paraId="1AF8BFF0" w14:textId="77777777" w:rsidR="00FA5336" w:rsidRDefault="00FA5336">
      <w:pPr>
        <w:rPr>
          <w:rFonts w:hint="cs"/>
          <w:rtl/>
        </w:rPr>
      </w:pPr>
      <w:r>
        <w:rPr>
          <w:rFonts w:hint="cs"/>
          <w:rtl/>
        </w:rPr>
        <w:t xml:space="preserve">מעשה העבירה, להערכת קצין המבחן,  לא בוצע לאחר תכנון אלא יסודו במעידה וכשלון חד פעמי. </w:t>
      </w:r>
    </w:p>
    <w:p w14:paraId="53E82B55" w14:textId="77777777" w:rsidR="00FA5336" w:rsidRDefault="00FA5336">
      <w:pPr>
        <w:rPr>
          <w:rFonts w:hint="cs"/>
          <w:rtl/>
        </w:rPr>
      </w:pPr>
    </w:p>
    <w:p w14:paraId="0CD35138" w14:textId="77777777" w:rsidR="00FA5336" w:rsidRDefault="00FA5336">
      <w:pPr>
        <w:rPr>
          <w:rFonts w:hint="cs"/>
          <w:rtl/>
        </w:rPr>
      </w:pPr>
      <w:r>
        <w:rPr>
          <w:rFonts w:hint="cs"/>
          <w:rtl/>
        </w:rPr>
        <w:t>שירות המבחן נמנע מהמלצה טיפולית משום העדפת הנאשם למצוא בעצמו את הפתרונות לכשלונו, שלא באמצעות קשר טיפולי עם שירות המבחן.</w:t>
      </w:r>
    </w:p>
    <w:p w14:paraId="21DF960E" w14:textId="77777777" w:rsidR="00FA5336" w:rsidRDefault="00FA5336">
      <w:pPr>
        <w:rPr>
          <w:rFonts w:hint="cs"/>
          <w:rtl/>
        </w:rPr>
      </w:pPr>
    </w:p>
    <w:p w14:paraId="198C6038" w14:textId="77777777" w:rsidR="00FA5336" w:rsidRDefault="00FA5336">
      <w:pPr>
        <w:rPr>
          <w:rFonts w:hint="cs"/>
          <w:rtl/>
        </w:rPr>
      </w:pPr>
      <w:r>
        <w:rPr>
          <w:rFonts w:hint="cs"/>
          <w:rtl/>
        </w:rPr>
        <w:t xml:space="preserve">ב"כ הנאשם עותר לאי הרשעה ומפנה לתסקיר קצין מבחן ואילו ב"כ המאשימה עותר להרשעה וככל שתהא התחשבות בנאשם, היא תבוא לביטוי בסוגית העונש. </w:t>
      </w:r>
    </w:p>
    <w:p w14:paraId="3954029C" w14:textId="77777777" w:rsidR="00FA5336" w:rsidRDefault="00FA5336">
      <w:pPr>
        <w:rPr>
          <w:rFonts w:hint="cs"/>
          <w:rtl/>
        </w:rPr>
      </w:pPr>
      <w:r>
        <w:rPr>
          <w:rFonts w:hint="cs"/>
          <w:rtl/>
        </w:rPr>
        <w:br w:type="page"/>
      </w:r>
    </w:p>
    <w:p w14:paraId="66F4F256" w14:textId="77777777" w:rsidR="00FA5336" w:rsidRDefault="00FA5336">
      <w:pPr>
        <w:rPr>
          <w:rFonts w:hint="cs"/>
          <w:b/>
          <w:bCs/>
          <w:u w:val="single"/>
          <w:rtl/>
        </w:rPr>
      </w:pPr>
      <w:r>
        <w:rPr>
          <w:rFonts w:hint="cs"/>
          <w:b/>
          <w:bCs/>
          <w:u w:val="single"/>
          <w:rtl/>
        </w:rPr>
        <w:t>דיון והכרעה:</w:t>
      </w:r>
    </w:p>
    <w:p w14:paraId="5E01BB03" w14:textId="77777777" w:rsidR="00FA5336" w:rsidRDefault="00FA5336">
      <w:pPr>
        <w:rPr>
          <w:rFonts w:hint="cs"/>
          <w:b/>
          <w:bCs/>
          <w:u w:val="single"/>
          <w:rtl/>
        </w:rPr>
      </w:pPr>
    </w:p>
    <w:p w14:paraId="03703FE7" w14:textId="77777777" w:rsidR="00FA5336" w:rsidRDefault="00FA5336">
      <w:pPr>
        <w:rPr>
          <w:rFonts w:hint="cs"/>
          <w:rtl/>
        </w:rPr>
      </w:pPr>
      <w:r>
        <w:rPr>
          <w:rFonts w:hint="cs"/>
          <w:rtl/>
        </w:rPr>
        <w:t xml:space="preserve">ככלל, במקום שנאשם בגיר נמצא כמי שעבר עבירה, יש להרשיעו. </w:t>
      </w:r>
    </w:p>
    <w:p w14:paraId="04504448" w14:textId="77777777" w:rsidR="00FA5336" w:rsidRDefault="00FA5336">
      <w:pPr>
        <w:rPr>
          <w:rFonts w:hint="cs"/>
          <w:rtl/>
        </w:rPr>
      </w:pPr>
    </w:p>
    <w:p w14:paraId="16583CF3" w14:textId="77777777" w:rsidR="00FA5336" w:rsidRDefault="00FA5336">
      <w:pPr>
        <w:rPr>
          <w:rFonts w:hint="cs"/>
          <w:rtl/>
        </w:rPr>
      </w:pPr>
      <w:r>
        <w:rPr>
          <w:rFonts w:hint="cs"/>
          <w:rtl/>
        </w:rPr>
        <w:t xml:space="preserve">רק בנסיבות יוצאת דופן בהן אין יחס סביר בין הנזק הצפוי לנאשם מן ההרשעה לבין חומרתה של העבירה, נוטה ביהמ"ש לאזן ולהורות על סיום ההליך הפלילי ללא הרשעה. </w:t>
      </w:r>
    </w:p>
    <w:p w14:paraId="5226F1FF" w14:textId="77777777" w:rsidR="00FA5336" w:rsidRDefault="00FA5336">
      <w:pPr>
        <w:rPr>
          <w:rFonts w:hint="cs"/>
          <w:rtl/>
        </w:rPr>
      </w:pPr>
    </w:p>
    <w:p w14:paraId="3B1E948F" w14:textId="77777777" w:rsidR="00FA5336" w:rsidRDefault="00FA5336">
      <w:pPr>
        <w:rPr>
          <w:rFonts w:hint="cs"/>
          <w:rtl/>
        </w:rPr>
      </w:pPr>
      <w:r>
        <w:rPr>
          <w:rFonts w:hint="cs"/>
          <w:rtl/>
        </w:rPr>
        <w:t xml:space="preserve">אי הרשעה צריכה להלום את מהות העבירה, כאשר נסיבותיו של הנאשם צריכות להיות מיוחדות, על מנת להעדיף את אי הרשעתו של הנאשם ולהבדילו מנאשמים אחרים המורשעים בדין. </w:t>
      </w:r>
    </w:p>
    <w:p w14:paraId="1F361262" w14:textId="77777777" w:rsidR="00FA5336" w:rsidRDefault="00FA5336">
      <w:pPr>
        <w:rPr>
          <w:rFonts w:hint="cs"/>
          <w:rtl/>
        </w:rPr>
      </w:pPr>
    </w:p>
    <w:p w14:paraId="786C0AAC" w14:textId="77777777" w:rsidR="00FA5336" w:rsidRDefault="00FA5336">
      <w:pPr>
        <w:rPr>
          <w:rFonts w:hint="cs"/>
          <w:rtl/>
        </w:rPr>
      </w:pPr>
      <w:r>
        <w:rPr>
          <w:rFonts w:hint="cs"/>
          <w:rtl/>
        </w:rPr>
        <w:t xml:space="preserve">עיינתי בכתב האישום, שמעתי את הצדדים, ומצאתי כי אין נסיבותיו של הנאשם מיוחדות באופן שיש בהן לתמוך בבקשתו של הנאשם לסיים ההליך באי הרשעתו, במיוחד שעל הפרק נסיבות חמורות של העבירה, כעולה מעובדות כתב האישום. </w:t>
      </w:r>
    </w:p>
    <w:p w14:paraId="63E256DA" w14:textId="77777777" w:rsidR="00FA5336" w:rsidRDefault="00FA5336">
      <w:pPr>
        <w:rPr>
          <w:rFonts w:hint="cs"/>
          <w:rtl/>
        </w:rPr>
      </w:pPr>
      <w:r>
        <w:rPr>
          <w:rFonts w:hint="cs"/>
          <w:rtl/>
        </w:rPr>
        <w:t xml:space="preserve">עיון בכתב האישום, בו הודה הנאשם, מעלה תמונה עגומה המהווה, לדידי, תשתית להרשעה למען יראו ויראו. </w:t>
      </w:r>
    </w:p>
    <w:p w14:paraId="7D2AD876" w14:textId="77777777" w:rsidR="00FA5336" w:rsidRDefault="00FA5336">
      <w:pPr>
        <w:rPr>
          <w:rFonts w:hint="cs"/>
          <w:rtl/>
        </w:rPr>
      </w:pPr>
    </w:p>
    <w:p w14:paraId="6FBF1CF4" w14:textId="77777777" w:rsidR="00FA5336" w:rsidRDefault="00FA5336">
      <w:pPr>
        <w:rPr>
          <w:rFonts w:hint="cs"/>
          <w:rtl/>
        </w:rPr>
      </w:pPr>
      <w:r>
        <w:rPr>
          <w:rFonts w:hint="cs"/>
          <w:rtl/>
        </w:rPr>
        <w:t xml:space="preserve">זאת ועוד, שירות המבחן אינו מציין כל המלצה טיפולית שיקומית שהינה פעמים אחת העילות, על פיהן מורה ביהמ"ש על סיום הליך באי הרשעה. </w:t>
      </w:r>
    </w:p>
    <w:p w14:paraId="11C6A0AC" w14:textId="77777777" w:rsidR="00FA5336" w:rsidRDefault="00FA5336">
      <w:pPr>
        <w:rPr>
          <w:rFonts w:hint="cs"/>
          <w:rtl/>
        </w:rPr>
      </w:pPr>
    </w:p>
    <w:p w14:paraId="0C0EACD8" w14:textId="77777777" w:rsidR="00FA5336" w:rsidRDefault="00FA5336">
      <w:pPr>
        <w:rPr>
          <w:rFonts w:hint="cs"/>
          <w:rtl/>
        </w:rPr>
      </w:pPr>
      <w:r>
        <w:rPr>
          <w:rFonts w:hint="cs"/>
          <w:rtl/>
        </w:rPr>
        <w:t xml:space="preserve">הנאשם, כעולה מעובדות האישום, בהן הודה, ביצע מעשה מגונה בפומבי לעיני המתלוננת תוך ניצול יחסי מרות והשגחה. העבירה בוצעה במתקן בו מוחזקות נשים השוהות במדינה שלא כחוק, בטרם הרחקתן מחוץ לגבולות המדינה. </w:t>
      </w:r>
    </w:p>
    <w:p w14:paraId="2A09A373" w14:textId="77777777" w:rsidR="00FA5336" w:rsidRDefault="00FA5336">
      <w:pPr>
        <w:rPr>
          <w:rFonts w:hint="cs"/>
          <w:rtl/>
        </w:rPr>
      </w:pPr>
      <w:r>
        <w:rPr>
          <w:rFonts w:hint="cs"/>
          <w:rtl/>
        </w:rPr>
        <w:t xml:space="preserve">בעת ביצוע העבירה, שימש הנאשם כשומר מטעם "חברת השמירה" והמעשה המיוחס לו הינו תולדה של ניצול מעמדו כלפי המתלוננת, שהיתה נתונה באותה עת תחת השגחתו. </w:t>
      </w:r>
    </w:p>
    <w:p w14:paraId="4ED04978" w14:textId="77777777" w:rsidR="00FA5336" w:rsidRDefault="00FA5336">
      <w:pPr>
        <w:rPr>
          <w:rFonts w:hint="cs"/>
          <w:rtl/>
        </w:rPr>
      </w:pPr>
    </w:p>
    <w:p w14:paraId="279F6081" w14:textId="77777777" w:rsidR="00FA5336" w:rsidRDefault="00FA5336">
      <w:pPr>
        <w:rPr>
          <w:rFonts w:hint="cs"/>
          <w:rtl/>
        </w:rPr>
      </w:pPr>
      <w:r>
        <w:rPr>
          <w:rFonts w:hint="cs"/>
          <w:rtl/>
        </w:rPr>
        <w:t xml:space="preserve">ודוק, אין להקל ראש בנסיבות אלה בהן מנצל אדם את תפקידו כלפי האחר בתקופת שפל בחייו בה הוא פגיע, במיוחד עת מוטלת מגבלה קשה על חירותו.  מעשיו של הנאשם המתוארים בעובדות כתב האישום, לפיהם חשף את איבר מינו ואונן בנוכחות המתלוננת ולאחר מכן כשהגיע לפורקן, ניגש אליה וליטף את חזה, ראויים לגינוי, להרשעה ולענישה מרתיעה ומקבלים משנה תוקף, משום ביצועם כנגד מתלוננת הנתונה במשמורת כדין המצמיחה מאליה חובת הגנה  מוגברת כלפיה באופן שיש לדקדק בקלה כבחמורה בכבודה. </w:t>
      </w:r>
    </w:p>
    <w:p w14:paraId="2845FB86" w14:textId="77777777" w:rsidR="00FA5336" w:rsidRDefault="00FA5336">
      <w:pPr>
        <w:rPr>
          <w:rFonts w:hint="cs"/>
          <w:rtl/>
        </w:rPr>
      </w:pPr>
    </w:p>
    <w:p w14:paraId="1FCF022C" w14:textId="77777777" w:rsidR="00FA5336" w:rsidRDefault="00FA5336">
      <w:pPr>
        <w:rPr>
          <w:rFonts w:hint="cs"/>
          <w:rtl/>
        </w:rPr>
      </w:pPr>
      <w:r>
        <w:rPr>
          <w:rFonts w:hint="cs"/>
          <w:rtl/>
        </w:rPr>
        <w:t xml:space="preserve">נסיבות אלה, לדידי, מחייבות הרשעה, הגם שבפני עומד נאשם צעיר ללא הרשעות אשר הביע חרטה, נטל אחריות  והודה בישיבת ההקראה בהזדמנות הראשונה. </w:t>
      </w:r>
    </w:p>
    <w:p w14:paraId="63931831" w14:textId="77777777" w:rsidR="00FA5336" w:rsidRDefault="00FA5336">
      <w:pPr>
        <w:rPr>
          <w:rFonts w:hint="cs"/>
          <w:rtl/>
        </w:rPr>
      </w:pPr>
    </w:p>
    <w:p w14:paraId="1D13F136" w14:textId="77777777" w:rsidR="00FA5336" w:rsidRDefault="00FA5336">
      <w:pPr>
        <w:rPr>
          <w:rFonts w:hint="cs"/>
          <w:rtl/>
        </w:rPr>
      </w:pPr>
      <w:r>
        <w:rPr>
          <w:rFonts w:hint="cs"/>
          <w:rtl/>
        </w:rPr>
        <w:t xml:space="preserve">ר' </w:t>
      </w:r>
      <w:hyperlink r:id="rId13" w:history="1">
        <w:r w:rsidR="003353FC" w:rsidRPr="003353FC">
          <w:rPr>
            <w:rStyle w:val="Hyperlink"/>
            <w:rFonts w:hint="eastAsia"/>
            <w:rtl/>
          </w:rPr>
          <w:t>ע</w:t>
        </w:r>
        <w:r w:rsidR="003353FC" w:rsidRPr="003353FC">
          <w:rPr>
            <w:rStyle w:val="Hyperlink"/>
            <w:rtl/>
          </w:rPr>
          <w:t>"פ 9262/03, פלוני נ' מדינת ישראל, פ"ד נח</w:t>
        </w:r>
      </w:hyperlink>
      <w:r>
        <w:rPr>
          <w:rFonts w:hint="cs"/>
          <w:rtl/>
        </w:rPr>
        <w:t>(4), 869, שם סוכמה ההלכה בפסק דינה של כב' השופטת ד' בייניש בקובעה, כהאי לישנא:</w:t>
      </w:r>
    </w:p>
    <w:p w14:paraId="21195D31" w14:textId="77777777" w:rsidR="00FA5336" w:rsidRDefault="00FA5336">
      <w:pPr>
        <w:rPr>
          <w:rFonts w:hint="cs"/>
          <w:rtl/>
        </w:rPr>
      </w:pPr>
    </w:p>
    <w:p w14:paraId="6518D998" w14:textId="77777777" w:rsidR="00FA5336" w:rsidRDefault="00FA5336">
      <w:pPr>
        <w:rPr>
          <w:rFonts w:hint="cs"/>
          <w:b/>
          <w:bCs/>
          <w:rtl/>
        </w:rPr>
      </w:pPr>
      <w:r>
        <w:rPr>
          <w:rFonts w:hint="cs"/>
          <w:b/>
          <w:bCs/>
          <w:rtl/>
        </w:rPr>
        <w:t>"על דרך הכלל, משנמצא כי נאשם בגיר ביצע עבירה, מתחייב כי ההליך הפלילי כנגדו ימוצה בדרך של הרשעתו וענישתו, כחלק מהליך אכיפת חוק שוויוני וכחלק מאינטרס ההרתעה. אומנם, סעיף 1(2) ל</w:t>
      </w:r>
      <w:hyperlink r:id="rId14" w:history="1">
        <w:r w:rsidR="003353FC" w:rsidRPr="003353FC">
          <w:rPr>
            <w:rStyle w:val="Hyperlink"/>
            <w:rFonts w:hint="eastAsia"/>
            <w:b/>
            <w:bCs/>
            <w:rtl/>
          </w:rPr>
          <w:t>פקודת</w:t>
        </w:r>
        <w:r w:rsidR="003353FC" w:rsidRPr="003353FC">
          <w:rPr>
            <w:rStyle w:val="Hyperlink"/>
            <w:b/>
            <w:bCs/>
            <w:rtl/>
          </w:rPr>
          <w:t xml:space="preserve"> המבחן</w:t>
        </w:r>
      </w:hyperlink>
      <w:r>
        <w:rPr>
          <w:rFonts w:hint="cs"/>
          <w:b/>
          <w:bCs/>
          <w:rtl/>
        </w:rPr>
        <w:t xml:space="preserve"> [נוסח חדש], תשכ"ט – 1969 וכן סעיף 71א(ב) ל</w:t>
      </w:r>
      <w:hyperlink r:id="rId15" w:history="1">
        <w:r w:rsidR="003353FC" w:rsidRPr="003353FC">
          <w:rPr>
            <w:rStyle w:val="Hyperlink"/>
            <w:rFonts w:hint="eastAsia"/>
            <w:b/>
            <w:bCs/>
            <w:rtl/>
          </w:rPr>
          <w:t>חוק</w:t>
        </w:r>
        <w:r w:rsidR="003353FC" w:rsidRPr="003353FC">
          <w:rPr>
            <w:rStyle w:val="Hyperlink"/>
            <w:b/>
            <w:bCs/>
            <w:rtl/>
          </w:rPr>
          <w:t xml:space="preserve"> העונשין</w:t>
        </w:r>
      </w:hyperlink>
      <w:r>
        <w:rPr>
          <w:rFonts w:hint="cs"/>
          <w:b/>
          <w:bCs/>
          <w:rtl/>
        </w:rPr>
        <w:t xml:space="preserve"> מסמיכים את בית המשפט ליתן צו מבחן או צו שירות לתועלת לציבור, תוך הימנעות מהרשעה. עם זאת, הלכה פסוקה היא  כי הימנעות מהרשעה של נאשם בגיר אשר נקבע כי ביצע עבירה, מהווה חריג שיופעל "רק בנסיבות מיוחדות, חריגות ויוצאות דופן ביותר..." ... ככלל, יימנע בית המשפט מהרשעתו של נאשם בגיר רק במקרים נדירים בהם ההרשעה צפויה להסב לנאשם נזק רב תוך פגיעה חמורה בסיכויי שיקומו, וכאשר טיב העבירה וחומרתה מאפשרים לוותר על הרשעה מבלי לפגוע באופן מהותי בשיקולי הענישה האחרים; ובלשונו של הנשיא שמגר: כאשר "אין יחס סביר בין הנזק הצפוי לנאשם מן ההרשעה לבין חומרתה של העבירה"... ודוק, בית המשפט יתחשב בנסיבותיו האישיות של העבריין ובסיכויי שיקומו במסגרת מכלול השיקולים הרלוונטיים לגזירת עונשו; עם זאת, על דרך הכלל, לא יימנע בית המשפט מהרשעת הנאשם הבגיר אם הוכח כי ביצע את העבירה". </w:t>
      </w:r>
    </w:p>
    <w:p w14:paraId="05609049" w14:textId="77777777" w:rsidR="00FA5336" w:rsidRDefault="00FA5336">
      <w:pPr>
        <w:rPr>
          <w:rFonts w:hint="cs"/>
          <w:b/>
          <w:bCs/>
          <w:rtl/>
        </w:rPr>
      </w:pPr>
    </w:p>
    <w:p w14:paraId="648C01DB" w14:textId="77777777" w:rsidR="00FA5336" w:rsidRDefault="00FA5336">
      <w:pPr>
        <w:rPr>
          <w:rFonts w:hint="cs"/>
          <w:b/>
          <w:bCs/>
          <w:rtl/>
        </w:rPr>
      </w:pPr>
      <w:r>
        <w:rPr>
          <w:rFonts w:hint="cs"/>
          <w:b/>
          <w:bCs/>
          <w:rtl/>
        </w:rPr>
        <w:t xml:space="preserve">וכן, ר' </w:t>
      </w:r>
      <w:hyperlink r:id="rId16" w:history="1">
        <w:r w:rsidR="003353FC" w:rsidRPr="003353FC">
          <w:rPr>
            <w:rStyle w:val="Hyperlink"/>
            <w:rFonts w:hint="eastAsia"/>
            <w:b/>
            <w:bCs/>
            <w:rtl/>
          </w:rPr>
          <w:t>ע</w:t>
        </w:r>
        <w:r w:rsidR="003353FC" w:rsidRPr="003353FC">
          <w:rPr>
            <w:rStyle w:val="Hyperlink"/>
            <w:b/>
            <w:bCs/>
            <w:rtl/>
          </w:rPr>
          <w:t>"פ 2083/96 תמר כתב נ' מדינת ישראל, פ"ד נ"ב</w:t>
        </w:r>
      </w:hyperlink>
      <w:r>
        <w:rPr>
          <w:rFonts w:hint="cs"/>
          <w:b/>
          <w:bCs/>
          <w:rtl/>
        </w:rPr>
        <w:t xml:space="preserve"> (3) 337. </w:t>
      </w:r>
    </w:p>
    <w:p w14:paraId="6A301762" w14:textId="77777777" w:rsidR="00FA5336" w:rsidRDefault="00FA5336">
      <w:pPr>
        <w:rPr>
          <w:rFonts w:hint="cs"/>
          <w:b/>
          <w:bCs/>
          <w:rtl/>
        </w:rPr>
      </w:pPr>
      <w:r>
        <w:rPr>
          <w:rFonts w:hint="cs"/>
          <w:b/>
          <w:bCs/>
          <w:rtl/>
        </w:rPr>
        <w:br w:type="page"/>
      </w:r>
    </w:p>
    <w:p w14:paraId="51FDE8DC" w14:textId="77777777" w:rsidR="00FA5336" w:rsidRDefault="00FA5336">
      <w:pPr>
        <w:rPr>
          <w:rFonts w:hint="cs"/>
          <w:rtl/>
        </w:rPr>
      </w:pPr>
      <w:r>
        <w:rPr>
          <w:rFonts w:hint="cs"/>
          <w:rtl/>
        </w:rPr>
        <w:t xml:space="preserve">אשר על כן, ולאור מכלול הנסיבות, אני מחליטה להרשיע את הנאשם, בעבירה המפורטת בכתב האישום. </w:t>
      </w:r>
    </w:p>
    <w:p w14:paraId="14DB2D18" w14:textId="77777777" w:rsidR="00FA5336" w:rsidRDefault="00FA5336">
      <w:pPr>
        <w:rPr>
          <w:rFonts w:hint="cs"/>
          <w:rtl/>
        </w:rPr>
      </w:pPr>
    </w:p>
    <w:p w14:paraId="375DBE25" w14:textId="77777777" w:rsidR="00FA5336" w:rsidRDefault="00FA5336">
      <w:pPr>
        <w:rPr>
          <w:rFonts w:hint="cs"/>
          <w:b/>
          <w:bCs/>
          <w:color w:val="000000"/>
          <w:rtl/>
        </w:rPr>
      </w:pPr>
      <w:r>
        <w:rPr>
          <w:rFonts w:hint="cs"/>
          <w:b/>
          <w:bCs/>
          <w:color w:val="000000"/>
          <w:rtl/>
        </w:rPr>
        <w:t xml:space="preserve">ניתנה היום ו' בחשון, תשס"ו (8 בנובמבר 2005) במעמד הצדדים. </w:t>
      </w:r>
    </w:p>
    <w:p w14:paraId="225475C6" w14:textId="77777777" w:rsidR="00FA5336" w:rsidRDefault="00FA5336">
      <w:pPr>
        <w:rPr>
          <w:rFonts w:hint="cs"/>
          <w:b/>
          <w:bCs/>
          <w:color w:val="000000"/>
          <w:rtl/>
        </w:rPr>
      </w:pPr>
    </w:p>
    <w:p w14:paraId="1D36E8BA" w14:textId="77777777" w:rsidR="00FA5336" w:rsidRDefault="00FA5336">
      <w:pPr>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86"/>
      </w:tblGrid>
      <w:tr w:rsidR="00FA5336" w14:paraId="0FB77066" w14:textId="77777777">
        <w:tc>
          <w:tcPr>
            <w:tcW w:w="2093" w:type="dxa"/>
            <w:tcBorders>
              <w:top w:val="single" w:sz="4" w:space="0" w:color="auto"/>
              <w:left w:val="nil"/>
              <w:bottom w:val="nil"/>
              <w:right w:val="nil"/>
            </w:tcBorders>
          </w:tcPr>
          <w:p w14:paraId="5E8AD919" w14:textId="77777777" w:rsidR="00FA5336" w:rsidRDefault="00FA5336">
            <w:pPr>
              <w:jc w:val="center"/>
              <w:rPr>
                <w:b/>
                <w:bCs/>
              </w:rPr>
            </w:pPr>
            <w:r>
              <w:rPr>
                <w:rFonts w:hint="cs"/>
                <w:b/>
                <w:bCs/>
                <w:rtl/>
              </w:rPr>
              <w:t>ר. פוקס, שופטת</w:t>
            </w:r>
          </w:p>
        </w:tc>
      </w:tr>
    </w:tbl>
    <w:p w14:paraId="0B5FA424" w14:textId="77777777" w:rsidR="00FA5336" w:rsidRDefault="00FA5336">
      <w:pPr>
        <w:rPr>
          <w:rFonts w:hint="cs"/>
          <w:rtl/>
        </w:rPr>
      </w:pPr>
    </w:p>
    <w:p w14:paraId="6F28BD8F" w14:textId="77777777" w:rsidR="00FA5336" w:rsidRDefault="00FA5336">
      <w:pPr>
        <w:pStyle w:val="Title"/>
        <w:rPr>
          <w:rFonts w:hint="cs"/>
          <w:color w:val="000000"/>
          <w:rtl/>
        </w:rPr>
      </w:pPr>
      <w:bookmarkStart w:id="10" w:name="Decision1"/>
      <w:r>
        <w:rPr>
          <w:rFonts w:hint="cs"/>
          <w:color w:val="000000"/>
          <w:rtl/>
        </w:rPr>
        <w:t>גזר דין</w:t>
      </w:r>
    </w:p>
    <w:p w14:paraId="08FD17E8" w14:textId="77777777" w:rsidR="00FA5336" w:rsidRDefault="00FA5336">
      <w:pPr>
        <w:rPr>
          <w:rFonts w:hint="cs"/>
          <w:rtl/>
        </w:rPr>
      </w:pPr>
    </w:p>
    <w:p w14:paraId="708AC39E" w14:textId="77777777" w:rsidR="00FA5336" w:rsidRDefault="00FA5336">
      <w:pPr>
        <w:rPr>
          <w:rFonts w:hint="cs"/>
          <w:rtl/>
        </w:rPr>
      </w:pPr>
      <w:r>
        <w:rPr>
          <w:rFonts w:hint="cs"/>
          <w:rtl/>
        </w:rPr>
        <w:t>הנאשם, כאמור, הורשע בביצוע מעשה מגונה בעובדת זרה השוהה במתקן שמור והנתונה תחת מרותו והשגחתו של הנאשם בטרם הרחקתה מחוץ לתחומי המדינה.</w:t>
      </w:r>
    </w:p>
    <w:p w14:paraId="167F8846" w14:textId="77777777" w:rsidR="00FA5336" w:rsidRDefault="00FA5336">
      <w:pPr>
        <w:rPr>
          <w:rFonts w:hint="cs"/>
          <w:rtl/>
        </w:rPr>
      </w:pPr>
    </w:p>
    <w:p w14:paraId="359BB348" w14:textId="77777777" w:rsidR="00FA5336" w:rsidRDefault="00FA5336">
      <w:pPr>
        <w:rPr>
          <w:rFonts w:hint="cs"/>
          <w:rtl/>
        </w:rPr>
      </w:pPr>
      <w:r>
        <w:rPr>
          <w:rFonts w:hint="cs"/>
          <w:rtl/>
        </w:rPr>
        <w:t xml:space="preserve">העבירה חמורה ונסיבותיה חמורות שבעתיים, כמפורט בהכרעת הדין, כל אלה מצדיקים ענישה הולמת לצורך השגת מטרות הגמול וההרתעה שבענישה. </w:t>
      </w:r>
    </w:p>
    <w:p w14:paraId="3139A06E" w14:textId="77777777" w:rsidR="00FA5336" w:rsidRDefault="00FA5336">
      <w:pPr>
        <w:rPr>
          <w:rFonts w:hint="cs"/>
          <w:rtl/>
        </w:rPr>
      </w:pPr>
    </w:p>
    <w:p w14:paraId="0ACC7C8C" w14:textId="77777777" w:rsidR="00FA5336" w:rsidRDefault="00FA5336">
      <w:pPr>
        <w:rPr>
          <w:rFonts w:hint="cs"/>
          <w:rtl/>
        </w:rPr>
      </w:pPr>
      <w:r>
        <w:rPr>
          <w:rFonts w:hint="cs"/>
          <w:rtl/>
        </w:rPr>
        <w:t xml:space="preserve">אין להשלים עם פגיעה בקורבנות של עבירות מסוג מעשה מגונה הנמצאות לא פעם במעמד נחות ומהוות חוליה חלשה ביחס למבצע העבירה, ועל כך יעידו נסיבות המקרה דנן. </w:t>
      </w:r>
    </w:p>
    <w:p w14:paraId="61D2BF81" w14:textId="77777777" w:rsidR="00FA5336" w:rsidRDefault="00FA5336">
      <w:pPr>
        <w:rPr>
          <w:rFonts w:hint="cs"/>
          <w:rtl/>
        </w:rPr>
      </w:pPr>
    </w:p>
    <w:p w14:paraId="6D099DFD" w14:textId="77777777" w:rsidR="00FA5336" w:rsidRDefault="00FA5336">
      <w:pPr>
        <w:rPr>
          <w:rFonts w:hint="cs"/>
          <w:rtl/>
        </w:rPr>
      </w:pPr>
      <w:r>
        <w:rPr>
          <w:rFonts w:hint="cs"/>
          <w:rtl/>
        </w:rPr>
        <w:t xml:space="preserve">יחד עם זאת, אין להתעלם מעברו הנקי של הנאשם, מאישיותו החיובית, כמפורט בתסקיר המבחן, ומהעובדה כי נטל אחריות מלאה למעשיו, שבוצעו עוד בשנת 2003. </w:t>
      </w:r>
    </w:p>
    <w:p w14:paraId="24FEE2DB" w14:textId="77777777" w:rsidR="00FA5336" w:rsidRDefault="00FA5336">
      <w:pPr>
        <w:rPr>
          <w:rFonts w:hint="cs"/>
          <w:rtl/>
        </w:rPr>
      </w:pPr>
    </w:p>
    <w:p w14:paraId="6151AD6B" w14:textId="77777777" w:rsidR="00FA5336" w:rsidRDefault="00FA5336">
      <w:pPr>
        <w:rPr>
          <w:rFonts w:hint="cs"/>
          <w:rtl/>
        </w:rPr>
      </w:pPr>
      <w:r>
        <w:rPr>
          <w:rFonts w:hint="cs"/>
          <w:rtl/>
        </w:rPr>
        <w:t xml:space="preserve">בנסיבות אלה, מחד, מצאתי להרשיע הנאשם בדין, כאמור לעיל, אך, מאידך, באיזון של השיקולים לחומרא והשיקולים לקולא, לא אמצה עמו את הדין. </w:t>
      </w:r>
    </w:p>
    <w:p w14:paraId="1576D51D" w14:textId="77777777" w:rsidR="00FA5336" w:rsidRDefault="00FA5336">
      <w:pPr>
        <w:rPr>
          <w:rFonts w:hint="cs"/>
          <w:rtl/>
        </w:rPr>
      </w:pPr>
      <w:r>
        <w:rPr>
          <w:rFonts w:hint="cs"/>
          <w:rtl/>
        </w:rPr>
        <w:t>אשר על כן, אני גוזרת על הנאשם את העונשים הבאים:</w:t>
      </w:r>
    </w:p>
    <w:p w14:paraId="0ADA7AF3" w14:textId="77777777" w:rsidR="00FA5336" w:rsidRDefault="00FA5336">
      <w:pPr>
        <w:rPr>
          <w:rFonts w:hint="cs"/>
          <w:rtl/>
        </w:rPr>
      </w:pPr>
    </w:p>
    <w:p w14:paraId="7AAB85B4" w14:textId="77777777" w:rsidR="00FA5336" w:rsidRDefault="00FA5336">
      <w:pPr>
        <w:numPr>
          <w:ilvl w:val="0"/>
          <w:numId w:val="2"/>
        </w:numPr>
        <w:ind w:right="0"/>
        <w:rPr>
          <w:rFonts w:hint="cs"/>
          <w:rtl/>
        </w:rPr>
      </w:pPr>
      <w:r>
        <w:rPr>
          <w:rFonts w:hint="cs"/>
          <w:rtl/>
        </w:rPr>
        <w:t xml:space="preserve">מאסר על תנאי למשך 3 חודשים ואולם הנאשם לא ישא בעונש זה, אלא אם כן, יעבור תוך תקופה של 3 שנים מהיום עבירה מהסוג בה הורשע. </w:t>
      </w:r>
    </w:p>
    <w:p w14:paraId="21354AE5" w14:textId="77777777" w:rsidR="00FA5336" w:rsidRDefault="00FA5336">
      <w:pPr>
        <w:ind w:left="360"/>
        <w:rPr>
          <w:rtl/>
        </w:rPr>
      </w:pPr>
    </w:p>
    <w:p w14:paraId="1486FA74" w14:textId="77777777" w:rsidR="00FA5336" w:rsidRDefault="00FA5336">
      <w:pPr>
        <w:numPr>
          <w:ilvl w:val="0"/>
          <w:numId w:val="2"/>
        </w:numPr>
        <w:ind w:right="0"/>
        <w:rPr>
          <w:rFonts w:hint="cs"/>
          <w:rtl/>
        </w:rPr>
      </w:pPr>
      <w:r>
        <w:rPr>
          <w:rFonts w:hint="cs"/>
          <w:rtl/>
        </w:rPr>
        <w:t>קנס בסך 1,000 ₪ או מאסר תחתיו למשך 20 יום. הקנס ישולם תוך 45 יום מהיום.</w:t>
      </w:r>
    </w:p>
    <w:p w14:paraId="1942DDA7" w14:textId="77777777" w:rsidR="00FA5336" w:rsidRDefault="00FA5336">
      <w:pPr>
        <w:ind w:left="360"/>
        <w:rPr>
          <w:rtl/>
        </w:rPr>
      </w:pPr>
    </w:p>
    <w:p w14:paraId="353E1B46" w14:textId="77777777" w:rsidR="00FA5336" w:rsidRDefault="00FA5336">
      <w:pPr>
        <w:numPr>
          <w:ilvl w:val="0"/>
          <w:numId w:val="2"/>
        </w:numPr>
        <w:ind w:right="0"/>
        <w:rPr>
          <w:rtl/>
        </w:rPr>
      </w:pPr>
      <w:r>
        <w:rPr>
          <w:rFonts w:hint="cs"/>
          <w:rtl/>
        </w:rPr>
        <w:t xml:space="preserve">הנאשם יחתום על התחייבות בסך 3,000 ₪ להמנע מלעבור על העבירה בה הורשע או כל עבירה אחרת לפי </w:t>
      </w:r>
      <w:hyperlink r:id="rId17" w:history="1">
        <w:r w:rsidR="006250B7" w:rsidRPr="006250B7">
          <w:rPr>
            <w:color w:val="0000FF"/>
            <w:u w:val="single"/>
            <w:rtl/>
          </w:rPr>
          <w:t>פרק י'</w:t>
        </w:r>
      </w:hyperlink>
      <w:r>
        <w:rPr>
          <w:rFonts w:hint="cs"/>
          <w:rtl/>
        </w:rPr>
        <w:t xml:space="preserve"> סימן ה' ל</w:t>
      </w:r>
      <w:hyperlink r:id="rId18" w:history="1">
        <w:r w:rsidR="003353FC" w:rsidRPr="003353FC">
          <w:rPr>
            <w:rStyle w:val="Hyperlink"/>
            <w:rFonts w:hint="eastAsia"/>
            <w:rtl/>
          </w:rPr>
          <w:t>חוק</w:t>
        </w:r>
        <w:r w:rsidR="003353FC" w:rsidRPr="003353FC">
          <w:rPr>
            <w:rStyle w:val="Hyperlink"/>
            <w:rtl/>
          </w:rPr>
          <w:t xml:space="preserve"> העונשין</w:t>
        </w:r>
      </w:hyperlink>
      <w:r>
        <w:rPr>
          <w:rFonts w:hint="cs"/>
          <w:rtl/>
        </w:rPr>
        <w:t>, תשל"ז – 1977, תוך 3 שנים מהיום.</w:t>
      </w:r>
    </w:p>
    <w:p w14:paraId="2AA90A79" w14:textId="77777777" w:rsidR="00FA5336" w:rsidRDefault="00FA5336">
      <w:pPr>
        <w:ind w:left="1080"/>
        <w:rPr>
          <w:rtl/>
        </w:rPr>
      </w:pPr>
      <w:r>
        <w:rPr>
          <w:rFonts w:hint="cs"/>
          <w:rtl/>
        </w:rPr>
        <w:t xml:space="preserve">בהעדר חתימה, יאסר למשך 30 יום. </w:t>
      </w:r>
    </w:p>
    <w:p w14:paraId="320386B8" w14:textId="77777777" w:rsidR="00FA5336" w:rsidRDefault="00FA5336">
      <w:pPr>
        <w:rPr>
          <w:rFonts w:hint="cs"/>
          <w:rtl/>
        </w:rPr>
      </w:pPr>
    </w:p>
    <w:p w14:paraId="4C54149D" w14:textId="77777777" w:rsidR="00FA5336" w:rsidRDefault="00FA5336">
      <w:pPr>
        <w:rPr>
          <w:rFonts w:hint="cs"/>
          <w:rtl/>
        </w:rPr>
      </w:pPr>
    </w:p>
    <w:p w14:paraId="50A7A7B9" w14:textId="77777777" w:rsidR="00FA5336" w:rsidRDefault="00FA5336">
      <w:pPr>
        <w:suppressLineNumbers/>
        <w:rPr>
          <w:rFonts w:hint="cs"/>
          <w:b/>
          <w:bCs/>
          <w:rtl/>
        </w:rPr>
      </w:pPr>
      <w:bookmarkStart w:id="11" w:name="Decision2"/>
      <w:bookmarkEnd w:id="10"/>
      <w:r>
        <w:rPr>
          <w:rFonts w:hint="cs"/>
          <w:b/>
          <w:bCs/>
          <w:rtl/>
        </w:rPr>
        <w:t xml:space="preserve">ניתן היום י"ג בחשון, תשס"ו (15 בנובמבר 2005) במעמד הצדדים. </w:t>
      </w:r>
    </w:p>
    <w:p w14:paraId="4ADA3222" w14:textId="77777777" w:rsidR="00FA5336" w:rsidRDefault="00FA5336">
      <w:pPr>
        <w:suppressLineNumbers/>
        <w:rPr>
          <w:rFonts w:hint="cs"/>
          <w:b/>
          <w:bCs/>
          <w:color w:val="FFFFFF"/>
          <w:sz w:val="2"/>
          <w:szCs w:val="2"/>
          <w:rtl/>
        </w:rPr>
      </w:pPr>
    </w:p>
    <w:p w14:paraId="2FC21898" w14:textId="77777777" w:rsidR="00FA5336" w:rsidRDefault="00FA5336">
      <w:pPr>
        <w:suppressLineNumbers/>
        <w:rPr>
          <w:b/>
          <w:bCs/>
          <w:color w:val="FFFFFF"/>
          <w:sz w:val="2"/>
          <w:szCs w:val="2"/>
          <w:rtl/>
        </w:rPr>
      </w:pPr>
      <w:r>
        <w:rPr>
          <w:b/>
          <w:bCs/>
          <w:color w:val="FFFFFF"/>
          <w:sz w:val="2"/>
          <w:szCs w:val="2"/>
          <w:rtl/>
        </w:rPr>
        <w:t>5129371</w:t>
      </w:r>
    </w:p>
    <w:p w14:paraId="44365BAE" w14:textId="77777777" w:rsidR="00FA5336" w:rsidRDefault="00FA5336">
      <w:pPr>
        <w:suppressLineNumbers/>
        <w:rPr>
          <w:rFonts w:hint="cs"/>
          <w:b/>
          <w:bCs/>
          <w:rtl/>
        </w:rPr>
      </w:pPr>
      <w:r>
        <w:rPr>
          <w:b/>
          <w:bCs/>
          <w:color w:val="FFFFFF"/>
          <w:sz w:val="2"/>
          <w:szCs w:val="2"/>
          <w:rtl/>
        </w:rPr>
        <w:t>54678313</w:t>
      </w:r>
    </w:p>
    <w:p w14:paraId="74680197" w14:textId="77777777" w:rsidR="00FA5336" w:rsidRDefault="00FA5336">
      <w:pPr>
        <w:suppressLineNumbers/>
        <w:rPr>
          <w:rFonts w:hint="cs"/>
          <w:b/>
          <w:bCs/>
          <w:rtl/>
        </w:rPr>
      </w:pPr>
      <w:r>
        <w:rPr>
          <w:rFonts w:hint="cs"/>
          <w:b/>
          <w:bCs/>
          <w:rtl/>
        </w:rPr>
        <w:t xml:space="preserve">ערעור תוך 45 יום לבית המשפט המחוזי. </w:t>
      </w:r>
    </w:p>
    <w:p w14:paraId="551206D3" w14:textId="77777777" w:rsidR="00FA5336" w:rsidRDefault="00FA5336">
      <w:pPr>
        <w:keepNext/>
        <w:jc w:val="left"/>
        <w:rPr>
          <w:rFonts w:hAnsi="David" w:hint="cs"/>
          <w:color w:val="000000"/>
          <w:sz w:val="22"/>
          <w:szCs w:val="22"/>
          <w:rtl/>
        </w:rPr>
      </w:pPr>
    </w:p>
    <w:p w14:paraId="2F9CA7FE" w14:textId="77777777" w:rsidR="00FA5336" w:rsidRDefault="00FA5336">
      <w:pPr>
        <w:keepNext/>
        <w:jc w:val="left"/>
        <w:rPr>
          <w:rFonts w:hAnsi="David"/>
          <w:color w:val="000000"/>
          <w:sz w:val="22"/>
          <w:szCs w:val="22"/>
          <w:rtl/>
        </w:rPr>
      </w:pPr>
      <w:r>
        <w:rPr>
          <w:rFonts w:hAnsi="David"/>
          <w:color w:val="000000"/>
          <w:sz w:val="22"/>
          <w:szCs w:val="22"/>
          <w:rtl/>
        </w:rPr>
        <w:t>ר. פוקס 54678313-3800/04</w:t>
      </w:r>
    </w:p>
    <w:p w14:paraId="27E57EDC" w14:textId="77777777" w:rsidR="00FA5336" w:rsidRDefault="00FA5336">
      <w:pPr>
        <w:rPr>
          <w:rFonts w:hint="cs"/>
          <w:rtl/>
        </w:rPr>
      </w:pPr>
      <w:r>
        <w:rPr>
          <w:rFonts w:hint="cs"/>
          <w:rtl/>
        </w:rPr>
        <w:t xml:space="preserve">                                                                                </w:t>
      </w:r>
    </w:p>
    <w:tbl>
      <w:tblPr>
        <w:tblW w:w="0" w:type="auto"/>
        <w:tblInd w:w="6436" w:type="dxa"/>
        <w:tblBorders>
          <w:top w:val="single" w:sz="4" w:space="0" w:color="auto"/>
        </w:tblBorders>
        <w:tblLook w:val="0000" w:firstRow="0" w:lastRow="0" w:firstColumn="0" w:lastColumn="0" w:noHBand="0" w:noVBand="0"/>
      </w:tblPr>
      <w:tblGrid>
        <w:gridCol w:w="2086"/>
      </w:tblGrid>
      <w:tr w:rsidR="00FA5336" w14:paraId="0A1F301F" w14:textId="77777777">
        <w:tc>
          <w:tcPr>
            <w:tcW w:w="2093" w:type="dxa"/>
            <w:tcBorders>
              <w:top w:val="single" w:sz="4" w:space="0" w:color="auto"/>
              <w:left w:val="nil"/>
              <w:bottom w:val="nil"/>
              <w:right w:val="nil"/>
            </w:tcBorders>
          </w:tcPr>
          <w:p w14:paraId="2A40919E" w14:textId="77777777" w:rsidR="00FA5336" w:rsidRDefault="00FA5336">
            <w:pPr>
              <w:jc w:val="center"/>
              <w:rPr>
                <w:b/>
                <w:bCs/>
              </w:rPr>
            </w:pPr>
            <w:r>
              <w:rPr>
                <w:rFonts w:hint="cs"/>
                <w:b/>
                <w:bCs/>
                <w:rtl/>
              </w:rPr>
              <w:t>ר. פוקס, שופטת</w:t>
            </w:r>
          </w:p>
        </w:tc>
      </w:tr>
    </w:tbl>
    <w:bookmarkEnd w:id="11"/>
    <w:p w14:paraId="6985C0F1" w14:textId="77777777" w:rsidR="00FA5336" w:rsidRDefault="00FA5336">
      <w:pPr>
        <w:jc w:val="left"/>
        <w:rPr>
          <w:rtl/>
        </w:rPr>
      </w:pPr>
      <w:r>
        <w:rPr>
          <w:color w:val="000000"/>
          <w:rtl/>
        </w:rPr>
        <w:t>נוסח מסמך זה כפוף לשינויי ניסוח ועריכה</w:t>
      </w:r>
    </w:p>
    <w:sectPr w:rsidR="00FA5336">
      <w:headerReference w:type="even" r:id="rId19"/>
      <w:headerReference w:type="default" r:id="rId20"/>
      <w:footerReference w:type="even" r:id="rId21"/>
      <w:footerReference w:type="default" r:id="rId2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69B5" w14:textId="77777777" w:rsidR="00103E57" w:rsidRDefault="00103E57">
      <w:r>
        <w:separator/>
      </w:r>
    </w:p>
  </w:endnote>
  <w:endnote w:type="continuationSeparator" w:id="0">
    <w:p w14:paraId="6FFDB7E8" w14:textId="77777777" w:rsidR="00103E57" w:rsidRDefault="0010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44C2" w14:textId="77777777" w:rsidR="00103E57" w:rsidRDefault="00103E5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51DDA197" w14:textId="77777777" w:rsidR="00103E57" w:rsidRDefault="00103E5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8CF2E6" w14:textId="77777777" w:rsidR="00103E57" w:rsidRDefault="00103E5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Z:\-00000-ps-final-0000000\2005\11\final\05-naama\OutDoc\s04003800-296.doc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F8A1" w14:textId="77777777" w:rsidR="00103E57" w:rsidRDefault="00103E5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D4AD2">
      <w:rPr>
        <w:rFonts w:hAnsi="FrankRuehl" w:cs="FrankRuehl"/>
        <w:noProof/>
        <w:sz w:val="24"/>
        <w:rtl/>
      </w:rPr>
      <w:t>1</w:t>
    </w:r>
    <w:r>
      <w:rPr>
        <w:rFonts w:hAnsi="FrankRuehl" w:cs="FrankRuehl"/>
        <w:sz w:val="24"/>
        <w:rtl/>
      </w:rPr>
      <w:fldChar w:fldCharType="end"/>
    </w:r>
  </w:p>
  <w:p w14:paraId="5D131519" w14:textId="77777777" w:rsidR="00103E57" w:rsidRDefault="00103E5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1D4D67" w14:textId="77777777" w:rsidR="00103E57" w:rsidRDefault="00103E5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Z:\-00000-ps-final-0000000\2005\11\final\05-naama\OutDoc\s04003800-296.doc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D9C8" w14:textId="77777777" w:rsidR="00103E57" w:rsidRDefault="00103E57">
      <w:r>
        <w:separator/>
      </w:r>
    </w:p>
  </w:footnote>
  <w:footnote w:type="continuationSeparator" w:id="0">
    <w:p w14:paraId="63643A34" w14:textId="77777777" w:rsidR="00103E57" w:rsidRDefault="00103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7F98" w14:textId="77777777" w:rsidR="00103E57" w:rsidRDefault="00103E5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3800/04</w:t>
    </w:r>
    <w:r>
      <w:rPr>
        <w:rFonts w:hAnsi="David"/>
        <w:color w:val="000000"/>
        <w:sz w:val="22"/>
        <w:szCs w:val="22"/>
        <w:rtl/>
      </w:rPr>
      <w:tab/>
      <w:t xml:space="preserve"> מדינת ישראל נ' יוסף בן יצחק גרשי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4E6E" w14:textId="77777777" w:rsidR="00103E57" w:rsidRDefault="00103E5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3800/04</w:t>
    </w:r>
    <w:r>
      <w:rPr>
        <w:rFonts w:hAnsi="David"/>
        <w:color w:val="000000"/>
        <w:sz w:val="22"/>
        <w:szCs w:val="22"/>
        <w:rtl/>
      </w:rPr>
      <w:tab/>
      <w:t xml:space="preserve"> מדינת ישראל נ' יוסף בן יצחק גרשי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AD3"/>
    <w:multiLevelType w:val="hybridMultilevel"/>
    <w:tmpl w:val="D44E2FAC"/>
    <w:lvl w:ilvl="0" w:tplc="C13CBF84">
      <w:start w:val="1"/>
      <w:numFmt w:val="hebrew1"/>
      <w:lvlText w:val="%1."/>
      <w:lvlJc w:val="left"/>
      <w:pPr>
        <w:tabs>
          <w:tab w:val="num" w:pos="1080"/>
        </w:tabs>
        <w:ind w:left="1080" w:right="10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957838539">
    <w:abstractNumId w:val="0"/>
  </w:num>
  <w:num w:numId="2" w16cid:durableId="1873228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A5336"/>
    <w:rsid w:val="00103E57"/>
    <w:rsid w:val="002F2874"/>
    <w:rsid w:val="003353FC"/>
    <w:rsid w:val="006250B7"/>
    <w:rsid w:val="00640277"/>
    <w:rsid w:val="00926089"/>
    <w:rsid w:val="009F6BAA"/>
    <w:rsid w:val="00A25894"/>
    <w:rsid w:val="00BD4AD2"/>
    <w:rsid w:val="00FA53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59484F"/>
  <w15:chartTrackingRefBased/>
  <w15:docId w15:val="{4DF12BDA-DBF5-4DF9-9B31-9100F85A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0"/>
      <w:szCs w:val="40"/>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335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 TargetMode="External"/><Relationship Id="rId13" Type="http://schemas.openxmlformats.org/officeDocument/2006/relationships/hyperlink" Target="http://www.nevo.co.il/case/6240015"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jCeS" TargetMode="External"/><Relationship Id="rId2" Type="http://schemas.openxmlformats.org/officeDocument/2006/relationships/styles" Target="styles.xml"/><Relationship Id="rId16" Type="http://schemas.openxmlformats.org/officeDocument/2006/relationships/hyperlink" Target="http://www.nevo.co.il/case/581078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155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jCeS" TargetMode="External"/><Relationship Id="rId14" Type="http://schemas.openxmlformats.org/officeDocument/2006/relationships/hyperlink" Target="http://www.nevo.co.il/law/71553"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5166</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6060</CharactersWithSpaces>
  <SharedDoc>false</SharedDoc>
  <HLinks>
    <vt:vector size="72" baseType="variant">
      <vt:variant>
        <vt:i4>7995492</vt:i4>
      </vt:variant>
      <vt:variant>
        <vt:i4>33</vt:i4>
      </vt:variant>
      <vt:variant>
        <vt:i4>0</vt:i4>
      </vt:variant>
      <vt:variant>
        <vt:i4>5</vt:i4>
      </vt:variant>
      <vt:variant>
        <vt:lpwstr>http://www.nevo.co.il/law/70301</vt:lpwstr>
      </vt:variant>
      <vt:variant>
        <vt:lpwstr/>
      </vt:variant>
      <vt:variant>
        <vt:i4>4522074</vt:i4>
      </vt:variant>
      <vt:variant>
        <vt:i4>30</vt:i4>
      </vt:variant>
      <vt:variant>
        <vt:i4>0</vt:i4>
      </vt:variant>
      <vt:variant>
        <vt:i4>5</vt:i4>
      </vt:variant>
      <vt:variant>
        <vt:lpwstr>http://www.nevo.co.il/law/70301/jCeS</vt:lpwstr>
      </vt:variant>
      <vt:variant>
        <vt:lpwstr/>
      </vt:variant>
      <vt:variant>
        <vt:i4>3276916</vt:i4>
      </vt:variant>
      <vt:variant>
        <vt:i4>27</vt:i4>
      </vt:variant>
      <vt:variant>
        <vt:i4>0</vt:i4>
      </vt:variant>
      <vt:variant>
        <vt:i4>5</vt:i4>
      </vt:variant>
      <vt:variant>
        <vt:lpwstr>http://www.nevo.co.il/case/5810781</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8257634</vt:i4>
      </vt:variant>
      <vt:variant>
        <vt:i4>21</vt:i4>
      </vt:variant>
      <vt:variant>
        <vt:i4>0</vt:i4>
      </vt:variant>
      <vt:variant>
        <vt:i4>5</vt:i4>
      </vt:variant>
      <vt:variant>
        <vt:lpwstr>http://www.nevo.co.il/law/71553</vt:lpwstr>
      </vt:variant>
      <vt:variant>
        <vt:lpwstr/>
      </vt:variant>
      <vt:variant>
        <vt:i4>3604599</vt:i4>
      </vt:variant>
      <vt:variant>
        <vt:i4>18</vt:i4>
      </vt:variant>
      <vt:variant>
        <vt:i4>0</vt:i4>
      </vt:variant>
      <vt:variant>
        <vt:i4>5</vt:i4>
      </vt:variant>
      <vt:variant>
        <vt:lpwstr>http://www.nevo.co.il/case/6240015</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6357094</vt:i4>
      </vt:variant>
      <vt:variant>
        <vt:i4>12</vt:i4>
      </vt:variant>
      <vt:variant>
        <vt:i4>0</vt:i4>
      </vt:variant>
      <vt:variant>
        <vt:i4>5</vt:i4>
      </vt:variant>
      <vt:variant>
        <vt:lpwstr>http://www.nevo.co.il/law/70301/349</vt:lpwstr>
      </vt:variant>
      <vt:variant>
        <vt:lpwstr/>
      </vt:variant>
      <vt:variant>
        <vt:i4>8257634</vt:i4>
      </vt:variant>
      <vt:variant>
        <vt:i4>9</vt:i4>
      </vt:variant>
      <vt:variant>
        <vt:i4>0</vt:i4>
      </vt:variant>
      <vt:variant>
        <vt:i4>5</vt:i4>
      </vt:variant>
      <vt:variant>
        <vt:lpwstr>http://www.nevo.co.il/law/71553</vt:lpwstr>
      </vt:variant>
      <vt:variant>
        <vt:lpwstr/>
      </vt:variant>
      <vt:variant>
        <vt:i4>4522074</vt:i4>
      </vt:variant>
      <vt:variant>
        <vt:i4>6</vt:i4>
      </vt:variant>
      <vt:variant>
        <vt:i4>0</vt:i4>
      </vt:variant>
      <vt:variant>
        <vt:i4>5</vt:i4>
      </vt:variant>
      <vt:variant>
        <vt:lpwstr>http://www.nevo.co.il/law/70301/jCeS</vt:lpwstr>
      </vt:variant>
      <vt:variant>
        <vt:lpwstr/>
      </vt:variant>
      <vt:variant>
        <vt:i4>6357094</vt:i4>
      </vt:variant>
      <vt:variant>
        <vt:i4>3</vt:i4>
      </vt:variant>
      <vt:variant>
        <vt:i4>0</vt:i4>
      </vt:variant>
      <vt:variant>
        <vt:i4>5</vt:i4>
      </vt:variant>
      <vt:variant>
        <vt:lpwstr>http://www.nevo.co.il/law/70301/349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2005-11-15T10:11:00Z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3800</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יוסף בן יצחק גרשי</vt:lpwstr>
  </property>
  <property fmtid="{D5CDD505-2E9C-101B-9397-08002B2CF9AE}" pid="9" name="JUDGE">
    <vt:lpwstr>ר. פוקס</vt:lpwstr>
  </property>
  <property fmtid="{D5CDD505-2E9C-101B-9397-08002B2CF9AE}" pid="10" name="CITY">
    <vt:lpwstr>חי'</vt:lpwstr>
  </property>
  <property fmtid="{D5CDD505-2E9C-101B-9397-08002B2CF9AE}" pid="11" name="DATE">
    <vt:lpwstr>20051115</vt:lpwstr>
  </property>
  <property fmtid="{D5CDD505-2E9C-101B-9397-08002B2CF9AE}" pid="12" name="WORDNUMPAGES">
    <vt:lpwstr>5</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6240015;5810781</vt:lpwstr>
  </property>
  <property fmtid="{D5CDD505-2E9C-101B-9397-08002B2CF9AE}" pid="32" name="LAWLISTTMP1">
    <vt:lpwstr>70301/349;jCeS</vt:lpwstr>
  </property>
  <property fmtid="{D5CDD505-2E9C-101B-9397-08002B2CF9AE}" pid="33" name="LAWLISTTMP2">
    <vt:lpwstr>71553</vt:lpwstr>
  </property>
</Properties>
</file>