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C44A" w14:textId="77777777" w:rsidR="00B1022C" w:rsidRDefault="00B1022C">
      <w:pPr>
        <w:jc w:val="center"/>
        <w:rPr>
          <w:rFonts w:ascii="Arial" w:hAnsi="Arial"/>
          <w:b/>
          <w:bCs/>
          <w:sz w:val="26"/>
          <w:rtl/>
        </w:rPr>
      </w:pPr>
      <w:bookmarkStart w:id="0" w:name="LastJudge"/>
      <w:r>
        <w:rPr>
          <w:rFonts w:ascii="Arial" w:hAnsi="Arial"/>
          <w:b/>
          <w:b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50"/>
        <w:gridCol w:w="4564"/>
        <w:gridCol w:w="964"/>
        <w:gridCol w:w="1951"/>
      </w:tblGrid>
      <w:tr w:rsidR="00B1022C" w14:paraId="4E8765AB" w14:textId="77777777" w:rsidTr="00B1022C">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19E3D12" w14:textId="77777777" w:rsidR="00B1022C" w:rsidRDefault="00B1022C">
            <w:pPr>
              <w:rPr>
                <w:rFonts w:ascii="Arial" w:hAnsi="Arial"/>
                <w:b/>
                <w:bCs/>
                <w:sz w:val="26"/>
              </w:rPr>
            </w:pPr>
            <w:r>
              <w:rPr>
                <w:rFonts w:ascii="Arial" w:hAnsi="Arial"/>
                <w:b/>
                <w:bCs/>
                <w:sz w:val="26"/>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5E99D4D9" w14:textId="77777777" w:rsidR="00B1022C" w:rsidRDefault="00B1022C">
            <w:pPr>
              <w:rPr>
                <w:rFonts w:ascii="Arial" w:hAnsi="Arial"/>
                <w:b/>
                <w:bCs/>
                <w:sz w:val="26"/>
              </w:rPr>
            </w:pPr>
            <w:r>
              <w:rPr>
                <w:rFonts w:ascii="Arial" w:hAnsi="Arial"/>
                <w:b/>
                <w:bCs/>
                <w:sz w:val="26"/>
                <w:rtl/>
              </w:rPr>
              <w:t>פ  008612/04</w:t>
            </w:r>
          </w:p>
        </w:tc>
      </w:tr>
      <w:tr w:rsidR="00B1022C" w14:paraId="0B991113" w14:textId="77777777" w:rsidTr="00B1022C">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B542CFC" w14:textId="77777777" w:rsidR="00B1022C" w:rsidRDefault="00B1022C">
            <w:pPr>
              <w:bidi w:val="0"/>
              <w:jc w:val="left"/>
              <w:rPr>
                <w:rFonts w:ascii="Arial" w:hAnsi="Arial"/>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274E8D8D" w14:textId="77777777" w:rsidR="00B1022C" w:rsidRDefault="00B1022C">
            <w:pPr>
              <w:rPr>
                <w:rFonts w:ascii="Arial" w:hAnsi="Arial"/>
                <w:b/>
                <w:bCs/>
                <w:sz w:val="26"/>
              </w:rPr>
            </w:pPr>
          </w:p>
        </w:tc>
      </w:tr>
      <w:tr w:rsidR="00B1022C" w14:paraId="7CC0DA82" w14:textId="77777777" w:rsidTr="00B1022C">
        <w:trPr>
          <w:trHeight w:val="286"/>
        </w:trPr>
        <w:tc>
          <w:tcPr>
            <w:tcW w:w="1050" w:type="dxa"/>
            <w:tcBorders>
              <w:top w:val="single" w:sz="4" w:space="0" w:color="auto"/>
              <w:left w:val="single" w:sz="4" w:space="0" w:color="auto"/>
              <w:bottom w:val="single" w:sz="4" w:space="0" w:color="auto"/>
              <w:right w:val="single" w:sz="4" w:space="0" w:color="auto"/>
            </w:tcBorders>
          </w:tcPr>
          <w:p w14:paraId="0A30B7E2" w14:textId="77777777" w:rsidR="00B1022C" w:rsidRDefault="00B1022C">
            <w:pPr>
              <w:rPr>
                <w:rFonts w:ascii="Arial" w:hAnsi="Arial"/>
                <w:b/>
                <w:bCs/>
                <w:sz w:val="26"/>
              </w:rPr>
            </w:pPr>
            <w:r>
              <w:rPr>
                <w:rFonts w:ascii="Arial" w:hAnsi="Arial"/>
                <w:b/>
                <w:bCs/>
                <w:sz w:val="26"/>
                <w:rtl/>
              </w:rPr>
              <w:t>בפני:</w:t>
            </w:r>
          </w:p>
        </w:tc>
        <w:tc>
          <w:tcPr>
            <w:tcW w:w="4564" w:type="dxa"/>
            <w:tcBorders>
              <w:top w:val="single" w:sz="4" w:space="0" w:color="auto"/>
              <w:left w:val="single" w:sz="4" w:space="0" w:color="auto"/>
              <w:bottom w:val="single" w:sz="4" w:space="0" w:color="auto"/>
              <w:right w:val="single" w:sz="4" w:space="0" w:color="auto"/>
            </w:tcBorders>
          </w:tcPr>
          <w:p w14:paraId="0A0B1280" w14:textId="77777777" w:rsidR="00B1022C" w:rsidRDefault="00B1022C">
            <w:pPr>
              <w:rPr>
                <w:rFonts w:ascii="Arial" w:hAnsi="Arial"/>
                <w:b/>
                <w:bCs/>
                <w:sz w:val="26"/>
              </w:rPr>
            </w:pPr>
            <w:r>
              <w:rPr>
                <w:rFonts w:ascii="Arial" w:hAnsi="Arial"/>
                <w:b/>
                <w:bCs/>
                <w:sz w:val="26"/>
                <w:rtl/>
              </w:rPr>
              <w:t>כב' השופטת שריזלי דניאלה</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5D17138" w14:textId="77777777" w:rsidR="00B1022C" w:rsidRDefault="00B1022C">
            <w:pPr>
              <w:rPr>
                <w:rFonts w:ascii="Arial" w:hAnsi="Arial"/>
                <w:b/>
                <w:bCs/>
                <w:sz w:val="26"/>
              </w:rPr>
            </w:pPr>
            <w:r>
              <w:rPr>
                <w:rFonts w:ascii="Arial" w:hAnsi="Arial"/>
                <w:b/>
                <w:bCs/>
                <w:sz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2EF15E71" w14:textId="77777777" w:rsidR="00B1022C" w:rsidRDefault="00B1022C">
            <w:pPr>
              <w:rPr>
                <w:rFonts w:ascii="Arial" w:hAnsi="Arial"/>
                <w:b/>
                <w:bCs/>
                <w:sz w:val="26"/>
              </w:rPr>
            </w:pPr>
            <w:r>
              <w:rPr>
                <w:rFonts w:ascii="Arial" w:hAnsi="Arial"/>
                <w:b/>
                <w:bCs/>
                <w:sz w:val="26"/>
                <w:rtl/>
              </w:rPr>
              <w:t>04/07/2005</w:t>
            </w:r>
          </w:p>
        </w:tc>
      </w:tr>
    </w:tbl>
    <w:p w14:paraId="0D8B95AE" w14:textId="77777777" w:rsidR="00B1022C" w:rsidRDefault="00B1022C">
      <w:pPr>
        <w:rPr>
          <w:rFonts w:hint="cs"/>
          <w:b/>
          <w:bCs/>
          <w:rtl/>
        </w:rPr>
      </w:pPr>
      <w:r>
        <w:rPr>
          <w:rFonts w:ascii="Arial" w:hAnsi="Arial" w:hint="cs"/>
          <w:b/>
          <w:bCs/>
          <w:sz w:val="26"/>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1022C" w14:paraId="685217EF" w14:textId="77777777" w:rsidTr="00B1022C">
        <w:tc>
          <w:tcPr>
            <w:tcW w:w="1362" w:type="dxa"/>
          </w:tcPr>
          <w:p w14:paraId="3EF9EFC8" w14:textId="77777777" w:rsidR="00B1022C" w:rsidRDefault="00B1022C">
            <w:pPr>
              <w:rPr>
                <w:b/>
                <w:bCs/>
              </w:rPr>
            </w:pPr>
            <w:bookmarkStart w:id="1" w:name="FirstAppellant"/>
            <w:r>
              <w:rPr>
                <w:b/>
                <w:bCs/>
                <w:rtl/>
              </w:rPr>
              <w:t>בעניין:</w:t>
            </w:r>
          </w:p>
        </w:tc>
        <w:tc>
          <w:tcPr>
            <w:tcW w:w="4820" w:type="dxa"/>
            <w:gridSpan w:val="2"/>
          </w:tcPr>
          <w:p w14:paraId="15708EA5" w14:textId="77777777" w:rsidR="00B1022C" w:rsidRDefault="00B1022C">
            <w:pPr>
              <w:rPr>
                <w:b/>
                <w:bCs/>
              </w:rPr>
            </w:pPr>
            <w:r>
              <w:rPr>
                <w:b/>
                <w:bCs/>
                <w:rtl/>
              </w:rPr>
              <w:t>מדינת ישראל</w:t>
            </w:r>
          </w:p>
        </w:tc>
        <w:tc>
          <w:tcPr>
            <w:tcW w:w="2409" w:type="dxa"/>
          </w:tcPr>
          <w:p w14:paraId="1A1D1241" w14:textId="77777777" w:rsidR="00B1022C" w:rsidRDefault="00B1022C">
            <w:pPr>
              <w:rPr>
                <w:b/>
                <w:bCs/>
              </w:rPr>
            </w:pPr>
            <w:r>
              <w:rPr>
                <w:b/>
                <w:bCs/>
                <w:rtl/>
              </w:rPr>
              <w:t>המאשימה</w:t>
            </w:r>
          </w:p>
        </w:tc>
      </w:tr>
      <w:bookmarkEnd w:id="1"/>
      <w:tr w:rsidR="00B1022C" w14:paraId="558C728A" w14:textId="77777777" w:rsidTr="00B1022C">
        <w:tc>
          <w:tcPr>
            <w:tcW w:w="1362" w:type="dxa"/>
          </w:tcPr>
          <w:p w14:paraId="306D213D" w14:textId="77777777" w:rsidR="00B1022C" w:rsidRDefault="00B1022C">
            <w:pPr>
              <w:rPr>
                <w:b/>
                <w:bCs/>
              </w:rPr>
            </w:pPr>
          </w:p>
        </w:tc>
        <w:tc>
          <w:tcPr>
            <w:tcW w:w="4820" w:type="dxa"/>
            <w:gridSpan w:val="2"/>
          </w:tcPr>
          <w:p w14:paraId="65A0ECD6" w14:textId="77777777" w:rsidR="00B1022C" w:rsidRDefault="00B1022C">
            <w:pPr>
              <w:jc w:val="center"/>
              <w:rPr>
                <w:b/>
                <w:bCs/>
              </w:rPr>
            </w:pPr>
            <w:r>
              <w:rPr>
                <w:b/>
                <w:bCs/>
                <w:rtl/>
              </w:rPr>
              <w:t>נ  ג  ד</w:t>
            </w:r>
          </w:p>
        </w:tc>
        <w:tc>
          <w:tcPr>
            <w:tcW w:w="2409" w:type="dxa"/>
          </w:tcPr>
          <w:p w14:paraId="69AAB91D" w14:textId="77777777" w:rsidR="00B1022C" w:rsidRDefault="00B1022C">
            <w:pPr>
              <w:rPr>
                <w:b/>
                <w:bCs/>
              </w:rPr>
            </w:pPr>
          </w:p>
        </w:tc>
      </w:tr>
      <w:tr w:rsidR="00B1022C" w14:paraId="6D29AE0D" w14:textId="77777777" w:rsidTr="00B1022C">
        <w:tc>
          <w:tcPr>
            <w:tcW w:w="1362" w:type="dxa"/>
          </w:tcPr>
          <w:p w14:paraId="0812EC48" w14:textId="77777777" w:rsidR="00B1022C" w:rsidRDefault="00B1022C">
            <w:pPr>
              <w:rPr>
                <w:b/>
                <w:bCs/>
              </w:rPr>
            </w:pPr>
            <w:bookmarkStart w:id="2" w:name="שם_ב" w:colFirst="1" w:colLast="1"/>
          </w:p>
        </w:tc>
        <w:tc>
          <w:tcPr>
            <w:tcW w:w="4820" w:type="dxa"/>
            <w:gridSpan w:val="2"/>
          </w:tcPr>
          <w:p w14:paraId="58FF38F5" w14:textId="77777777" w:rsidR="00B1022C" w:rsidRDefault="00B1022C">
            <w:pPr>
              <w:rPr>
                <w:b/>
                <w:bCs/>
              </w:rPr>
            </w:pPr>
            <w:r>
              <w:rPr>
                <w:b/>
                <w:bCs/>
                <w:rtl/>
              </w:rPr>
              <w:t>לוי סעדיה</w:t>
            </w:r>
          </w:p>
        </w:tc>
        <w:tc>
          <w:tcPr>
            <w:tcW w:w="2409" w:type="dxa"/>
          </w:tcPr>
          <w:p w14:paraId="5238EEB0" w14:textId="77777777" w:rsidR="00B1022C" w:rsidRDefault="00B1022C">
            <w:pPr>
              <w:rPr>
                <w:b/>
                <w:bCs/>
              </w:rPr>
            </w:pPr>
            <w:r>
              <w:rPr>
                <w:b/>
                <w:bCs/>
                <w:rtl/>
              </w:rPr>
              <w:t>הנאשם</w:t>
            </w:r>
          </w:p>
        </w:tc>
      </w:tr>
      <w:bookmarkEnd w:id="2"/>
      <w:tr w:rsidR="00B1022C" w14:paraId="7AB16B6C" w14:textId="77777777" w:rsidTr="00B1022C">
        <w:tc>
          <w:tcPr>
            <w:tcW w:w="1362" w:type="dxa"/>
          </w:tcPr>
          <w:p w14:paraId="730719F0" w14:textId="77777777" w:rsidR="00B1022C" w:rsidRDefault="00B1022C">
            <w:pPr>
              <w:rPr>
                <w:b/>
                <w:bCs/>
              </w:rPr>
            </w:pPr>
          </w:p>
        </w:tc>
        <w:tc>
          <w:tcPr>
            <w:tcW w:w="1757" w:type="dxa"/>
          </w:tcPr>
          <w:p w14:paraId="727AF7B5" w14:textId="77777777" w:rsidR="00B1022C" w:rsidRDefault="00B1022C">
            <w:pPr>
              <w:rPr>
                <w:b/>
                <w:bCs/>
              </w:rPr>
            </w:pPr>
          </w:p>
        </w:tc>
        <w:tc>
          <w:tcPr>
            <w:tcW w:w="3063" w:type="dxa"/>
          </w:tcPr>
          <w:p w14:paraId="727DCDC4" w14:textId="77777777" w:rsidR="00B1022C" w:rsidRDefault="00B1022C">
            <w:pPr>
              <w:rPr>
                <w:b/>
                <w:bCs/>
              </w:rPr>
            </w:pPr>
          </w:p>
        </w:tc>
        <w:tc>
          <w:tcPr>
            <w:tcW w:w="2409" w:type="dxa"/>
          </w:tcPr>
          <w:p w14:paraId="5F4BD183" w14:textId="77777777" w:rsidR="00B1022C" w:rsidRDefault="00B1022C">
            <w:pPr>
              <w:rPr>
                <w:b/>
                <w:bCs/>
              </w:rPr>
            </w:pPr>
          </w:p>
        </w:tc>
      </w:tr>
    </w:tbl>
    <w:p w14:paraId="03731077" w14:textId="77777777" w:rsidR="00B1022C" w:rsidRDefault="00B1022C">
      <w:pPr>
        <w:rPr>
          <w:b/>
          <w:b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B1022C" w14:paraId="5A3223AF" w14:textId="77777777" w:rsidTr="00B1022C">
        <w:tc>
          <w:tcPr>
            <w:tcW w:w="1332" w:type="dxa"/>
          </w:tcPr>
          <w:p w14:paraId="704B4D04" w14:textId="77777777" w:rsidR="00B1022C" w:rsidRDefault="00B1022C">
            <w:pPr>
              <w:rPr>
                <w:rFonts w:cs="David"/>
                <w:b/>
                <w:bCs/>
                <w:sz w:val="30"/>
                <w:szCs w:val="28"/>
              </w:rPr>
            </w:pPr>
            <w:bookmarkStart w:id="3" w:name="FirstLawyer"/>
            <w:r>
              <w:rPr>
                <w:rFonts w:cs="David" w:hint="cs"/>
                <w:b/>
                <w:bCs/>
                <w:sz w:val="30"/>
                <w:szCs w:val="28"/>
                <w:rtl/>
              </w:rPr>
              <w:t>נוכחים:</w:t>
            </w:r>
          </w:p>
        </w:tc>
        <w:tc>
          <w:tcPr>
            <w:tcW w:w="7230" w:type="dxa"/>
          </w:tcPr>
          <w:p w14:paraId="13D67D9B" w14:textId="77777777" w:rsidR="00B1022C" w:rsidRDefault="00B1022C">
            <w:pPr>
              <w:rPr>
                <w:rFonts w:cs="David"/>
                <w:b/>
                <w:bCs/>
                <w:sz w:val="30"/>
                <w:szCs w:val="28"/>
              </w:rPr>
            </w:pPr>
            <w:r>
              <w:rPr>
                <w:rFonts w:cs="David" w:hint="cs"/>
                <w:b/>
                <w:bCs/>
                <w:sz w:val="30"/>
                <w:szCs w:val="28"/>
                <w:rtl/>
              </w:rPr>
              <w:t xml:space="preserve">ב"כ המאשימה עו"ד </w:t>
            </w:r>
            <w:bookmarkStart w:id="4" w:name="בא_כוח_א"/>
            <w:bookmarkEnd w:id="4"/>
            <w:r>
              <w:rPr>
                <w:rFonts w:cs="David" w:hint="cs"/>
                <w:b/>
                <w:bCs/>
                <w:sz w:val="30"/>
                <w:szCs w:val="28"/>
                <w:rtl/>
              </w:rPr>
              <w:t>אבי וכניש</w:t>
            </w:r>
          </w:p>
          <w:p w14:paraId="269D4D32" w14:textId="77777777" w:rsidR="00B1022C" w:rsidRDefault="00B1022C">
            <w:pPr>
              <w:rPr>
                <w:rFonts w:cs="David" w:hint="cs"/>
                <w:b/>
                <w:bCs/>
                <w:sz w:val="30"/>
                <w:szCs w:val="28"/>
                <w:rtl/>
              </w:rPr>
            </w:pPr>
            <w:r>
              <w:rPr>
                <w:rFonts w:cs="David" w:hint="cs"/>
                <w:b/>
                <w:bCs/>
                <w:sz w:val="30"/>
                <w:szCs w:val="28"/>
                <w:rtl/>
              </w:rPr>
              <w:t>הנאשם בעצמו</w:t>
            </w:r>
          </w:p>
          <w:p w14:paraId="7BA73F3E" w14:textId="77777777" w:rsidR="00B1022C" w:rsidRDefault="00B1022C">
            <w:pPr>
              <w:rPr>
                <w:rFonts w:cs="David"/>
                <w:b/>
                <w:bCs/>
                <w:sz w:val="30"/>
                <w:szCs w:val="28"/>
              </w:rPr>
            </w:pPr>
            <w:r>
              <w:rPr>
                <w:rFonts w:cs="David" w:hint="cs"/>
                <w:b/>
                <w:bCs/>
                <w:sz w:val="30"/>
                <w:szCs w:val="28"/>
                <w:rtl/>
              </w:rPr>
              <w:t xml:space="preserve">ב"כ הנאשם עו"ד </w:t>
            </w:r>
            <w:bookmarkStart w:id="5" w:name="בא_כוח_ב"/>
            <w:bookmarkEnd w:id="5"/>
            <w:r>
              <w:rPr>
                <w:rFonts w:cs="David" w:hint="cs"/>
                <w:b/>
                <w:bCs/>
                <w:sz w:val="30"/>
                <w:szCs w:val="28"/>
                <w:rtl/>
              </w:rPr>
              <w:t>דני חבה</w:t>
            </w:r>
          </w:p>
        </w:tc>
      </w:tr>
    </w:tbl>
    <w:p w14:paraId="508FDBA5" w14:textId="77777777" w:rsidR="00B47B60" w:rsidRDefault="00B47B60" w:rsidP="00B47B60">
      <w:pPr>
        <w:spacing w:line="360" w:lineRule="auto"/>
        <w:jc w:val="center"/>
        <w:rPr>
          <w:rFonts w:cs="David"/>
          <w:sz w:val="30"/>
          <w:szCs w:val="28"/>
          <w:rtl/>
        </w:rPr>
      </w:pPr>
      <w:bookmarkStart w:id="6" w:name="סוג_מסמך"/>
      <w:bookmarkStart w:id="7" w:name="LawTable"/>
      <w:bookmarkEnd w:id="3"/>
      <w:bookmarkEnd w:id="6"/>
      <w:bookmarkEnd w:id="7"/>
    </w:p>
    <w:p w14:paraId="39EA386F" w14:textId="77777777" w:rsidR="00B47B60" w:rsidRPr="00B47B60" w:rsidRDefault="00B47B60" w:rsidP="00B47B60">
      <w:pPr>
        <w:spacing w:after="120" w:line="240" w:lineRule="exact"/>
        <w:ind w:left="283" w:hanging="283"/>
        <w:rPr>
          <w:rFonts w:ascii="FrankRuehl" w:hAnsi="FrankRuehl" w:cs="FrankRuehl"/>
          <w:sz w:val="24"/>
          <w:szCs w:val="24"/>
          <w:rtl/>
        </w:rPr>
      </w:pPr>
    </w:p>
    <w:p w14:paraId="6983DEF3" w14:textId="77777777" w:rsidR="00B47B60" w:rsidRPr="00B47B60" w:rsidRDefault="00B47B60" w:rsidP="00B47B60">
      <w:pPr>
        <w:spacing w:after="120" w:line="240" w:lineRule="exact"/>
        <w:ind w:left="283" w:hanging="283"/>
        <w:rPr>
          <w:rFonts w:ascii="FrankRuehl" w:hAnsi="FrankRuehl" w:cs="FrankRuehl"/>
          <w:sz w:val="24"/>
          <w:szCs w:val="24"/>
          <w:rtl/>
        </w:rPr>
      </w:pPr>
      <w:r w:rsidRPr="00B47B60">
        <w:rPr>
          <w:rFonts w:ascii="FrankRuehl" w:hAnsi="FrankRuehl" w:cs="FrankRuehl"/>
          <w:sz w:val="24"/>
          <w:szCs w:val="24"/>
          <w:rtl/>
        </w:rPr>
        <w:t xml:space="preserve">חקיקה שאוזכרה: </w:t>
      </w:r>
    </w:p>
    <w:p w14:paraId="030D0E50" w14:textId="77777777" w:rsidR="00B47B60" w:rsidRPr="00B47B60" w:rsidRDefault="00B47B60" w:rsidP="00B47B60">
      <w:pPr>
        <w:spacing w:after="120" w:line="240" w:lineRule="exact"/>
        <w:ind w:left="283" w:hanging="283"/>
        <w:rPr>
          <w:rFonts w:ascii="FrankRuehl" w:hAnsi="FrankRuehl" w:cs="FrankRuehl"/>
          <w:sz w:val="24"/>
          <w:szCs w:val="24"/>
          <w:rtl/>
        </w:rPr>
      </w:pPr>
      <w:hyperlink r:id="rId6" w:history="1">
        <w:r w:rsidRPr="00B47B60">
          <w:rPr>
            <w:rFonts w:ascii="FrankRuehl" w:hAnsi="FrankRuehl" w:cs="FrankRuehl"/>
            <w:color w:val="0000FF"/>
            <w:sz w:val="24"/>
            <w:szCs w:val="24"/>
            <w:u w:val="single"/>
            <w:rtl/>
          </w:rPr>
          <w:t>חוק העונשין, תשל"ז-1977</w:t>
        </w:r>
      </w:hyperlink>
      <w:r w:rsidRPr="00B47B60">
        <w:rPr>
          <w:rFonts w:ascii="FrankRuehl" w:hAnsi="FrankRuehl" w:cs="FrankRuehl"/>
          <w:sz w:val="24"/>
          <w:szCs w:val="24"/>
          <w:rtl/>
        </w:rPr>
        <w:t xml:space="preserve">: סע'  </w:t>
      </w:r>
      <w:hyperlink r:id="rId7" w:history="1">
        <w:r w:rsidRPr="00B47B60">
          <w:rPr>
            <w:rFonts w:ascii="FrankRuehl" w:hAnsi="FrankRuehl" w:cs="FrankRuehl"/>
            <w:color w:val="0000FF"/>
            <w:sz w:val="24"/>
            <w:szCs w:val="24"/>
            <w:u w:val="single"/>
            <w:rtl/>
          </w:rPr>
          <w:t>348</w:t>
        </w:r>
      </w:hyperlink>
      <w:r w:rsidRPr="00B47B60">
        <w:rPr>
          <w:rFonts w:ascii="FrankRuehl" w:hAnsi="FrankRuehl" w:cs="FrankRuehl"/>
          <w:sz w:val="24"/>
          <w:szCs w:val="24"/>
          <w:rtl/>
        </w:rPr>
        <w:t xml:space="preserve">, </w:t>
      </w:r>
      <w:hyperlink r:id="rId8" w:history="1">
        <w:r w:rsidRPr="00B47B60">
          <w:rPr>
            <w:rFonts w:ascii="FrankRuehl" w:hAnsi="FrankRuehl" w:cs="FrankRuehl"/>
            <w:color w:val="0000FF"/>
            <w:sz w:val="24"/>
            <w:szCs w:val="24"/>
            <w:u w:val="single"/>
            <w:rtl/>
          </w:rPr>
          <w:t>348(ג)</w:t>
        </w:r>
      </w:hyperlink>
      <w:r w:rsidRPr="00B47B60">
        <w:rPr>
          <w:rFonts w:ascii="FrankRuehl" w:hAnsi="FrankRuehl" w:cs="FrankRuehl"/>
          <w:sz w:val="24"/>
          <w:szCs w:val="24"/>
          <w:rtl/>
        </w:rPr>
        <w:t xml:space="preserve">, </w:t>
      </w:r>
      <w:hyperlink r:id="rId9" w:history="1">
        <w:r w:rsidRPr="00B47B60">
          <w:rPr>
            <w:rFonts w:ascii="FrankRuehl" w:hAnsi="FrankRuehl" w:cs="FrankRuehl"/>
            <w:color w:val="0000FF"/>
            <w:sz w:val="24"/>
            <w:szCs w:val="24"/>
            <w:u w:val="single"/>
            <w:rtl/>
          </w:rPr>
          <w:t>348(ו)</w:t>
        </w:r>
      </w:hyperlink>
    </w:p>
    <w:p w14:paraId="26EAB41C" w14:textId="77777777" w:rsidR="00B47B60" w:rsidRPr="00B47B60" w:rsidRDefault="00B47B60" w:rsidP="00B47B60">
      <w:pPr>
        <w:spacing w:after="120" w:line="240" w:lineRule="exact"/>
        <w:ind w:left="283" w:hanging="283"/>
        <w:rPr>
          <w:rFonts w:ascii="FrankRuehl" w:hAnsi="FrankRuehl" w:cs="FrankRuehl"/>
          <w:sz w:val="24"/>
          <w:szCs w:val="24"/>
          <w:rtl/>
        </w:rPr>
      </w:pPr>
    </w:p>
    <w:p w14:paraId="150C4DA0" w14:textId="77777777" w:rsidR="00B47B60" w:rsidRPr="00B47B60" w:rsidRDefault="00B47B60" w:rsidP="00B47B60">
      <w:pPr>
        <w:spacing w:line="360" w:lineRule="auto"/>
        <w:jc w:val="center"/>
        <w:rPr>
          <w:rFonts w:cs="David"/>
          <w:sz w:val="30"/>
          <w:szCs w:val="28"/>
          <w:rtl/>
        </w:rPr>
      </w:pPr>
      <w:bookmarkStart w:id="8" w:name="LawTable_End"/>
      <w:bookmarkEnd w:id="8"/>
    </w:p>
    <w:p w14:paraId="140AA721" w14:textId="77777777" w:rsidR="00B47B60" w:rsidRPr="00B47B60" w:rsidRDefault="00B47B60" w:rsidP="00B47B60">
      <w:pPr>
        <w:spacing w:line="360" w:lineRule="auto"/>
        <w:jc w:val="center"/>
        <w:rPr>
          <w:rFonts w:cs="David"/>
          <w:sz w:val="30"/>
          <w:szCs w:val="28"/>
          <w:rtl/>
        </w:rPr>
      </w:pPr>
    </w:p>
    <w:p w14:paraId="77BA52B5" w14:textId="77777777" w:rsidR="005E368F" w:rsidRPr="005E368F" w:rsidRDefault="00B1022C" w:rsidP="00B47B60">
      <w:pPr>
        <w:spacing w:line="360" w:lineRule="auto"/>
        <w:jc w:val="center"/>
        <w:rPr>
          <w:rFonts w:ascii="FrankRuehl" w:hAnsi="FrankRuehl" w:cs="FrankRuehl"/>
          <w:sz w:val="24"/>
          <w:szCs w:val="24"/>
          <w:rtl/>
        </w:rPr>
      </w:pPr>
      <w:r w:rsidRPr="00B47B60">
        <w:rPr>
          <w:rFonts w:cs="David" w:hint="cs"/>
          <w:sz w:val="30"/>
          <w:szCs w:val="28"/>
          <w:rtl/>
        </w:rPr>
        <w:t xml:space="preserve"> </w:t>
      </w:r>
    </w:p>
    <w:p w14:paraId="4203F306" w14:textId="77777777" w:rsidR="005E368F" w:rsidRPr="005E368F" w:rsidRDefault="005E368F">
      <w:pPr>
        <w:spacing w:line="360" w:lineRule="auto"/>
        <w:jc w:val="center"/>
        <w:rPr>
          <w:rFonts w:cs="David"/>
          <w:sz w:val="30"/>
          <w:szCs w:val="28"/>
          <w:rtl/>
        </w:rPr>
      </w:pPr>
    </w:p>
    <w:p w14:paraId="2C8EFE07" w14:textId="77777777" w:rsidR="005E368F" w:rsidRPr="005E368F" w:rsidRDefault="005E368F">
      <w:pPr>
        <w:spacing w:line="360" w:lineRule="auto"/>
        <w:jc w:val="center"/>
        <w:rPr>
          <w:rFonts w:cs="David"/>
          <w:sz w:val="30"/>
          <w:szCs w:val="28"/>
          <w:rtl/>
        </w:rPr>
      </w:pPr>
    </w:p>
    <w:p w14:paraId="04B42C03" w14:textId="77777777" w:rsidR="00B1022C" w:rsidRPr="005E368F" w:rsidRDefault="00B1022C">
      <w:pPr>
        <w:spacing w:line="360" w:lineRule="auto"/>
        <w:jc w:val="center"/>
        <w:rPr>
          <w:rFonts w:cs="David" w:hint="cs"/>
          <w:b/>
          <w:bCs/>
          <w:spacing w:val="140"/>
          <w:sz w:val="32"/>
          <w:szCs w:val="32"/>
          <w:rtl/>
        </w:rPr>
      </w:pPr>
    </w:p>
    <w:p w14:paraId="0F091DEC" w14:textId="77777777" w:rsidR="00B1022C" w:rsidRDefault="00B1022C">
      <w:pPr>
        <w:jc w:val="center"/>
        <w:rPr>
          <w:rFonts w:cs="David"/>
          <w:b/>
          <w:bCs/>
          <w:spacing w:val="140"/>
          <w:sz w:val="32"/>
          <w:szCs w:val="32"/>
          <w:u w:val="single"/>
          <w:rtl/>
        </w:rPr>
      </w:pPr>
      <w:bookmarkStart w:id="9" w:name="PsakDin"/>
      <w:bookmarkEnd w:id="0"/>
      <w:r>
        <w:rPr>
          <w:rFonts w:cs="David"/>
          <w:b/>
          <w:bCs/>
          <w:spacing w:val="140"/>
          <w:sz w:val="32"/>
          <w:szCs w:val="32"/>
          <w:u w:val="single"/>
          <w:rtl/>
        </w:rPr>
        <w:t>הכרעת דין</w:t>
      </w:r>
    </w:p>
    <w:bookmarkEnd w:id="9"/>
    <w:p w14:paraId="6BCDAE5D" w14:textId="77777777" w:rsidR="00B1022C" w:rsidRDefault="00B1022C">
      <w:pPr>
        <w:rPr>
          <w:rFonts w:hint="cs"/>
          <w:rtl/>
        </w:rPr>
      </w:pPr>
    </w:p>
    <w:p w14:paraId="4CA71880" w14:textId="77777777" w:rsidR="00B1022C" w:rsidRDefault="00B1022C">
      <w:pPr>
        <w:rPr>
          <w:rtl/>
        </w:rPr>
      </w:pPr>
    </w:p>
    <w:p w14:paraId="4163C3F0" w14:textId="77777777" w:rsidR="00B1022C" w:rsidRDefault="00B1022C">
      <w:pPr>
        <w:pStyle w:val="Heading6"/>
        <w:ind w:right="142"/>
        <w:rPr>
          <w:rtl/>
        </w:rPr>
      </w:pPr>
      <w:r>
        <w:rPr>
          <w:rFonts w:hint="cs"/>
          <w:rtl/>
        </w:rPr>
        <w:t>האישום והתשתית הראייתית</w:t>
      </w:r>
    </w:p>
    <w:p w14:paraId="2B609512" w14:textId="77777777" w:rsidR="00B1022C" w:rsidRDefault="00B1022C">
      <w:pPr>
        <w:spacing w:line="360" w:lineRule="auto"/>
        <w:ind w:right="142"/>
        <w:rPr>
          <w:rFonts w:cs="David" w:hint="cs"/>
          <w:sz w:val="28"/>
          <w:rtl/>
        </w:rPr>
      </w:pPr>
    </w:p>
    <w:p w14:paraId="3343A6EF" w14:textId="77777777" w:rsidR="00B1022C" w:rsidRDefault="00B1022C">
      <w:pPr>
        <w:spacing w:line="360" w:lineRule="auto"/>
        <w:ind w:right="142"/>
        <w:rPr>
          <w:rFonts w:cs="David" w:hint="cs"/>
          <w:color w:val="FFFFFF"/>
          <w:sz w:val="4"/>
          <w:szCs w:val="4"/>
          <w:rtl/>
        </w:rPr>
      </w:pPr>
    </w:p>
    <w:p w14:paraId="4567FF08" w14:textId="77777777" w:rsidR="00B1022C" w:rsidRDefault="00B1022C">
      <w:pPr>
        <w:spacing w:line="360" w:lineRule="auto"/>
        <w:ind w:right="142"/>
        <w:rPr>
          <w:rFonts w:cs="David" w:hint="cs"/>
          <w:sz w:val="28"/>
          <w:rtl/>
        </w:rPr>
      </w:pPr>
      <w:r>
        <w:rPr>
          <w:rFonts w:cs="David" w:hint="cs"/>
          <w:sz w:val="28"/>
          <w:rtl/>
        </w:rPr>
        <w:t>הנאשם הועסק כאחראי על מלצרים באולם אירועים בבני-ברק (להלן: "האולם").</w:t>
      </w:r>
      <w:r>
        <w:rPr>
          <w:rFonts w:cs="David"/>
          <w:color w:val="FFFFFF"/>
          <w:sz w:val="4"/>
          <w:szCs w:val="4"/>
          <w:rtl/>
        </w:rPr>
        <w:t>נ</w:t>
      </w:r>
    </w:p>
    <w:p w14:paraId="41AFB870" w14:textId="77777777" w:rsidR="00B1022C" w:rsidRDefault="00B1022C">
      <w:pPr>
        <w:spacing w:line="360" w:lineRule="auto"/>
        <w:ind w:right="142"/>
        <w:rPr>
          <w:rFonts w:cs="David" w:hint="cs"/>
          <w:sz w:val="28"/>
          <w:rtl/>
        </w:rPr>
      </w:pPr>
      <w:r>
        <w:rPr>
          <w:rFonts w:cs="David" w:hint="cs"/>
          <w:sz w:val="28"/>
          <w:rtl/>
        </w:rPr>
        <w:t xml:space="preserve">בכתב-האישום שהוגש נגד הנאשם נאמר כי בתאריך 15.6.03, בשעה שנערכה באולם חתונה רבת משתתפים, אחז הנאשם בעכוזה של אחת מאורחות החתונה </w:t>
      </w:r>
      <w:r>
        <w:rPr>
          <w:rFonts w:cs="David"/>
          <w:sz w:val="28"/>
          <w:rtl/>
        </w:rPr>
        <w:t>–</w:t>
      </w:r>
      <w:r>
        <w:rPr>
          <w:rFonts w:cs="David" w:hint="cs"/>
          <w:sz w:val="28"/>
          <w:rtl/>
        </w:rPr>
        <w:t xml:space="preserve"> </w:t>
      </w:r>
      <w:r>
        <w:rPr>
          <w:rFonts w:cs="David" w:hint="cs"/>
          <w:b/>
          <w:bCs/>
          <w:sz w:val="28"/>
          <w:rtl/>
        </w:rPr>
        <w:t>ש' ק'</w:t>
      </w:r>
      <w:r>
        <w:rPr>
          <w:rFonts w:cs="David" w:hint="cs"/>
          <w:sz w:val="28"/>
          <w:rtl/>
        </w:rPr>
        <w:t xml:space="preserve"> (להלן: "המתלוננת"), לשם ביזוי מיני.</w:t>
      </w:r>
      <w:r>
        <w:rPr>
          <w:rFonts w:cs="David"/>
          <w:color w:val="FFFFFF"/>
          <w:sz w:val="4"/>
          <w:szCs w:val="4"/>
          <w:rtl/>
        </w:rPr>
        <w:t>ב</w:t>
      </w:r>
    </w:p>
    <w:p w14:paraId="0D43750F" w14:textId="77777777" w:rsidR="00B1022C" w:rsidRDefault="00B1022C">
      <w:pPr>
        <w:spacing w:line="360" w:lineRule="auto"/>
        <w:ind w:right="142"/>
        <w:rPr>
          <w:rFonts w:cs="David" w:hint="cs"/>
          <w:sz w:val="28"/>
          <w:rtl/>
        </w:rPr>
      </w:pPr>
      <w:bookmarkStart w:id="10" w:name="ABSTRACT_START"/>
      <w:bookmarkEnd w:id="10"/>
      <w:r>
        <w:rPr>
          <w:rFonts w:cs="David" w:hint="cs"/>
          <w:sz w:val="28"/>
          <w:rtl/>
        </w:rPr>
        <w:t xml:space="preserve">התביעה מייחסת לנאשם עבירה של מעשה מגונה לפי </w:t>
      </w:r>
      <w:hyperlink r:id="rId10" w:history="1">
        <w:r w:rsidR="00B47B60" w:rsidRPr="00B47B60">
          <w:rPr>
            <w:rFonts w:cs="David"/>
            <w:color w:val="0000FF"/>
            <w:sz w:val="28"/>
            <w:u w:val="single"/>
            <w:rtl/>
          </w:rPr>
          <w:t>סעיף 348(ג)</w:t>
        </w:r>
      </w:hyperlink>
      <w:r>
        <w:rPr>
          <w:rFonts w:cs="David" w:hint="cs"/>
          <w:sz w:val="28"/>
          <w:rtl/>
        </w:rPr>
        <w:t xml:space="preserve"> ל</w:t>
      </w:r>
      <w:hyperlink r:id="rId11" w:history="1">
        <w:r w:rsidR="005E368F" w:rsidRPr="005E368F">
          <w:rPr>
            <w:rStyle w:val="Hyperlink"/>
            <w:rFonts w:cs="David" w:hint="eastAsia"/>
            <w:sz w:val="28"/>
            <w:rtl/>
          </w:rPr>
          <w:t>חוק</w:t>
        </w:r>
        <w:r w:rsidR="005E368F" w:rsidRPr="005E368F">
          <w:rPr>
            <w:rStyle w:val="Hyperlink"/>
            <w:rFonts w:cs="David"/>
            <w:sz w:val="28"/>
            <w:rtl/>
          </w:rPr>
          <w:t xml:space="preserve"> העונשין</w:t>
        </w:r>
      </w:hyperlink>
      <w:r>
        <w:rPr>
          <w:rFonts w:cs="David" w:hint="cs"/>
          <w:sz w:val="28"/>
          <w:rtl/>
        </w:rPr>
        <w:t>, תשל"ז-1977</w:t>
      </w:r>
      <w:bookmarkStart w:id="11" w:name="ABSTRACT_END"/>
      <w:bookmarkEnd w:id="11"/>
      <w:r>
        <w:rPr>
          <w:rFonts w:cs="David" w:hint="cs"/>
          <w:sz w:val="28"/>
          <w:rtl/>
        </w:rPr>
        <w:t xml:space="preserve"> (להלן: "חוק העונשין").</w:t>
      </w:r>
      <w:r>
        <w:rPr>
          <w:rFonts w:cs="David"/>
          <w:color w:val="FFFFFF"/>
          <w:sz w:val="4"/>
          <w:szCs w:val="4"/>
          <w:rtl/>
        </w:rPr>
        <w:t>ו</w:t>
      </w:r>
    </w:p>
    <w:p w14:paraId="6FEE8827" w14:textId="77777777" w:rsidR="00B1022C" w:rsidRDefault="00B1022C">
      <w:pPr>
        <w:spacing w:line="360" w:lineRule="auto"/>
        <w:ind w:right="142"/>
        <w:rPr>
          <w:rFonts w:cs="David" w:hint="cs"/>
          <w:sz w:val="28"/>
          <w:rtl/>
        </w:rPr>
      </w:pPr>
    </w:p>
    <w:p w14:paraId="2CEA39DA" w14:textId="77777777" w:rsidR="00B1022C" w:rsidRDefault="00B1022C">
      <w:pPr>
        <w:spacing w:line="360" w:lineRule="auto"/>
        <w:ind w:right="142"/>
        <w:rPr>
          <w:rFonts w:cs="David" w:hint="cs"/>
          <w:sz w:val="28"/>
          <w:rtl/>
        </w:rPr>
      </w:pPr>
      <w:r>
        <w:rPr>
          <w:rFonts w:cs="David" w:hint="cs"/>
          <w:sz w:val="28"/>
          <w:rtl/>
        </w:rPr>
        <w:t>האישום מבוסס על עדותה של המתלוננת, ולפיה, שעה שקמה ממקומה לעבר היציאה מהאולם, חלפה על פניו של הנאשם אשר עמד שעון אל הקיר, וידו אחזה בישבנה (עמ' 5, ש' 17-21). המתלוננת סיפרה כי נסערה מהמעשה, פנתה אל הנאשם בצעקה והטיחה בו כי תפס בישבנה, אלא שהוא לא הגיב לדבריה (עמ' 5, ש' 21-23).</w:t>
      </w:r>
      <w:r>
        <w:rPr>
          <w:rFonts w:cs="David"/>
          <w:color w:val="FFFFFF"/>
          <w:sz w:val="4"/>
          <w:szCs w:val="4"/>
          <w:rtl/>
        </w:rPr>
        <w:t>נ</w:t>
      </w:r>
    </w:p>
    <w:p w14:paraId="30BA3970" w14:textId="77777777" w:rsidR="00B1022C" w:rsidRDefault="00B1022C">
      <w:pPr>
        <w:spacing w:line="360" w:lineRule="auto"/>
        <w:ind w:right="142"/>
        <w:rPr>
          <w:rFonts w:cs="David" w:hint="cs"/>
          <w:sz w:val="28"/>
          <w:rtl/>
        </w:rPr>
      </w:pPr>
      <w:r>
        <w:rPr>
          <w:rFonts w:cs="David" w:hint="cs"/>
          <w:sz w:val="28"/>
          <w:rtl/>
        </w:rPr>
        <w:t>בהמשך, מסרה המתלוננת, בשיחה שקיימה עם מנהל האולם, טענה בפניו שמלצר תפס בישבנה, ומשנקרא הנאשם לרדת לקומת הכניסה - חזרה והטיחה בו את שעשה; הנאשם היה המום, אמרה, לא הכחיש ולא הוציא מילה (עמ' 6, ש' 1-5).</w:t>
      </w:r>
      <w:r>
        <w:rPr>
          <w:rFonts w:cs="David"/>
          <w:color w:val="FFFFFF"/>
          <w:sz w:val="4"/>
          <w:szCs w:val="4"/>
          <w:rtl/>
        </w:rPr>
        <w:t>ב</w:t>
      </w:r>
    </w:p>
    <w:p w14:paraId="733A3DF9" w14:textId="77777777" w:rsidR="00B1022C" w:rsidRDefault="00B1022C">
      <w:pPr>
        <w:spacing w:line="360" w:lineRule="auto"/>
        <w:ind w:right="142"/>
        <w:rPr>
          <w:rFonts w:cs="David" w:hint="cs"/>
          <w:sz w:val="28"/>
          <w:rtl/>
        </w:rPr>
      </w:pPr>
    </w:p>
    <w:p w14:paraId="1C6873D1" w14:textId="77777777" w:rsidR="00B1022C" w:rsidRDefault="00B1022C">
      <w:pPr>
        <w:spacing w:line="360" w:lineRule="auto"/>
        <w:ind w:right="142"/>
        <w:rPr>
          <w:rFonts w:cs="David" w:hint="cs"/>
          <w:sz w:val="28"/>
          <w:rtl/>
        </w:rPr>
      </w:pPr>
      <w:r>
        <w:rPr>
          <w:rFonts w:cs="David" w:hint="cs"/>
          <w:sz w:val="28"/>
          <w:rtl/>
        </w:rPr>
        <w:t>בנימין ישראלי, מנהל אולם האירועים, העיד מטעם התביעה על נסיבות הבירור שערך בקומת הכניסה לאולם האירועים, ועל שיחתו עם המתלוננת בנוכחות הנאשם. לדבריו, נראתה המתלוננת נסערת וכועסת, וטענה שהנאשם אחז בעכוזה. העד סיפר כי הנאשם התפלא על התלונה, וטען שחלף על פני המתלוננת כשהוא מחזיק בקבוקים, וכנראה דחף אותה.</w:t>
      </w:r>
      <w:r>
        <w:rPr>
          <w:rFonts w:cs="David"/>
          <w:color w:val="FFFFFF"/>
          <w:sz w:val="4"/>
          <w:szCs w:val="4"/>
          <w:rtl/>
        </w:rPr>
        <w:t>ו</w:t>
      </w:r>
    </w:p>
    <w:p w14:paraId="6E2FE43A" w14:textId="77777777" w:rsidR="00B1022C" w:rsidRDefault="00B1022C">
      <w:pPr>
        <w:spacing w:line="360" w:lineRule="auto"/>
        <w:ind w:right="142"/>
        <w:rPr>
          <w:rFonts w:cs="David" w:hint="cs"/>
          <w:sz w:val="28"/>
          <w:rtl/>
        </w:rPr>
      </w:pPr>
    </w:p>
    <w:p w14:paraId="3E5373F7" w14:textId="77777777" w:rsidR="00B1022C" w:rsidRDefault="00B1022C">
      <w:pPr>
        <w:spacing w:line="360" w:lineRule="auto"/>
        <w:ind w:right="142"/>
        <w:rPr>
          <w:rFonts w:cs="David" w:hint="cs"/>
          <w:sz w:val="28"/>
          <w:rtl/>
        </w:rPr>
      </w:pPr>
      <w:r>
        <w:rPr>
          <w:rFonts w:cs="David" w:hint="cs"/>
          <w:sz w:val="28"/>
          <w:rtl/>
        </w:rPr>
        <w:t>הנאשם כפר במיוחס לו, בתגובתו לכתב-האישום טען כי פשוט "נתקל" במתלוננת.</w:t>
      </w:r>
      <w:r>
        <w:rPr>
          <w:rFonts w:cs="David"/>
          <w:color w:val="FFFFFF"/>
          <w:sz w:val="4"/>
          <w:szCs w:val="4"/>
          <w:rtl/>
        </w:rPr>
        <w:t>נ</w:t>
      </w:r>
    </w:p>
    <w:p w14:paraId="22949DFA" w14:textId="77777777" w:rsidR="00B1022C" w:rsidRDefault="00B1022C">
      <w:pPr>
        <w:spacing w:line="360" w:lineRule="auto"/>
        <w:ind w:right="142"/>
        <w:rPr>
          <w:rFonts w:cs="David" w:hint="cs"/>
          <w:sz w:val="28"/>
          <w:rtl/>
        </w:rPr>
      </w:pPr>
      <w:r>
        <w:rPr>
          <w:rFonts w:cs="David" w:hint="cs"/>
          <w:sz w:val="28"/>
          <w:rtl/>
        </w:rPr>
        <w:t>בעדותו פירט הנאשם את גרסתו, לפיה, באותה שעה, שעת המולה באולם, הוא יצא מהמטבח מחזיק שני בקבוקי מים, ועשה דרכו לכיוון השולחנות, ובמקום שסימן בתשריט נ/2 (בכוכבית אדומה), כנראה ש'נכנס' במתלוננת ונתן לה מכה עם הבקבוקים (עמ' 11, ש' 19, עד עמ' 12, ש' 3). כל התלונה, טען, מקורה בטעות שטעתה בו המתלוננת.</w:t>
      </w:r>
      <w:r>
        <w:rPr>
          <w:rFonts w:cs="David"/>
          <w:color w:val="FFFFFF"/>
          <w:sz w:val="4"/>
          <w:szCs w:val="4"/>
          <w:rtl/>
        </w:rPr>
        <w:t>ב</w:t>
      </w:r>
    </w:p>
    <w:p w14:paraId="3A7D5218" w14:textId="77777777" w:rsidR="00B1022C" w:rsidRDefault="00B1022C">
      <w:pPr>
        <w:spacing w:line="360" w:lineRule="auto"/>
        <w:ind w:right="142"/>
        <w:rPr>
          <w:rFonts w:cs="David" w:hint="cs"/>
          <w:sz w:val="28"/>
          <w:rtl/>
        </w:rPr>
      </w:pPr>
    </w:p>
    <w:p w14:paraId="74C32720" w14:textId="77777777" w:rsidR="00B1022C" w:rsidRDefault="00B1022C">
      <w:pPr>
        <w:spacing w:line="360" w:lineRule="auto"/>
        <w:ind w:right="142"/>
        <w:rPr>
          <w:rFonts w:cs="David" w:hint="cs"/>
          <w:sz w:val="28"/>
          <w:rtl/>
        </w:rPr>
      </w:pPr>
      <w:r>
        <w:rPr>
          <w:rFonts w:cs="David" w:hint="cs"/>
          <w:sz w:val="28"/>
          <w:rtl/>
        </w:rPr>
        <w:t xml:space="preserve">על המשכו של האירוע מסר הנאשם כי המתלוננת העירה לו שנתן לה "טפיחה", אולם, בשל ההמולה ורעש המוסיקה ששררו באולם לא שמע היטב את דבריה, וסבר שאמרה לו כי משך את תיקה. הנאשם סיפר כי נבהל ממה שאמרה, הסביר לה שהוא </w:t>
      </w:r>
      <w:r>
        <w:rPr>
          <w:rFonts w:cs="David" w:hint="cs"/>
          <w:b/>
          <w:bCs/>
          <w:sz w:val="28"/>
          <w:rtl/>
        </w:rPr>
        <w:t>"מנהל של המלצרים"</w:t>
      </w:r>
      <w:r>
        <w:rPr>
          <w:rFonts w:cs="David" w:hint="cs"/>
          <w:sz w:val="28"/>
          <w:rtl/>
        </w:rPr>
        <w:t xml:space="preserve">, שלא נגע בתיקה ולא משך אותו, וביקש את סליחתה אלא שהמתלוננת אמרה: </w:t>
      </w:r>
      <w:r>
        <w:rPr>
          <w:rFonts w:cs="David" w:hint="cs"/>
          <w:b/>
          <w:bCs/>
          <w:sz w:val="28"/>
          <w:rtl/>
        </w:rPr>
        <w:t>"לא בתיק, נתת לי טפיחה"</w:t>
      </w:r>
      <w:r>
        <w:rPr>
          <w:rFonts w:cs="David" w:hint="cs"/>
          <w:sz w:val="28"/>
          <w:rtl/>
        </w:rPr>
        <w:t xml:space="preserve"> (עמ' 12, ש' 3-6). לדברי הנאשם, הוא המשיך לעבוד,  'כאילו לא קרה כלום', ואז נקרא לבירור אצל מנהל האולם, ושם הסביר, כך אמר, בנוכחות המתלוננת, שהיא חושבת שנתן לה מכה, ועל כך התנצל. </w:t>
      </w:r>
    </w:p>
    <w:p w14:paraId="7DC0F09B" w14:textId="77777777" w:rsidR="00B1022C" w:rsidRDefault="00B1022C">
      <w:pPr>
        <w:spacing w:line="360" w:lineRule="auto"/>
        <w:ind w:right="142"/>
        <w:rPr>
          <w:rFonts w:cs="David" w:hint="cs"/>
          <w:sz w:val="28"/>
          <w:rtl/>
        </w:rPr>
      </w:pPr>
    </w:p>
    <w:p w14:paraId="6DDB5F6B" w14:textId="77777777" w:rsidR="00B1022C" w:rsidRDefault="00B1022C">
      <w:pPr>
        <w:spacing w:line="360" w:lineRule="auto"/>
        <w:ind w:right="142"/>
        <w:rPr>
          <w:rFonts w:cs="David" w:hint="cs"/>
          <w:sz w:val="28"/>
          <w:rtl/>
        </w:rPr>
      </w:pPr>
      <w:r>
        <w:rPr>
          <w:rFonts w:cs="David" w:hint="cs"/>
          <w:sz w:val="28"/>
          <w:rtl/>
        </w:rPr>
        <w:t>מטעם הנאשם העיד עד ההגנה ליאוניד בניקוב, מי שהיה במועד הרלוונטי סגנו של הנאשם.</w:t>
      </w:r>
      <w:r>
        <w:rPr>
          <w:rFonts w:cs="David"/>
          <w:color w:val="FFFFFF"/>
          <w:sz w:val="4"/>
          <w:szCs w:val="4"/>
          <w:rtl/>
        </w:rPr>
        <w:t>ו</w:t>
      </w:r>
    </w:p>
    <w:p w14:paraId="13E8887B" w14:textId="77777777" w:rsidR="00B1022C" w:rsidRDefault="00B1022C">
      <w:pPr>
        <w:spacing w:line="360" w:lineRule="auto"/>
        <w:ind w:right="142"/>
        <w:rPr>
          <w:rFonts w:cs="David" w:hint="cs"/>
          <w:sz w:val="28"/>
          <w:rtl/>
        </w:rPr>
      </w:pPr>
      <w:r>
        <w:rPr>
          <w:rFonts w:cs="David" w:hint="cs"/>
          <w:sz w:val="28"/>
          <w:rtl/>
        </w:rPr>
        <w:t xml:space="preserve">ליאוניד סיפר בעדותו כי ראה את האירוע שהתרחש כאשר הלך הנאשם לכיוון בר השתייה עם שני בקבוקי מים מינרליים ביד, וליד הכניסה לאולם הוא נתקל שלא בכוונה במישהי </w:t>
      </w:r>
      <w:r>
        <w:rPr>
          <w:rFonts w:cs="David" w:hint="cs"/>
          <w:sz w:val="28"/>
          <w:rtl/>
        </w:rPr>
        <w:lastRenderedPageBreak/>
        <w:t>(עמ' 15, ש' 6-9). המתלוננת צעקה, אמר ליאוניד, השניים רבו, וירדו למטה. ליאוניד הבהיר כי עמד אותה שעה באולם במרחק 10 מטרים מהנאשם.</w:t>
      </w:r>
      <w:r>
        <w:rPr>
          <w:rFonts w:cs="David"/>
          <w:color w:val="FFFFFF"/>
          <w:sz w:val="4"/>
          <w:szCs w:val="4"/>
          <w:rtl/>
        </w:rPr>
        <w:t>נ</w:t>
      </w:r>
    </w:p>
    <w:p w14:paraId="5AC88CDB" w14:textId="77777777" w:rsidR="00B1022C" w:rsidRDefault="00B1022C">
      <w:pPr>
        <w:spacing w:line="360" w:lineRule="auto"/>
        <w:ind w:right="142"/>
        <w:rPr>
          <w:rFonts w:hint="cs"/>
          <w:rtl/>
        </w:rPr>
      </w:pPr>
    </w:p>
    <w:p w14:paraId="5AD093E9" w14:textId="77777777" w:rsidR="00B1022C" w:rsidRDefault="00B1022C">
      <w:pPr>
        <w:spacing w:line="360" w:lineRule="auto"/>
        <w:ind w:right="142"/>
        <w:rPr>
          <w:rtl/>
        </w:rPr>
      </w:pPr>
    </w:p>
    <w:p w14:paraId="0EC73022" w14:textId="77777777" w:rsidR="00B1022C" w:rsidRDefault="00B1022C">
      <w:pPr>
        <w:pStyle w:val="Heading7"/>
        <w:rPr>
          <w:rtl/>
        </w:rPr>
      </w:pPr>
      <w:r>
        <w:rPr>
          <w:rFonts w:hint="cs"/>
          <w:rtl/>
        </w:rPr>
        <w:t xml:space="preserve">דיון והכרעה </w:t>
      </w:r>
    </w:p>
    <w:p w14:paraId="0A8E3DB4" w14:textId="77777777" w:rsidR="00B1022C" w:rsidRDefault="00B1022C">
      <w:pPr>
        <w:spacing w:line="360" w:lineRule="auto"/>
        <w:ind w:right="142"/>
        <w:rPr>
          <w:rFonts w:ascii="Arial" w:hAnsi="Arial" w:cs="David" w:hint="cs"/>
          <w:sz w:val="28"/>
          <w:rtl/>
        </w:rPr>
      </w:pPr>
    </w:p>
    <w:p w14:paraId="0DE1E275" w14:textId="77777777" w:rsidR="00B1022C" w:rsidRDefault="00B1022C">
      <w:pPr>
        <w:spacing w:line="360" w:lineRule="auto"/>
        <w:ind w:right="142"/>
        <w:rPr>
          <w:rFonts w:cs="David" w:hint="cs"/>
          <w:sz w:val="28"/>
          <w:rtl/>
        </w:rPr>
      </w:pPr>
      <w:r>
        <w:rPr>
          <w:rFonts w:cs="David" w:hint="cs"/>
          <w:sz w:val="28"/>
          <w:rtl/>
        </w:rPr>
        <w:t xml:space="preserve">המסגרת הנורמטיבית לדיון הוא </w:t>
      </w:r>
      <w:hyperlink r:id="rId12" w:history="1">
        <w:r w:rsidR="00B47B60" w:rsidRPr="00B47B60">
          <w:rPr>
            <w:rFonts w:cs="David"/>
            <w:color w:val="0000FF"/>
            <w:sz w:val="28"/>
            <w:u w:val="single"/>
            <w:rtl/>
          </w:rPr>
          <w:t>סעיף 348(ג)</w:t>
        </w:r>
      </w:hyperlink>
      <w:r>
        <w:rPr>
          <w:rFonts w:cs="David" w:hint="cs"/>
          <w:sz w:val="28"/>
          <w:rtl/>
        </w:rPr>
        <w:t xml:space="preserve"> ל</w:t>
      </w:r>
      <w:hyperlink r:id="rId13" w:history="1">
        <w:r w:rsidR="005E368F" w:rsidRPr="005E368F">
          <w:rPr>
            <w:rStyle w:val="Hyperlink"/>
            <w:rFonts w:cs="David" w:hint="eastAsia"/>
            <w:sz w:val="28"/>
            <w:rtl/>
          </w:rPr>
          <w:t>חוק</w:t>
        </w:r>
        <w:r w:rsidR="005E368F" w:rsidRPr="005E368F">
          <w:rPr>
            <w:rStyle w:val="Hyperlink"/>
            <w:rFonts w:cs="David"/>
            <w:sz w:val="28"/>
            <w:rtl/>
          </w:rPr>
          <w:t xml:space="preserve"> העונשין</w:t>
        </w:r>
      </w:hyperlink>
      <w:r>
        <w:rPr>
          <w:rFonts w:cs="David" w:hint="cs"/>
          <w:sz w:val="28"/>
          <w:rtl/>
        </w:rPr>
        <w:t xml:space="preserve"> הקובע כי </w:t>
      </w:r>
      <w:r>
        <w:rPr>
          <w:rFonts w:cs="David" w:hint="cs"/>
          <w:b/>
          <w:bCs/>
          <w:sz w:val="28"/>
          <w:rtl/>
        </w:rPr>
        <w:t>מי שעושה מעשה מגונה באדם בלא הסכמתו, . . . וכו', דינו - מאסר שלוש שנים</w:t>
      </w:r>
      <w:r>
        <w:rPr>
          <w:rFonts w:cs="David" w:hint="cs"/>
          <w:sz w:val="28"/>
          <w:rtl/>
        </w:rPr>
        <w:t>.</w:t>
      </w:r>
      <w:r>
        <w:rPr>
          <w:rFonts w:cs="David"/>
          <w:color w:val="FFFFFF"/>
          <w:sz w:val="4"/>
          <w:szCs w:val="4"/>
          <w:rtl/>
        </w:rPr>
        <w:t>ב</w:t>
      </w:r>
    </w:p>
    <w:p w14:paraId="2DB96198" w14:textId="77777777" w:rsidR="00B1022C" w:rsidRDefault="00B1022C">
      <w:pPr>
        <w:spacing w:line="360" w:lineRule="auto"/>
        <w:ind w:right="142"/>
        <w:rPr>
          <w:rFonts w:cs="David" w:hint="cs"/>
          <w:sz w:val="28"/>
          <w:rtl/>
        </w:rPr>
      </w:pPr>
    </w:p>
    <w:p w14:paraId="3BE1DBCF" w14:textId="77777777" w:rsidR="00B1022C" w:rsidRDefault="00B1022C">
      <w:pPr>
        <w:spacing w:line="360" w:lineRule="auto"/>
        <w:ind w:right="142"/>
        <w:rPr>
          <w:rFonts w:cs="David" w:hint="cs"/>
          <w:sz w:val="28"/>
          <w:rtl/>
        </w:rPr>
      </w:pPr>
      <w:r>
        <w:rPr>
          <w:rFonts w:cs="David" w:hint="cs"/>
          <w:sz w:val="28"/>
          <w:rtl/>
        </w:rPr>
        <w:t xml:space="preserve">עבירת המעשה המגונה, על פי ההגדרה </w:t>
      </w:r>
      <w:hyperlink r:id="rId14" w:history="1">
        <w:r w:rsidR="00B47B60" w:rsidRPr="00B47B60">
          <w:rPr>
            <w:rFonts w:cs="David"/>
            <w:color w:val="0000FF"/>
            <w:sz w:val="28"/>
            <w:u w:val="single"/>
            <w:rtl/>
          </w:rPr>
          <w:t>שבסעיף 348(ו)</w:t>
        </w:r>
      </w:hyperlink>
      <w:r>
        <w:rPr>
          <w:rFonts w:cs="David" w:hint="cs"/>
          <w:sz w:val="28"/>
          <w:rtl/>
        </w:rPr>
        <w:t xml:space="preserve"> היא עבירת התנהגות ששולב בה יסוד של מטרה מיוחדת - </w:t>
      </w:r>
      <w:r>
        <w:rPr>
          <w:rFonts w:cs="David" w:hint="cs"/>
          <w:b/>
          <w:bCs/>
          <w:sz w:val="28"/>
          <w:rtl/>
        </w:rPr>
        <w:t>לשם גירוי, סיפוק או ביזוי מיניים</w:t>
      </w:r>
      <w:r>
        <w:rPr>
          <w:rFonts w:cs="David" w:hint="cs"/>
          <w:sz w:val="28"/>
          <w:rtl/>
        </w:rPr>
        <w:t xml:space="preserve"> - אותה נועד המעשה להשיג.</w:t>
      </w:r>
      <w:r>
        <w:rPr>
          <w:rFonts w:cs="David"/>
          <w:color w:val="FFFFFF"/>
          <w:sz w:val="4"/>
          <w:szCs w:val="4"/>
          <w:rtl/>
        </w:rPr>
        <w:t>ו</w:t>
      </w:r>
    </w:p>
    <w:p w14:paraId="62BA7B00" w14:textId="77777777" w:rsidR="00B1022C" w:rsidRDefault="00B1022C">
      <w:pPr>
        <w:spacing w:line="360" w:lineRule="auto"/>
        <w:ind w:right="142"/>
        <w:rPr>
          <w:rFonts w:cs="David" w:hint="cs"/>
          <w:sz w:val="28"/>
          <w:rtl/>
        </w:rPr>
      </w:pPr>
      <w:r>
        <w:rPr>
          <w:rFonts w:cs="David" w:hint="cs"/>
          <w:sz w:val="28"/>
          <w:rtl/>
        </w:rPr>
        <w:t>כדי לעמוד בעול ההוכחה הנדרש, על התביעה להוכיח את עצם המעשה שנעשה בקורבן, ללא הסכמתו של האחרון, וכן, את אופיו המגונה, והמטרה שבצדו - מטרה של גירוי, סיפוק יצר מיני או ביזוי מיני.</w:t>
      </w:r>
      <w:r>
        <w:rPr>
          <w:rFonts w:cs="David"/>
          <w:color w:val="FFFFFF"/>
          <w:sz w:val="4"/>
          <w:szCs w:val="4"/>
          <w:rtl/>
        </w:rPr>
        <w:t>נ</w:t>
      </w:r>
    </w:p>
    <w:p w14:paraId="270D90EF" w14:textId="77777777" w:rsidR="00B1022C" w:rsidRDefault="00B1022C">
      <w:pPr>
        <w:spacing w:line="360" w:lineRule="auto"/>
        <w:ind w:right="142"/>
        <w:rPr>
          <w:rFonts w:ascii="Arial" w:hAnsi="Arial" w:cs="David" w:hint="cs"/>
          <w:sz w:val="28"/>
          <w:rtl/>
        </w:rPr>
      </w:pPr>
    </w:p>
    <w:p w14:paraId="4E7DE3CF" w14:textId="77777777" w:rsidR="00B1022C" w:rsidRDefault="00B1022C">
      <w:pPr>
        <w:spacing w:line="360" w:lineRule="auto"/>
        <w:ind w:right="142"/>
        <w:rPr>
          <w:rFonts w:ascii="Arial" w:hAnsi="Arial" w:cs="David" w:hint="cs"/>
          <w:sz w:val="28"/>
          <w:rtl/>
        </w:rPr>
      </w:pPr>
      <w:r>
        <w:rPr>
          <w:rFonts w:ascii="Arial" w:hAnsi="Arial" w:cs="David" w:hint="cs"/>
          <w:sz w:val="28"/>
          <w:rtl/>
        </w:rPr>
        <w:t>מן ההיבט העובדתי - קיים פער משמעותי בין גרסת הנאשם לגרסת המתלוננת, נוכח הכחשת הנאשם את טענת המתלוננת כי תפס בישבנה מתוך מטרה שסיפוק מיני בצדה, ונוכח טענתו ש"נתקל" במתלוננת באקראי אגב ביצוע עבודתו.</w:t>
      </w:r>
      <w:r>
        <w:rPr>
          <w:rFonts w:ascii="Arial" w:hAnsi="Arial" w:cs="David"/>
          <w:color w:val="FFFFFF"/>
          <w:sz w:val="4"/>
          <w:szCs w:val="4"/>
          <w:rtl/>
        </w:rPr>
        <w:t>ב</w:t>
      </w:r>
    </w:p>
    <w:p w14:paraId="4E9964E0" w14:textId="77777777" w:rsidR="00B1022C" w:rsidRDefault="00B1022C">
      <w:pPr>
        <w:spacing w:line="360" w:lineRule="auto"/>
        <w:ind w:right="142"/>
        <w:rPr>
          <w:rFonts w:ascii="Arial" w:hAnsi="Arial" w:cs="David" w:hint="cs"/>
          <w:sz w:val="28"/>
          <w:rtl/>
        </w:rPr>
      </w:pPr>
      <w:r>
        <w:rPr>
          <w:rFonts w:ascii="Arial" w:hAnsi="Arial" w:cs="David" w:hint="cs"/>
          <w:sz w:val="28"/>
          <w:rtl/>
        </w:rPr>
        <w:t>בסופו של יום, כיוון שהנאשם והמתלוננת הם בלבד נכחו באירוע, ועל אף עדותם של עדים נוספים במשפט, תיפול ההכרעה על פי מידת האמון שתינתן באחת מן הגרסאות.</w:t>
      </w:r>
      <w:r>
        <w:rPr>
          <w:rFonts w:ascii="Arial" w:hAnsi="Arial" w:cs="David"/>
          <w:color w:val="FFFFFF"/>
          <w:sz w:val="4"/>
          <w:szCs w:val="4"/>
          <w:rtl/>
        </w:rPr>
        <w:t>ו</w:t>
      </w:r>
    </w:p>
    <w:p w14:paraId="6DBFB5B2" w14:textId="77777777" w:rsidR="00B1022C" w:rsidRDefault="00B1022C">
      <w:pPr>
        <w:spacing w:line="360" w:lineRule="auto"/>
        <w:ind w:right="142"/>
        <w:rPr>
          <w:rFonts w:ascii="Arial" w:hAnsi="Arial" w:cs="David" w:hint="cs"/>
          <w:sz w:val="28"/>
          <w:rtl/>
        </w:rPr>
      </w:pPr>
    </w:p>
    <w:p w14:paraId="6EAA6313" w14:textId="77777777" w:rsidR="00B1022C" w:rsidRDefault="00B1022C">
      <w:pPr>
        <w:spacing w:line="360" w:lineRule="auto"/>
        <w:ind w:right="142"/>
        <w:rPr>
          <w:rFonts w:cs="David" w:hint="cs"/>
          <w:sz w:val="28"/>
          <w:rtl/>
        </w:rPr>
      </w:pPr>
      <w:r>
        <w:rPr>
          <w:rFonts w:cs="David" w:hint="cs"/>
          <w:sz w:val="28"/>
          <w:rtl/>
        </w:rPr>
        <w:t>אומר מיד כי יש בי אמון מלא בעדותה של המתלוננת.</w:t>
      </w:r>
      <w:r>
        <w:rPr>
          <w:rFonts w:cs="David"/>
          <w:color w:val="FFFFFF"/>
          <w:sz w:val="4"/>
          <w:szCs w:val="4"/>
          <w:rtl/>
        </w:rPr>
        <w:t>נ</w:t>
      </w:r>
    </w:p>
    <w:p w14:paraId="19A7C205" w14:textId="77777777" w:rsidR="00B1022C" w:rsidRDefault="00B1022C">
      <w:pPr>
        <w:spacing w:line="360" w:lineRule="auto"/>
        <w:ind w:right="142"/>
        <w:rPr>
          <w:rFonts w:cs="David" w:hint="cs"/>
          <w:sz w:val="28"/>
          <w:rtl/>
        </w:rPr>
      </w:pPr>
      <w:r>
        <w:rPr>
          <w:rFonts w:cs="David" w:hint="cs"/>
          <w:sz w:val="28"/>
          <w:rtl/>
        </w:rPr>
        <w:t xml:space="preserve">המתלוננת היא אישה צעירה כבת 32, שדיבורה, התנהלותה ורוח דבריה מעידים על תרבות, תבונה והשכלה. עדותה הייתה עניינית, מפורטת וקולחת, דבריה ברורים, רהוטים ומושכלים, וניכרו בעדה כנות, ביטחון ונחישות - ביטחון במהימנות דבריה, ונחישות ברצון לחשוף את שארע לה, אירוע שניכר היה כי גרם לה תחושת כאב, אותה חלקה עם השומעים. </w:t>
      </w:r>
    </w:p>
    <w:p w14:paraId="53CB05DE" w14:textId="77777777" w:rsidR="00B1022C" w:rsidRDefault="00B1022C">
      <w:pPr>
        <w:spacing w:line="360" w:lineRule="auto"/>
        <w:ind w:right="142"/>
        <w:rPr>
          <w:rFonts w:cs="David" w:hint="cs"/>
          <w:sz w:val="28"/>
          <w:rtl/>
        </w:rPr>
      </w:pPr>
      <w:r>
        <w:rPr>
          <w:rFonts w:cs="David" w:hint="cs"/>
          <w:sz w:val="28"/>
          <w:rtl/>
        </w:rPr>
        <w:t xml:space="preserve">בדרך עמידתה על דוכן העדים ובדרך מסירת העדות, וגם, ובמיוחד, בתוכן דבריה ובניסוחם, עוררה בי המתלוננת אמון ללא סייג כי תיארה את ההתרחשות כפי שארעה, וכי זיכרונה מעולה. התרשמותי סומכת על הדרך והדיוק בהם תיארה המתלוננת את עובדות הרקע והאווירה, כגון: מיקומו של הנאשם באולם - </w:t>
      </w:r>
      <w:r>
        <w:rPr>
          <w:rFonts w:cs="David" w:hint="cs"/>
          <w:b/>
          <w:bCs/>
          <w:sz w:val="28"/>
          <w:rtl/>
        </w:rPr>
        <w:t>"עמד עם גבו אל הקיר"</w:t>
      </w:r>
      <w:r>
        <w:rPr>
          <w:rFonts w:cs="David" w:hint="cs"/>
          <w:sz w:val="28"/>
          <w:rtl/>
        </w:rPr>
        <w:t xml:space="preserve">, וההמולה שהיתה באולם - </w:t>
      </w:r>
      <w:r>
        <w:rPr>
          <w:rFonts w:cs="David" w:hint="cs"/>
          <w:b/>
          <w:bCs/>
          <w:sz w:val="28"/>
          <w:rtl/>
        </w:rPr>
        <w:t>"בדיוק נכנסו החתן והכלה"</w:t>
      </w:r>
      <w:r>
        <w:rPr>
          <w:rFonts w:cs="David" w:hint="cs"/>
          <w:sz w:val="28"/>
          <w:rtl/>
        </w:rPr>
        <w:t xml:space="preserve"> (עמ' 5, ש' 15-22); ואת תגובותיה הרגשיות -  </w:t>
      </w:r>
      <w:r>
        <w:rPr>
          <w:rFonts w:cs="David" w:hint="cs"/>
          <w:b/>
          <w:bCs/>
          <w:sz w:val="28"/>
          <w:rtl/>
        </w:rPr>
        <w:t xml:space="preserve">"הייתי </w:t>
      </w:r>
      <w:r>
        <w:rPr>
          <w:rFonts w:cs="David" w:hint="cs"/>
          <w:b/>
          <w:bCs/>
          <w:sz w:val="28"/>
          <w:rtl/>
        </w:rPr>
        <w:lastRenderedPageBreak/>
        <w:t>נסערת"</w:t>
      </w:r>
      <w:r>
        <w:rPr>
          <w:rFonts w:cs="David" w:hint="cs"/>
          <w:sz w:val="28"/>
          <w:rtl/>
        </w:rPr>
        <w:t xml:space="preserve">, </w:t>
      </w:r>
      <w:r>
        <w:rPr>
          <w:rFonts w:cs="David" w:hint="cs"/>
          <w:b/>
          <w:bCs/>
          <w:sz w:val="28"/>
          <w:rtl/>
        </w:rPr>
        <w:t>"הרגשתי צורך לרדת אליו</w:t>
      </w:r>
      <w:r>
        <w:rPr>
          <w:rFonts w:cs="David" w:hint="cs"/>
          <w:sz w:val="28"/>
          <w:rtl/>
        </w:rPr>
        <w:t xml:space="preserve"> (אל בעלה - ד"ש) </w:t>
      </w:r>
      <w:r>
        <w:rPr>
          <w:rFonts w:cs="David" w:hint="cs"/>
          <w:b/>
          <w:bCs/>
          <w:sz w:val="28"/>
          <w:rtl/>
        </w:rPr>
        <w:t>מייד ולספר לו"</w:t>
      </w:r>
      <w:r>
        <w:rPr>
          <w:rFonts w:cs="David" w:hint="cs"/>
          <w:sz w:val="28"/>
          <w:rtl/>
        </w:rPr>
        <w:t xml:space="preserve"> (עמ' 5, ש' 24),  וכן, </w:t>
      </w:r>
      <w:r>
        <w:rPr>
          <w:rFonts w:cs="David" w:hint="cs"/>
          <w:b/>
          <w:bCs/>
          <w:sz w:val="28"/>
          <w:rtl/>
        </w:rPr>
        <w:t>"הרגשתי שאני מותקפת"</w:t>
      </w:r>
      <w:r>
        <w:rPr>
          <w:rFonts w:cs="David" w:hint="cs"/>
          <w:sz w:val="28"/>
          <w:rtl/>
        </w:rPr>
        <w:t xml:space="preserve"> [לאחר השיחה עם מנהל האולם (עמ' 6, ש' 11)]. </w:t>
      </w:r>
    </w:p>
    <w:p w14:paraId="2EACFD80" w14:textId="77777777" w:rsidR="00B1022C" w:rsidRDefault="00B1022C">
      <w:pPr>
        <w:spacing w:line="360" w:lineRule="auto"/>
        <w:ind w:right="142"/>
        <w:rPr>
          <w:rFonts w:cs="David" w:hint="cs"/>
          <w:sz w:val="28"/>
          <w:rtl/>
        </w:rPr>
      </w:pPr>
      <w:r>
        <w:rPr>
          <w:rFonts w:cs="David" w:hint="cs"/>
          <w:sz w:val="28"/>
          <w:rtl/>
        </w:rPr>
        <w:t xml:space="preserve">התרשמותי סומכת גם על העקביות בגרסת המתלוננת, אשר דבקה בעמדתה ולא זזה ממנה. </w:t>
      </w:r>
    </w:p>
    <w:p w14:paraId="3D85E7E6" w14:textId="77777777" w:rsidR="00B1022C" w:rsidRDefault="00B1022C">
      <w:pPr>
        <w:spacing w:line="360" w:lineRule="auto"/>
        <w:ind w:right="142"/>
        <w:rPr>
          <w:rFonts w:cs="David" w:hint="cs"/>
          <w:sz w:val="28"/>
          <w:rtl/>
        </w:rPr>
      </w:pPr>
      <w:r>
        <w:rPr>
          <w:rFonts w:cs="David" w:hint="cs"/>
          <w:sz w:val="28"/>
          <w:rtl/>
        </w:rPr>
        <w:t xml:space="preserve">הן בעדותה הראשית והן בחקירה הנגדית הפגינה המתלוננת ביטחון נחרץ בכך שהנאשם ביצע את מה שתיארה. כך, עמדה בנחישות, בעדות הראשית, על כך שהנאשם תפס בישבנה השמאלי, וטענה שאותה שעה עמד הנאשם נשען אל קיר האולם, לא נע בין השולחנות, כטענתו, ולא החזיק בקבוקים או דבר מה אחר בידיו (עמ' 6, ש' 13-24); בחקירתה הנגדית חזרה המתלוננת בעקביות ובעקשנות על גרסתה זו, לפיה, תפס הנאשם בידו את ישבנה השמאלי בעודו שעון אל הקיר (עמ' 8, ש' 3). היא דחתה נחרצות את הצעת הסנגור שהייתה זו </w:t>
      </w:r>
      <w:r>
        <w:rPr>
          <w:rFonts w:cs="David" w:hint="cs"/>
          <w:b/>
          <w:bCs/>
          <w:sz w:val="28"/>
          <w:rtl/>
        </w:rPr>
        <w:t>"מן טפיחה"</w:t>
      </w:r>
      <w:r>
        <w:rPr>
          <w:rFonts w:cs="David" w:hint="cs"/>
          <w:sz w:val="28"/>
          <w:rtl/>
        </w:rPr>
        <w:t xml:space="preserve"> של אדם שמנסה לפנות לעצמו דרך (שם, ש' 1-3):</w:t>
      </w:r>
    </w:p>
    <w:p w14:paraId="551E3892" w14:textId="77777777" w:rsidR="00B1022C" w:rsidRDefault="00B1022C">
      <w:pPr>
        <w:spacing w:line="360" w:lineRule="auto"/>
        <w:ind w:right="142"/>
        <w:rPr>
          <w:rFonts w:cs="David" w:hint="cs"/>
          <w:sz w:val="28"/>
          <w:rtl/>
        </w:rPr>
      </w:pPr>
      <w:r>
        <w:rPr>
          <w:rFonts w:cs="David" w:hint="cs"/>
          <w:b/>
          <w:bCs/>
          <w:sz w:val="28"/>
          <w:rtl/>
        </w:rPr>
        <w:t>"הוא עמד כשהוא נשען על הקיר, לא היה בידיו שום דבר והוא לא פילס דרך, הוא היה שעון אל הקיר, נקודה. ואני זוכרת את זה כאילו זה היה אתמול"</w:t>
      </w:r>
      <w:r>
        <w:rPr>
          <w:rFonts w:cs="David" w:hint="cs"/>
          <w:sz w:val="28"/>
          <w:rtl/>
        </w:rPr>
        <w:t xml:space="preserve"> (שם, ש' 5-7).</w:t>
      </w:r>
      <w:r>
        <w:rPr>
          <w:rFonts w:cs="David"/>
          <w:color w:val="FFFFFF"/>
          <w:sz w:val="4"/>
          <w:szCs w:val="4"/>
          <w:rtl/>
        </w:rPr>
        <w:t>ב</w:t>
      </w:r>
    </w:p>
    <w:p w14:paraId="036D26F6" w14:textId="77777777" w:rsidR="00B1022C" w:rsidRDefault="00B1022C">
      <w:pPr>
        <w:spacing w:line="360" w:lineRule="auto"/>
        <w:ind w:right="142"/>
        <w:rPr>
          <w:rFonts w:cs="David" w:hint="cs"/>
          <w:sz w:val="28"/>
          <w:rtl/>
        </w:rPr>
      </w:pPr>
    </w:p>
    <w:p w14:paraId="0D7C70C1" w14:textId="77777777" w:rsidR="00B1022C" w:rsidRDefault="00B1022C">
      <w:pPr>
        <w:spacing w:line="360" w:lineRule="auto"/>
        <w:ind w:right="142"/>
        <w:rPr>
          <w:rFonts w:cs="David" w:hint="cs"/>
          <w:sz w:val="28"/>
          <w:rtl/>
        </w:rPr>
      </w:pPr>
      <w:r>
        <w:rPr>
          <w:rFonts w:cs="David" w:hint="cs"/>
          <w:sz w:val="28"/>
          <w:rtl/>
        </w:rPr>
        <w:t>גם ניסיונו של הסנגור להפריך את גרסת המתלוננת בהצביעו בפניה על התנסחויותיה השונות בהזדמנויות שונות (בפני העד ישראלי, מנהל האולם, בפני הנאשם, ובחקירה במשטרה בביטוי אחר) בתיאור מעשהו של הנאשם - לא צלח.</w:t>
      </w:r>
      <w:r>
        <w:rPr>
          <w:rFonts w:cs="David"/>
          <w:color w:val="FFFFFF"/>
          <w:sz w:val="4"/>
          <w:szCs w:val="4"/>
          <w:rtl/>
        </w:rPr>
        <w:t>ו</w:t>
      </w:r>
    </w:p>
    <w:p w14:paraId="79FE573A" w14:textId="77777777" w:rsidR="00B1022C" w:rsidRDefault="00B1022C">
      <w:pPr>
        <w:spacing w:line="360" w:lineRule="auto"/>
        <w:ind w:right="142"/>
        <w:rPr>
          <w:rFonts w:cs="David" w:hint="cs"/>
          <w:sz w:val="28"/>
          <w:rtl/>
        </w:rPr>
      </w:pPr>
      <w:r>
        <w:rPr>
          <w:rFonts w:cs="David" w:hint="cs"/>
          <w:sz w:val="28"/>
          <w:rtl/>
        </w:rPr>
        <w:t>המתלוננת לא נכנעה לעורמת השאלה, וכשהיא עוטה ביטחון נחרץ התייחסה באורח מושכל לכל הביטויים שהזכיר הסנגור, "אחז", "תפס", או, "חבט", והבהירה שהקושי בתיאור הפעולה, אשר נמשכה זמן קצר בלבד, גרם לה להדגים פיזית, במהלך העדות הראשית, את טיב המעשה, וכך עשתה (עמ' 6, ש' 16-17).</w:t>
      </w:r>
      <w:r>
        <w:rPr>
          <w:rFonts w:cs="David"/>
          <w:color w:val="FFFFFF"/>
          <w:sz w:val="4"/>
          <w:szCs w:val="4"/>
          <w:rtl/>
        </w:rPr>
        <w:t>נ</w:t>
      </w:r>
    </w:p>
    <w:p w14:paraId="2D655856" w14:textId="77777777" w:rsidR="00B1022C" w:rsidRDefault="00B1022C">
      <w:pPr>
        <w:spacing w:line="360" w:lineRule="auto"/>
        <w:ind w:right="142"/>
        <w:rPr>
          <w:rFonts w:cs="David" w:hint="cs"/>
          <w:sz w:val="28"/>
          <w:rtl/>
        </w:rPr>
      </w:pPr>
    </w:p>
    <w:p w14:paraId="23FAB648" w14:textId="77777777" w:rsidR="00B1022C" w:rsidRDefault="00B1022C">
      <w:pPr>
        <w:spacing w:line="360" w:lineRule="auto"/>
        <w:ind w:right="142"/>
        <w:rPr>
          <w:rFonts w:cs="David" w:hint="cs"/>
          <w:sz w:val="28"/>
          <w:rtl/>
        </w:rPr>
      </w:pPr>
      <w:r>
        <w:rPr>
          <w:rFonts w:cs="David" w:hint="cs"/>
          <w:sz w:val="28"/>
          <w:rtl/>
        </w:rPr>
        <w:t>יוער בהקשר זה, בכל הנוגע לעדותו של מנהל האולם, העד ישראלי, כי בהתייחסו (בעדות הראשית) לתלונת המתלוננת לפניו באותו ערב, לא נקט העד בביטוי כלשהו שהשתמשה בו המתלוננת, אלא הסביר שהמתלוננת הדגימה לפניו את מעשהו של הנאשם - נגיעה בעכוזה (עמ' 3, ש' 9-10).</w:t>
      </w:r>
      <w:r>
        <w:rPr>
          <w:rFonts w:cs="David"/>
          <w:color w:val="FFFFFF"/>
          <w:sz w:val="4"/>
          <w:szCs w:val="4"/>
          <w:rtl/>
        </w:rPr>
        <w:t>ב</w:t>
      </w:r>
    </w:p>
    <w:p w14:paraId="642FB63B" w14:textId="77777777" w:rsidR="00B1022C" w:rsidRDefault="00B1022C">
      <w:pPr>
        <w:spacing w:line="360" w:lineRule="auto"/>
        <w:ind w:right="142"/>
        <w:rPr>
          <w:rFonts w:cs="David" w:hint="cs"/>
          <w:sz w:val="28"/>
          <w:rtl/>
        </w:rPr>
      </w:pPr>
      <w:r>
        <w:rPr>
          <w:rFonts w:cs="David" w:hint="cs"/>
          <w:sz w:val="28"/>
          <w:rtl/>
        </w:rPr>
        <w:t xml:space="preserve">בחקירתו הנגדית לא נשאל מנהל האולם ולא אמר מהו הביטוי המילולי בו השתמשה המתלוננת, אם בכלל, לתיאור המעשה. </w:t>
      </w:r>
    </w:p>
    <w:p w14:paraId="156ED99E" w14:textId="77777777" w:rsidR="00B1022C" w:rsidRDefault="00B1022C">
      <w:pPr>
        <w:spacing w:line="360" w:lineRule="auto"/>
        <w:ind w:right="142"/>
        <w:rPr>
          <w:rFonts w:cs="David" w:hint="cs"/>
          <w:sz w:val="28"/>
          <w:rtl/>
        </w:rPr>
      </w:pPr>
      <w:r>
        <w:rPr>
          <w:rFonts w:cs="David" w:hint="cs"/>
          <w:sz w:val="28"/>
          <w:rtl/>
        </w:rPr>
        <w:t>באלה - תמיכה של ממש לעדות המתלוננת ולמהימנותה.</w:t>
      </w:r>
      <w:r>
        <w:rPr>
          <w:rFonts w:cs="David"/>
          <w:color w:val="FFFFFF"/>
          <w:sz w:val="4"/>
          <w:szCs w:val="4"/>
          <w:rtl/>
        </w:rPr>
        <w:t>ו</w:t>
      </w:r>
    </w:p>
    <w:p w14:paraId="589F3041" w14:textId="77777777" w:rsidR="00B1022C" w:rsidRDefault="00B1022C">
      <w:pPr>
        <w:spacing w:line="360" w:lineRule="auto"/>
        <w:ind w:right="142"/>
        <w:rPr>
          <w:rFonts w:cs="David" w:hint="cs"/>
          <w:sz w:val="28"/>
          <w:rtl/>
        </w:rPr>
      </w:pPr>
    </w:p>
    <w:p w14:paraId="6E0B0DBE" w14:textId="77777777" w:rsidR="00B1022C" w:rsidRDefault="00B1022C">
      <w:pPr>
        <w:spacing w:line="360" w:lineRule="auto"/>
        <w:ind w:right="142"/>
        <w:rPr>
          <w:rFonts w:cs="David" w:hint="cs"/>
          <w:sz w:val="28"/>
          <w:rtl/>
        </w:rPr>
      </w:pPr>
      <w:r>
        <w:rPr>
          <w:rFonts w:cs="David" w:hint="cs"/>
          <w:sz w:val="28"/>
          <w:rtl/>
        </w:rPr>
        <w:t xml:space="preserve">העקביות העולה מדברי המתלוננת מחזקת את עוצמת גרסתה ואמינותה. ולא מיותר להזכיר כי בעימות שערך </w:t>
      </w:r>
      <w:r>
        <w:rPr>
          <w:rFonts w:cs="David" w:hint="cs"/>
          <w:b/>
          <w:bCs/>
          <w:sz w:val="28"/>
          <w:rtl/>
        </w:rPr>
        <w:t>רס"ר משה מטיס</w:t>
      </w:r>
      <w:r>
        <w:rPr>
          <w:rFonts w:cs="David" w:hint="cs"/>
          <w:sz w:val="28"/>
          <w:rtl/>
        </w:rPr>
        <w:t xml:space="preserve"> בין הנאשם למתלוננת, היא חזרה והטיחה בנאשם את גרסתה לפיה הוא הושיט את ידו השמאלית ותפס בישבנה (ראו: דו"ח העימות </w:t>
      </w:r>
      <w:r>
        <w:rPr>
          <w:rFonts w:cs="David" w:hint="cs"/>
          <w:b/>
          <w:bCs/>
          <w:sz w:val="28"/>
          <w:rtl/>
        </w:rPr>
        <w:t>ת/2</w:t>
      </w:r>
      <w:r>
        <w:rPr>
          <w:rFonts w:cs="David" w:hint="cs"/>
          <w:sz w:val="28"/>
          <w:rtl/>
        </w:rPr>
        <w:t xml:space="preserve">). בתשובה לדברי הנאשם (בעימות) שהחזיק אותה שעה שני בקבוקים, אמרה לו המתלוננת: </w:t>
      </w:r>
      <w:r>
        <w:rPr>
          <w:rFonts w:cs="David" w:hint="cs"/>
          <w:b/>
          <w:bCs/>
          <w:sz w:val="28"/>
          <w:rtl/>
        </w:rPr>
        <w:t>"לא היו לך בקבוקים, הידיים שלך היו חופשיות לחלוטין, ותפסת לי את הישבן בכוונה, ואתה צריך טיפול"</w:t>
      </w:r>
      <w:r>
        <w:rPr>
          <w:rFonts w:cs="David" w:hint="cs"/>
          <w:sz w:val="28"/>
          <w:rtl/>
        </w:rPr>
        <w:t>.</w:t>
      </w:r>
    </w:p>
    <w:p w14:paraId="391B33F3" w14:textId="77777777" w:rsidR="00B1022C" w:rsidRDefault="00B1022C">
      <w:pPr>
        <w:spacing w:line="360" w:lineRule="auto"/>
        <w:ind w:right="142"/>
        <w:rPr>
          <w:rFonts w:cs="David" w:hint="cs"/>
          <w:sz w:val="28"/>
          <w:rtl/>
        </w:rPr>
      </w:pPr>
    </w:p>
    <w:p w14:paraId="63A4C9EA" w14:textId="77777777" w:rsidR="00B1022C" w:rsidRDefault="00B1022C">
      <w:pPr>
        <w:spacing w:line="360" w:lineRule="auto"/>
        <w:ind w:right="142"/>
        <w:rPr>
          <w:rFonts w:cs="David" w:hint="cs"/>
          <w:sz w:val="28"/>
          <w:rtl/>
        </w:rPr>
      </w:pPr>
      <w:r>
        <w:rPr>
          <w:rFonts w:cs="David" w:hint="cs"/>
          <w:sz w:val="28"/>
          <w:rtl/>
        </w:rPr>
        <w:t>הסנגור עצמו לא התעלם מהכנות שבה מסרה המתלוננת את עדותה. למרות סברתו כי קיימים הבדלים דקים בין הגרסאות שמסרה המתלוננת בחקירה ובבית-המשפט, ציין הסנגור בסיכומיו שלהתרשמותו לא שיקרה המתלוננת; את גרסתה המפלילה הסביר הסנגור ברגישותה היתרה, ובפרשנות מוטעית שפירשה המתלוננת את "היתקלותו" האקראית של הנאשם בה במעבר הצר שבין השולחנות.</w:t>
      </w:r>
    </w:p>
    <w:p w14:paraId="43E311A4" w14:textId="77777777" w:rsidR="00B1022C" w:rsidRDefault="00B1022C">
      <w:pPr>
        <w:spacing w:line="360" w:lineRule="auto"/>
        <w:ind w:right="142"/>
        <w:rPr>
          <w:rFonts w:cs="David" w:hint="cs"/>
          <w:sz w:val="28"/>
          <w:rtl/>
        </w:rPr>
      </w:pPr>
      <w:r>
        <w:rPr>
          <w:rFonts w:cs="David" w:hint="cs"/>
          <w:sz w:val="28"/>
          <w:rtl/>
        </w:rPr>
        <w:t>גם הנאשם אמר בעדותו, בגילוי לב ראוי לציון, כי המתלוננת איננה משקרת (עמ' 11, ש' 21); עם זאת, טען, המכה שנתן לה הייתה עם הבקבוקים שהחזיק.</w:t>
      </w:r>
    </w:p>
    <w:p w14:paraId="79288F2D" w14:textId="77777777" w:rsidR="00B1022C" w:rsidRDefault="00B1022C">
      <w:pPr>
        <w:spacing w:line="360" w:lineRule="auto"/>
        <w:ind w:right="142"/>
        <w:rPr>
          <w:rFonts w:cs="David" w:hint="cs"/>
          <w:sz w:val="28"/>
          <w:rtl/>
        </w:rPr>
      </w:pPr>
    </w:p>
    <w:p w14:paraId="24099FF2" w14:textId="77777777" w:rsidR="00B1022C" w:rsidRDefault="00B1022C">
      <w:pPr>
        <w:spacing w:line="360" w:lineRule="auto"/>
        <w:ind w:right="142"/>
        <w:rPr>
          <w:rFonts w:cs="David" w:hint="cs"/>
          <w:sz w:val="28"/>
          <w:rtl/>
        </w:rPr>
      </w:pPr>
      <w:r>
        <w:rPr>
          <w:rFonts w:cs="David" w:hint="cs"/>
          <w:sz w:val="28"/>
          <w:rtl/>
        </w:rPr>
        <w:t>נוכח מכלול הנימוקים והנסיבות שציינתי ותיארתי, נוכח התרשמותי מהמתלוננת, נוכח הסערה בה הייתה נתונה בעקבות המעשה, כפי שהוכח לפניי (כעולה מעדותה, ומעדויות הנאשם והעד בנימין ישראלי), הייתה המתלוננת אמינה עליי, ואמינותה משתרעת על כל פרקי גרסתה, הווי אומר: אמינים עלי דברי המתלוננת כי בחולפה על פני הנאשם הוא הושיט את ידו ותפס בישבנה השמאלי וכי נסערה מהמעשה; אמינה עלי גם ההכחשה שהכחישה המתלוננת כי מדובר ב"היתקלות" אקראית מחוסרת כוונת זדון.</w:t>
      </w:r>
    </w:p>
    <w:p w14:paraId="2049BE4A" w14:textId="77777777" w:rsidR="00B1022C" w:rsidRDefault="00B1022C">
      <w:pPr>
        <w:spacing w:line="360" w:lineRule="auto"/>
        <w:ind w:right="142"/>
        <w:rPr>
          <w:rFonts w:ascii="Arial" w:hAnsi="Arial" w:cs="David" w:hint="cs"/>
          <w:sz w:val="28"/>
          <w:rtl/>
        </w:rPr>
      </w:pPr>
    </w:p>
    <w:p w14:paraId="4815D946" w14:textId="77777777" w:rsidR="00B1022C" w:rsidRDefault="00B1022C">
      <w:pPr>
        <w:spacing w:line="360" w:lineRule="auto"/>
        <w:ind w:right="142"/>
        <w:rPr>
          <w:rFonts w:ascii="Arial" w:hAnsi="Arial" w:cs="David" w:hint="cs"/>
          <w:sz w:val="28"/>
          <w:rtl/>
        </w:rPr>
      </w:pPr>
      <w:r>
        <w:rPr>
          <w:rFonts w:ascii="Arial" w:hAnsi="Arial" w:cs="David" w:hint="cs"/>
          <w:sz w:val="28"/>
          <w:rtl/>
        </w:rPr>
        <w:t>די היה, למעשה, באמון הבלתי מסויג שהבעתי בעדות המתלוננת, כמפורט לעיל, כדי לקבוע כי האישום הוכח מעבר לכל ספק סביר.</w:t>
      </w:r>
    </w:p>
    <w:p w14:paraId="093D3BB5" w14:textId="77777777" w:rsidR="00B1022C" w:rsidRDefault="00B1022C">
      <w:pPr>
        <w:spacing w:line="360" w:lineRule="auto"/>
        <w:ind w:right="142"/>
        <w:rPr>
          <w:rFonts w:cs="David" w:hint="cs"/>
          <w:sz w:val="28"/>
          <w:rtl/>
        </w:rPr>
      </w:pPr>
      <w:r>
        <w:rPr>
          <w:rFonts w:ascii="Arial" w:hAnsi="Arial" w:cs="David" w:hint="cs"/>
          <w:sz w:val="28"/>
          <w:rtl/>
        </w:rPr>
        <w:t>באה עדות הנאשם, ותמכה במסקנותי. שכן, למרות הכחשתו את האישום, ולמרות שדבק בהכחשה זו עוד</w:t>
      </w:r>
      <w:r>
        <w:rPr>
          <w:rFonts w:cs="David" w:hint="cs"/>
          <w:sz w:val="28"/>
          <w:rtl/>
        </w:rPr>
        <w:t xml:space="preserve"> בחקירתו במשטרה ובעימות שעומת עם המתלוננת; הגעתי למסקנה, מנימוקים שאפרט, כי גרסתו איננה ראויה לאמון.</w:t>
      </w:r>
    </w:p>
    <w:p w14:paraId="0D284A1A" w14:textId="77777777" w:rsidR="00B1022C" w:rsidRDefault="00B1022C">
      <w:pPr>
        <w:spacing w:line="360" w:lineRule="auto"/>
        <w:ind w:right="142"/>
        <w:rPr>
          <w:rFonts w:cs="David" w:hint="cs"/>
          <w:sz w:val="28"/>
          <w:rtl/>
        </w:rPr>
      </w:pPr>
    </w:p>
    <w:p w14:paraId="5DAF7586" w14:textId="77777777" w:rsidR="00B1022C" w:rsidRDefault="00B1022C">
      <w:pPr>
        <w:spacing w:line="360" w:lineRule="auto"/>
        <w:ind w:right="142"/>
        <w:rPr>
          <w:rFonts w:cs="David" w:hint="cs"/>
          <w:sz w:val="28"/>
          <w:rtl/>
        </w:rPr>
      </w:pPr>
      <w:r>
        <w:rPr>
          <w:rFonts w:cs="David" w:hint="cs"/>
          <w:sz w:val="28"/>
          <w:rtl/>
        </w:rPr>
        <w:t>אודה כי הנאשם עורר בי למן ההתחלה רושם חיובי, כאדם מן הישוב, איש עמל, שאיננו מתוחכם או ערמומי, ואיננו מתחבל תחבולות.</w:t>
      </w:r>
    </w:p>
    <w:p w14:paraId="2F3C8AB8" w14:textId="77777777" w:rsidR="00B1022C" w:rsidRDefault="00B1022C">
      <w:pPr>
        <w:spacing w:line="360" w:lineRule="auto"/>
        <w:ind w:right="142"/>
        <w:rPr>
          <w:rFonts w:cs="David" w:hint="cs"/>
          <w:sz w:val="28"/>
          <w:rtl/>
        </w:rPr>
      </w:pPr>
      <w:r>
        <w:rPr>
          <w:rFonts w:cs="David" w:hint="cs"/>
          <w:sz w:val="28"/>
          <w:rtl/>
        </w:rPr>
        <w:t xml:space="preserve">הבאתי מלכתחילה בכלל חשבון את האפשרות שהנאשם נקלע לאירוע באקראי, כטענתו, ללא כוונת זדון. </w:t>
      </w:r>
    </w:p>
    <w:p w14:paraId="40A2840B" w14:textId="77777777" w:rsidR="00B1022C" w:rsidRDefault="00B1022C">
      <w:pPr>
        <w:spacing w:line="360" w:lineRule="auto"/>
        <w:ind w:right="142"/>
        <w:rPr>
          <w:rFonts w:cs="David" w:hint="cs"/>
          <w:sz w:val="28"/>
          <w:rtl/>
        </w:rPr>
      </w:pPr>
      <w:r>
        <w:rPr>
          <w:rFonts w:cs="David" w:hint="cs"/>
          <w:sz w:val="28"/>
          <w:rtl/>
        </w:rPr>
        <w:t xml:space="preserve">באה עדותו והפכה את הקערה על פיה. שכן, השוואת הגרסה שמסר הנאשם בעדותו, לפיה, פגע במתלוננת כנראה עם שני הבקבוקים שהחזיק, שונה מאוד מהגרסה שמסר במשטרה, ולפיה, עת עבר במעבר עם שני בקבוקי מים מינרלים, הוא </w:t>
      </w:r>
      <w:r>
        <w:rPr>
          <w:rFonts w:cs="David" w:hint="cs"/>
          <w:b/>
          <w:bCs/>
          <w:sz w:val="28"/>
          <w:rtl/>
        </w:rPr>
        <w:t xml:space="preserve">פגע בלי כוונה עם הרגל בתיק שלה </w:t>
      </w:r>
      <w:r>
        <w:rPr>
          <w:rFonts w:cs="David" w:hint="cs"/>
          <w:sz w:val="28"/>
          <w:rtl/>
        </w:rPr>
        <w:t>(ת/1, ש' 4).</w:t>
      </w:r>
    </w:p>
    <w:p w14:paraId="35B0739C" w14:textId="77777777" w:rsidR="00B1022C" w:rsidRDefault="00B1022C">
      <w:pPr>
        <w:spacing w:line="360" w:lineRule="auto"/>
        <w:ind w:right="142"/>
        <w:rPr>
          <w:rFonts w:cs="David" w:hint="cs"/>
          <w:sz w:val="28"/>
          <w:rtl/>
        </w:rPr>
      </w:pPr>
      <w:r>
        <w:rPr>
          <w:rFonts w:cs="David" w:hint="cs"/>
          <w:sz w:val="28"/>
          <w:rtl/>
        </w:rPr>
        <w:t xml:space="preserve">ייאמר, כי בעימות שנערך בינו לבין המתלוננת ב-18.6.03, טען הנאשם כי יתכן שבעודו חולף מול המתלוננת, כששני בקבוקים בידיו, </w:t>
      </w:r>
      <w:r>
        <w:rPr>
          <w:rFonts w:cs="David" w:hint="cs"/>
          <w:b/>
          <w:bCs/>
          <w:sz w:val="28"/>
          <w:rtl/>
        </w:rPr>
        <w:t xml:space="preserve">"נתן לה מכה בלי כוונה בצד" </w:t>
      </w:r>
      <w:r>
        <w:rPr>
          <w:rFonts w:cs="David" w:hint="cs"/>
          <w:sz w:val="28"/>
          <w:rtl/>
        </w:rPr>
        <w:t xml:space="preserve">(ת/2). </w:t>
      </w:r>
    </w:p>
    <w:p w14:paraId="4D500ACD" w14:textId="77777777" w:rsidR="00B1022C" w:rsidRDefault="00B1022C">
      <w:pPr>
        <w:spacing w:line="360" w:lineRule="auto"/>
        <w:ind w:right="142"/>
        <w:rPr>
          <w:rFonts w:cs="David" w:hint="cs"/>
          <w:sz w:val="28"/>
          <w:rtl/>
        </w:rPr>
      </w:pPr>
      <w:r>
        <w:rPr>
          <w:rFonts w:cs="David" w:hint="cs"/>
          <w:sz w:val="28"/>
          <w:rtl/>
        </w:rPr>
        <w:t xml:space="preserve">בשונה מגרסת הנאשם, סיפר העד ישראלי, כי בעת הבירור שערך מיד לאחר האירוע טען הנאשם לפניו כי </w:t>
      </w:r>
      <w:r>
        <w:rPr>
          <w:rFonts w:cs="David" w:hint="cs"/>
          <w:b/>
          <w:bCs/>
          <w:sz w:val="28"/>
          <w:rtl/>
        </w:rPr>
        <w:t xml:space="preserve">"דחף אותה </w:t>
      </w:r>
      <w:r>
        <w:rPr>
          <w:rFonts w:cs="David" w:hint="cs"/>
          <w:sz w:val="28"/>
          <w:rtl/>
        </w:rPr>
        <w:t xml:space="preserve">(את המתלוננת - ד"ש) </w:t>
      </w:r>
      <w:r>
        <w:rPr>
          <w:rFonts w:cs="David" w:hint="cs"/>
          <w:b/>
          <w:bCs/>
          <w:sz w:val="28"/>
          <w:rtl/>
        </w:rPr>
        <w:t>תוך כדי עבודה"</w:t>
      </w:r>
      <w:r>
        <w:rPr>
          <w:rFonts w:cs="David" w:hint="cs"/>
          <w:sz w:val="28"/>
          <w:rtl/>
        </w:rPr>
        <w:t xml:space="preserve"> (עמ' 3, ש' 19). </w:t>
      </w:r>
    </w:p>
    <w:p w14:paraId="12BB403A" w14:textId="77777777" w:rsidR="00B1022C" w:rsidRDefault="00B1022C">
      <w:pPr>
        <w:spacing w:line="360" w:lineRule="auto"/>
        <w:ind w:right="142"/>
        <w:rPr>
          <w:rFonts w:cs="David" w:hint="cs"/>
          <w:sz w:val="28"/>
          <w:rtl/>
        </w:rPr>
      </w:pPr>
    </w:p>
    <w:p w14:paraId="349BBE2C" w14:textId="77777777" w:rsidR="00B1022C" w:rsidRDefault="00B1022C">
      <w:pPr>
        <w:spacing w:line="360" w:lineRule="auto"/>
        <w:ind w:right="142"/>
        <w:rPr>
          <w:rFonts w:cs="David" w:hint="cs"/>
          <w:b/>
          <w:bCs/>
          <w:sz w:val="28"/>
          <w:rtl/>
        </w:rPr>
      </w:pPr>
      <w:r>
        <w:rPr>
          <w:rFonts w:cs="David" w:hint="cs"/>
          <w:sz w:val="28"/>
          <w:rtl/>
        </w:rPr>
        <w:t xml:space="preserve">בכך לא תמו הסתירות ואי הסבירויות בגרסת הנאשם; שכן, בהתייחסו לשיחה שקיים עם המתלוננת במקום, מיד לאחר האירוע, טען הנאשם (בחקירתו במשטרה) שהמתלוננת התלוננה כי נתן לה מכה ברגל, והביע בהודעתו תמיהה מדוע היא </w:t>
      </w:r>
      <w:r>
        <w:rPr>
          <w:rFonts w:cs="David" w:hint="cs"/>
          <w:b/>
          <w:bCs/>
          <w:sz w:val="28"/>
          <w:rtl/>
        </w:rPr>
        <w:t>"הופכת את זה ל(מכה ב)ישבן"</w:t>
      </w:r>
      <w:r>
        <w:rPr>
          <w:rFonts w:cs="David" w:hint="cs"/>
          <w:sz w:val="28"/>
          <w:rtl/>
        </w:rPr>
        <w:t xml:space="preserve"> (ת/1, ש' 6-7); ואילו בעדותו לפניי "נעלמה" ה"מכה ברגל", והנאשם העיד שלמשמע אמירתו </w:t>
      </w:r>
      <w:r>
        <w:rPr>
          <w:rFonts w:cs="David" w:hint="cs"/>
          <w:b/>
          <w:bCs/>
          <w:sz w:val="28"/>
          <w:rtl/>
        </w:rPr>
        <w:t>"אני לא משכתי לך בתיק, אני רב המלצרים"</w:t>
      </w:r>
      <w:r>
        <w:rPr>
          <w:rFonts w:cs="David" w:hint="cs"/>
          <w:sz w:val="28"/>
          <w:rtl/>
        </w:rPr>
        <w:t xml:space="preserve">, השיבה לו המתלוננת בו במקום: </w:t>
      </w:r>
      <w:r>
        <w:rPr>
          <w:rFonts w:cs="David" w:hint="cs"/>
          <w:b/>
          <w:bCs/>
          <w:sz w:val="28"/>
          <w:rtl/>
        </w:rPr>
        <w:t xml:space="preserve">"לא בתיק, נתת לי טפיחה" </w:t>
      </w:r>
      <w:r>
        <w:rPr>
          <w:rFonts w:cs="David" w:hint="cs"/>
          <w:sz w:val="28"/>
          <w:rtl/>
        </w:rPr>
        <w:t xml:space="preserve">(עמ' 12, ש' 10), והודה בחקירה הנגדית שהמתלוננת אמרה מפורשות כי נתן לה טפיחה בישבן (עמ' 14, ש' 1-5).  </w:t>
      </w:r>
      <w:r>
        <w:rPr>
          <w:rFonts w:cs="David" w:hint="cs"/>
          <w:b/>
          <w:bCs/>
          <w:sz w:val="28"/>
          <w:rtl/>
        </w:rPr>
        <w:t xml:space="preserve"> </w:t>
      </w:r>
    </w:p>
    <w:p w14:paraId="55DB744D" w14:textId="77777777" w:rsidR="00B1022C" w:rsidRDefault="00B1022C">
      <w:pPr>
        <w:spacing w:line="360" w:lineRule="auto"/>
        <w:ind w:right="142"/>
        <w:rPr>
          <w:rFonts w:cs="David" w:hint="cs"/>
          <w:sz w:val="28"/>
          <w:rtl/>
        </w:rPr>
      </w:pPr>
      <w:r>
        <w:rPr>
          <w:rFonts w:cs="David" w:hint="cs"/>
          <w:sz w:val="28"/>
          <w:rtl/>
        </w:rPr>
        <w:t>הנאשם עומת עם הפער בין הגרסאות שמסר, אלא שהסברו (עמ' 14, ש' 6-11) הוא הסבר דחוק שאיננו מבהיר את הסתירה.</w:t>
      </w:r>
    </w:p>
    <w:p w14:paraId="5F099167" w14:textId="77777777" w:rsidR="00B1022C" w:rsidRDefault="00B1022C">
      <w:pPr>
        <w:spacing w:line="360" w:lineRule="auto"/>
        <w:ind w:right="142"/>
        <w:rPr>
          <w:rFonts w:cs="David" w:hint="cs"/>
          <w:sz w:val="28"/>
          <w:rtl/>
        </w:rPr>
      </w:pPr>
    </w:p>
    <w:p w14:paraId="0D1BF7AF" w14:textId="77777777" w:rsidR="00B1022C" w:rsidRDefault="00B1022C">
      <w:pPr>
        <w:spacing w:line="360" w:lineRule="auto"/>
        <w:ind w:right="142"/>
        <w:rPr>
          <w:rFonts w:cs="David" w:hint="cs"/>
          <w:sz w:val="28"/>
          <w:rtl/>
        </w:rPr>
      </w:pPr>
      <w:r>
        <w:rPr>
          <w:rFonts w:cs="David" w:hint="cs"/>
          <w:sz w:val="28"/>
          <w:rtl/>
        </w:rPr>
        <w:t xml:space="preserve">גם לא מצאתי הקשר הגיוני בין הסברו של הנאשם לפיו </w:t>
      </w:r>
      <w:r>
        <w:rPr>
          <w:rFonts w:cs="David" w:hint="cs"/>
          <w:b/>
          <w:bCs/>
          <w:sz w:val="28"/>
          <w:rtl/>
        </w:rPr>
        <w:t>"אולי תוך כדי העבודה, כשאני עובר עם מגש אני חייב להזיז את האנשים כי אחרת אי-אפשר לעבור"</w:t>
      </w:r>
      <w:r>
        <w:rPr>
          <w:rFonts w:cs="David" w:hint="cs"/>
          <w:sz w:val="28"/>
          <w:rtl/>
        </w:rPr>
        <w:t xml:space="preserve"> (עמ' 12, ש' 1-2, הסבר עליו חזר גם בעמ' 13, ש' 2-3), לבין טענתו </w:t>
      </w:r>
      <w:r>
        <w:rPr>
          <w:rFonts w:cs="David" w:hint="cs"/>
          <w:b/>
          <w:bCs/>
          <w:sz w:val="28"/>
          <w:rtl/>
        </w:rPr>
        <w:t>"כנראה נכנסתי בה ונתתי לה מכה עם הבקבוקים. נתתי לה מכה"</w:t>
      </w:r>
      <w:r>
        <w:rPr>
          <w:rFonts w:cs="David" w:hint="cs"/>
          <w:sz w:val="28"/>
          <w:rtl/>
        </w:rPr>
        <w:t xml:space="preserve"> (עמ' 12, ש' 3).</w:t>
      </w:r>
    </w:p>
    <w:p w14:paraId="04F9B132" w14:textId="77777777" w:rsidR="00B1022C" w:rsidRDefault="00B1022C">
      <w:pPr>
        <w:spacing w:line="360" w:lineRule="auto"/>
        <w:ind w:right="142"/>
        <w:rPr>
          <w:rFonts w:cs="David" w:hint="cs"/>
          <w:sz w:val="28"/>
          <w:rtl/>
        </w:rPr>
      </w:pPr>
    </w:p>
    <w:p w14:paraId="7A0F7C9D" w14:textId="77777777" w:rsidR="00B1022C" w:rsidRDefault="00B1022C">
      <w:pPr>
        <w:spacing w:line="360" w:lineRule="auto"/>
        <w:ind w:right="142"/>
        <w:rPr>
          <w:rFonts w:cs="David" w:hint="cs"/>
          <w:sz w:val="28"/>
          <w:rtl/>
        </w:rPr>
      </w:pPr>
      <w:r>
        <w:rPr>
          <w:rFonts w:cs="David" w:hint="cs"/>
          <w:sz w:val="28"/>
          <w:rtl/>
        </w:rPr>
        <w:t>לא זאת אף זאת; טענת הנאשם כי חלף על פני המתלוננת בשעה שיצא מהמטבח וכי הבקבוקים שהחזיק פגעו כנראה בישבנה, איננה עומדת במבחן ההגיון והסבירות, בהתחשב במיוחד במקום ההתרחשות שסימן הנאשם בתשריט נ/2 (הסימון באדום). שכן, אין זה מתקבל על הדעת שהנאשם "נתקל" באקראי ופגע עם הבקבוקים בישבנה השמאלי של המתלוננת אשר באה למולו.</w:t>
      </w:r>
    </w:p>
    <w:p w14:paraId="3F2C8EBE" w14:textId="77777777" w:rsidR="00B1022C" w:rsidRDefault="00B1022C">
      <w:pPr>
        <w:spacing w:line="360" w:lineRule="auto"/>
        <w:ind w:right="142"/>
        <w:rPr>
          <w:rFonts w:cs="David" w:hint="cs"/>
          <w:sz w:val="28"/>
          <w:rtl/>
        </w:rPr>
      </w:pPr>
    </w:p>
    <w:p w14:paraId="2B6CE4AB" w14:textId="77777777" w:rsidR="00B1022C" w:rsidRDefault="00B1022C">
      <w:pPr>
        <w:spacing w:line="360" w:lineRule="auto"/>
        <w:ind w:right="142"/>
        <w:rPr>
          <w:rFonts w:cs="David" w:hint="cs"/>
          <w:sz w:val="28"/>
          <w:rtl/>
        </w:rPr>
      </w:pPr>
      <w:r>
        <w:rPr>
          <w:rFonts w:cs="David" w:hint="cs"/>
          <w:sz w:val="28"/>
          <w:rtl/>
        </w:rPr>
        <w:t>אני דוחה את גרסת הנאשם כבלתי מהימנה.</w:t>
      </w:r>
    </w:p>
    <w:p w14:paraId="0B8D3F34" w14:textId="77777777" w:rsidR="00B1022C" w:rsidRDefault="00B1022C">
      <w:pPr>
        <w:spacing w:line="360" w:lineRule="auto"/>
        <w:ind w:right="142"/>
        <w:rPr>
          <w:rFonts w:cs="David" w:hint="cs"/>
          <w:sz w:val="28"/>
          <w:rtl/>
        </w:rPr>
      </w:pPr>
      <w:r>
        <w:rPr>
          <w:rFonts w:cs="David" w:hint="cs"/>
          <w:sz w:val="28"/>
          <w:rtl/>
        </w:rPr>
        <w:t>הוא הדין בעדותו של ליאוניד. זו האחרונה אמורה הייתה לתמוך ראייתית בגרסת הנאשם. אלא שלא כך ארע.</w:t>
      </w:r>
    </w:p>
    <w:p w14:paraId="44BE6184" w14:textId="77777777" w:rsidR="00B1022C" w:rsidRDefault="00B1022C">
      <w:pPr>
        <w:pStyle w:val="BodyText"/>
        <w:spacing w:line="360" w:lineRule="auto"/>
        <w:ind w:right="142"/>
        <w:rPr>
          <w:rFonts w:hint="cs"/>
          <w:b w:val="0"/>
          <w:bCs w:val="0"/>
          <w:sz w:val="28"/>
          <w:szCs w:val="26"/>
          <w:rtl/>
        </w:rPr>
      </w:pPr>
    </w:p>
    <w:p w14:paraId="56AFE490" w14:textId="77777777" w:rsidR="00B1022C" w:rsidRDefault="00B1022C">
      <w:pPr>
        <w:pStyle w:val="BodyText"/>
        <w:spacing w:line="360" w:lineRule="auto"/>
        <w:ind w:right="142"/>
        <w:rPr>
          <w:rFonts w:hint="cs"/>
          <w:b w:val="0"/>
          <w:bCs w:val="0"/>
          <w:sz w:val="28"/>
          <w:szCs w:val="26"/>
          <w:rtl/>
        </w:rPr>
      </w:pPr>
      <w:r>
        <w:rPr>
          <w:rFonts w:hint="cs"/>
          <w:b w:val="0"/>
          <w:bCs w:val="0"/>
          <w:sz w:val="28"/>
          <w:szCs w:val="26"/>
          <w:rtl/>
        </w:rPr>
        <w:t>ליאוניד הופיע לעדות, לראשונה מקץ שנתיים, ודבריו באשר להתרחשות האירוע מהווים עדות כבושה, שמשקלה מועט.</w:t>
      </w:r>
    </w:p>
    <w:p w14:paraId="34E03976" w14:textId="77777777" w:rsidR="00B1022C" w:rsidRDefault="00B1022C">
      <w:pPr>
        <w:spacing w:line="360" w:lineRule="auto"/>
        <w:ind w:right="142"/>
        <w:rPr>
          <w:rFonts w:cs="David" w:hint="cs"/>
          <w:sz w:val="28"/>
          <w:rtl/>
        </w:rPr>
      </w:pPr>
    </w:p>
    <w:p w14:paraId="190932D8" w14:textId="77777777" w:rsidR="00B1022C" w:rsidRDefault="00B1022C">
      <w:pPr>
        <w:spacing w:line="360" w:lineRule="auto"/>
        <w:ind w:right="142"/>
        <w:rPr>
          <w:rFonts w:cs="David" w:hint="cs"/>
          <w:sz w:val="28"/>
          <w:rtl/>
        </w:rPr>
      </w:pPr>
      <w:r>
        <w:rPr>
          <w:rFonts w:cs="David" w:hint="cs"/>
          <w:sz w:val="28"/>
          <w:rtl/>
        </w:rPr>
        <w:t>כבישת גרסה היא בין הגורמים שלוקח בית-המשפט בחשבון בהערכת "מהימנותה" של עדות. אסביר:</w:t>
      </w:r>
    </w:p>
    <w:p w14:paraId="10F04D2E" w14:textId="77777777" w:rsidR="00B1022C" w:rsidRDefault="00B1022C">
      <w:pPr>
        <w:spacing w:line="360" w:lineRule="auto"/>
        <w:ind w:right="142"/>
        <w:rPr>
          <w:rFonts w:cs="David" w:hint="cs"/>
          <w:sz w:val="28"/>
          <w:rtl/>
        </w:rPr>
      </w:pPr>
      <w:r>
        <w:rPr>
          <w:rFonts w:cs="David" w:hint="cs"/>
          <w:sz w:val="28"/>
          <w:rtl/>
        </w:rPr>
        <w:t>לעובדה כי נאשם או עד מגלה גרסתו לראשונה בעדותו בבית-המשפט השלכה ישירה ורבת משקל על מהימנותה. עקרונית, נוטה בית-המשפט להעמיד גרסה זו בחזקת ספק לפחות, אלא אם כן מצוי בחומר הראיה הסבר מתקבל על הדעת לאי גילויה (קרי: לכבישתה) במועד מוקדם יותר, ולהחלטה לגלותה במועד מסירתה [</w:t>
      </w:r>
      <w:r>
        <w:rPr>
          <w:rFonts w:cs="David" w:hint="cs"/>
          <w:b/>
          <w:bCs/>
          <w:sz w:val="28"/>
          <w:rtl/>
        </w:rPr>
        <w:t xml:space="preserve">י' קדמי, </w:t>
      </w:r>
      <w:r>
        <w:rPr>
          <w:rFonts w:cs="David" w:hint="cs"/>
          <w:b/>
          <w:bCs/>
          <w:sz w:val="28"/>
          <w:u w:val="single"/>
          <w:rtl/>
        </w:rPr>
        <w:t>על הראיות, הדין בראי הפסיקה</w:t>
      </w:r>
      <w:r>
        <w:rPr>
          <w:rFonts w:cs="David" w:hint="cs"/>
          <w:sz w:val="28"/>
          <w:rtl/>
        </w:rPr>
        <w:t xml:space="preserve">, מהדורה משולבת ומעודכנת, הוצאת דיונון, תשס"ד-2003, (חלק שלישי), עמ' 1620, 1629; וכן: </w:t>
      </w:r>
      <w:hyperlink r:id="rId15" w:history="1">
        <w:r w:rsidR="005E368F" w:rsidRPr="005E368F">
          <w:rPr>
            <w:rStyle w:val="Hyperlink"/>
            <w:rFonts w:cs="David" w:hint="eastAsia"/>
            <w:sz w:val="28"/>
            <w:rtl/>
          </w:rPr>
          <w:t>ע</w:t>
        </w:r>
        <w:r w:rsidR="005E368F" w:rsidRPr="005E368F">
          <w:rPr>
            <w:rStyle w:val="Hyperlink"/>
            <w:rFonts w:cs="David"/>
            <w:sz w:val="28"/>
            <w:rtl/>
          </w:rPr>
          <w:t>"פ 154/85 אברושמי, פ"ד מא</w:t>
        </w:r>
      </w:hyperlink>
      <w:r>
        <w:rPr>
          <w:rFonts w:cs="David" w:hint="cs"/>
          <w:sz w:val="28"/>
          <w:rtl/>
        </w:rPr>
        <w:t>(1) 399].</w:t>
      </w:r>
    </w:p>
    <w:p w14:paraId="6DCDA6D7" w14:textId="77777777" w:rsidR="00B1022C" w:rsidRDefault="00B1022C">
      <w:pPr>
        <w:spacing w:line="360" w:lineRule="auto"/>
        <w:ind w:right="142"/>
        <w:rPr>
          <w:rFonts w:cs="David" w:hint="cs"/>
          <w:rtl/>
        </w:rPr>
      </w:pPr>
    </w:p>
    <w:p w14:paraId="05866ABD" w14:textId="77777777" w:rsidR="00B1022C" w:rsidRDefault="00B1022C">
      <w:pPr>
        <w:spacing w:line="360" w:lineRule="auto"/>
        <w:ind w:right="142"/>
        <w:rPr>
          <w:rFonts w:cs="David" w:hint="cs"/>
          <w:rtl/>
        </w:rPr>
      </w:pPr>
      <w:r>
        <w:rPr>
          <w:rFonts w:cs="David" w:hint="cs"/>
          <w:rtl/>
        </w:rPr>
        <w:t>דין כבישת עדות חל ביתר שאת כאשר ידע הנאשם על המידע שברשות העד, ובחר במודע לכבוש את העדות. הכל - כמובן - בכפוף לסבירות ואמינות ההסבר שיש בפי הנאשם ל"כבישת" גרסת העד [</w:t>
      </w:r>
      <w:hyperlink r:id="rId16" w:history="1">
        <w:r w:rsidR="005E368F" w:rsidRPr="005E368F">
          <w:rPr>
            <w:rStyle w:val="Hyperlink"/>
            <w:rFonts w:cs="David" w:hint="eastAsia"/>
            <w:rtl/>
          </w:rPr>
          <w:t>ע</w:t>
        </w:r>
        <w:r w:rsidR="005E368F" w:rsidRPr="005E368F">
          <w:rPr>
            <w:rStyle w:val="Hyperlink"/>
            <w:rFonts w:cs="David"/>
            <w:rtl/>
          </w:rPr>
          <w:t>"פ 233/55, גרין נ' היוהמ"ש, פ"ד יט</w:t>
        </w:r>
      </w:hyperlink>
      <w:r>
        <w:rPr>
          <w:rFonts w:cs="David" w:hint="cs"/>
          <w:rtl/>
        </w:rPr>
        <w:t xml:space="preserve">, עמ' 1877, בעמ' 1881; וכן:  </w:t>
      </w:r>
      <w:hyperlink r:id="rId17" w:history="1">
        <w:r w:rsidR="005E368F" w:rsidRPr="005E368F">
          <w:rPr>
            <w:rStyle w:val="Hyperlink"/>
            <w:rFonts w:cs="David" w:hint="eastAsia"/>
            <w:rtl/>
          </w:rPr>
          <w:t>ע</w:t>
        </w:r>
        <w:r w:rsidR="005E368F" w:rsidRPr="005E368F">
          <w:rPr>
            <w:rStyle w:val="Hyperlink"/>
            <w:rFonts w:cs="David"/>
            <w:rtl/>
          </w:rPr>
          <w:t>"פ 190/82 מרקוס נ' מדינת ישראל, פ"ד לז</w:t>
        </w:r>
      </w:hyperlink>
      <w:r>
        <w:rPr>
          <w:rFonts w:cs="David" w:hint="cs"/>
          <w:rtl/>
        </w:rPr>
        <w:t>(1) 225, בעמ' 284].</w:t>
      </w:r>
    </w:p>
    <w:p w14:paraId="10B9860B" w14:textId="77777777" w:rsidR="00B1022C" w:rsidRDefault="00B1022C">
      <w:pPr>
        <w:spacing w:line="360" w:lineRule="auto"/>
        <w:ind w:right="142"/>
        <w:rPr>
          <w:rFonts w:cs="David" w:hint="cs"/>
          <w:rtl/>
        </w:rPr>
      </w:pPr>
    </w:p>
    <w:p w14:paraId="3857FC02" w14:textId="77777777" w:rsidR="00B1022C" w:rsidRDefault="00B1022C">
      <w:pPr>
        <w:spacing w:line="360" w:lineRule="auto"/>
        <w:ind w:right="142"/>
        <w:rPr>
          <w:rFonts w:cs="David" w:hint="cs"/>
          <w:rtl/>
        </w:rPr>
      </w:pPr>
      <w:r>
        <w:rPr>
          <w:rFonts w:cs="David" w:hint="cs"/>
          <w:rtl/>
        </w:rPr>
        <w:t xml:space="preserve">לא ניתן הסבר סביר והגיוני לכבישת עדותו של ליאוניד, ואשר לתוכנה של עדותו, זו התאפיינה בתיאור כללי של האירוע, ללא פירוט שעשוי היה להבהיר כיצד ארע מה שארע. יתרה מזאת; גרסתו של ליאוניד, לפיה, ראה את הנאשם הולך לכיוון בר השתייה, עם שני בקבוקי מים מינרליים ביד, ונתקל בלי כוונה במישהי בכניסה לאולם (ראו: התשריט נ/2), איננו הולם את הגרסה שמסר הנאשם, לא לגבי אחיזת הבקבוקים ביד, ולא לגבי מקום ההתרחשות. העד בוודאי לא דייק כשמסר שהיה ריב ו"הם ירדו למטה", שהרי מהנאשם למדנו שהמתלוננת הלכה לדרכה והוא עצמו המשיך לעבוד 'כאילו לא קרה דבר'.  </w:t>
      </w:r>
    </w:p>
    <w:p w14:paraId="226BB26B" w14:textId="77777777" w:rsidR="00B1022C" w:rsidRDefault="00B1022C">
      <w:pPr>
        <w:spacing w:line="360" w:lineRule="auto"/>
        <w:ind w:right="142"/>
        <w:rPr>
          <w:rFonts w:ascii="Arial" w:hAnsi="Arial" w:cs="David" w:hint="cs"/>
          <w:rtl/>
        </w:rPr>
      </w:pPr>
      <w:r>
        <w:rPr>
          <w:rFonts w:ascii="Arial" w:hAnsi="Arial" w:cs="David" w:hint="cs"/>
          <w:rtl/>
        </w:rPr>
        <w:t>לא אוכל לסמוך על דבריו של עד ההגנה, שאינם אמינים בעיני.</w:t>
      </w:r>
    </w:p>
    <w:p w14:paraId="18A8769C" w14:textId="77777777" w:rsidR="00B1022C" w:rsidRDefault="00B1022C">
      <w:pPr>
        <w:spacing w:line="360" w:lineRule="auto"/>
        <w:ind w:right="142"/>
        <w:rPr>
          <w:rFonts w:ascii="Arial" w:hAnsi="Arial" w:cs="David" w:hint="cs"/>
          <w:sz w:val="28"/>
          <w:rtl/>
        </w:rPr>
      </w:pPr>
      <w:r>
        <w:rPr>
          <w:rFonts w:ascii="Arial" w:hAnsi="Arial" w:cs="David" w:hint="cs"/>
          <w:sz w:val="28"/>
          <w:rtl/>
        </w:rPr>
        <w:t xml:space="preserve"> </w:t>
      </w:r>
    </w:p>
    <w:p w14:paraId="11DAF9F1" w14:textId="77777777" w:rsidR="00B1022C" w:rsidRDefault="00B1022C">
      <w:pPr>
        <w:spacing w:line="360" w:lineRule="auto"/>
        <w:ind w:right="142"/>
        <w:rPr>
          <w:rFonts w:ascii="Arial" w:hAnsi="Arial" w:cs="David" w:hint="cs"/>
          <w:sz w:val="28"/>
          <w:rtl/>
        </w:rPr>
      </w:pPr>
      <w:r>
        <w:rPr>
          <w:rFonts w:ascii="Arial" w:hAnsi="Arial" w:cs="David" w:hint="cs"/>
          <w:sz w:val="28"/>
          <w:rtl/>
        </w:rPr>
        <w:t>אני דוחה אפוא את גרסת הנאשם, וקובעת כי גרסת התביעה הוכחה מעבר לכל ספק סביר.</w:t>
      </w:r>
    </w:p>
    <w:p w14:paraId="18B36008" w14:textId="77777777" w:rsidR="00B1022C" w:rsidRDefault="00B1022C">
      <w:pPr>
        <w:spacing w:line="360" w:lineRule="auto"/>
        <w:ind w:right="142"/>
        <w:rPr>
          <w:rFonts w:cs="David" w:hint="cs"/>
          <w:sz w:val="28"/>
          <w:rtl/>
        </w:rPr>
      </w:pPr>
    </w:p>
    <w:p w14:paraId="3477BF57" w14:textId="77777777" w:rsidR="00B1022C" w:rsidRDefault="00B1022C">
      <w:pPr>
        <w:pStyle w:val="Heading5"/>
        <w:rPr>
          <w:rFonts w:hint="cs"/>
          <w:rtl/>
        </w:rPr>
      </w:pPr>
      <w:r>
        <w:rPr>
          <w:rFonts w:hint="cs"/>
          <w:rtl/>
        </w:rPr>
        <w:t>התשתית המשפטית</w:t>
      </w:r>
    </w:p>
    <w:p w14:paraId="70F43B6D" w14:textId="77777777" w:rsidR="00B1022C" w:rsidRDefault="00B1022C">
      <w:pPr>
        <w:spacing w:line="360" w:lineRule="auto"/>
        <w:ind w:right="142"/>
        <w:rPr>
          <w:rFonts w:cs="David" w:hint="cs"/>
          <w:sz w:val="28"/>
          <w:rtl/>
        </w:rPr>
      </w:pPr>
    </w:p>
    <w:p w14:paraId="6498C818" w14:textId="77777777" w:rsidR="00B1022C" w:rsidRDefault="00B1022C">
      <w:pPr>
        <w:spacing w:line="360" w:lineRule="auto"/>
        <w:ind w:right="142"/>
        <w:rPr>
          <w:rFonts w:cs="David" w:hint="cs"/>
          <w:sz w:val="28"/>
          <w:rtl/>
        </w:rPr>
      </w:pPr>
      <w:r>
        <w:rPr>
          <w:rFonts w:cs="David" w:hint="cs"/>
          <w:sz w:val="28"/>
          <w:rtl/>
        </w:rPr>
        <w:t xml:space="preserve">עדותה של המתלוננת, שהייתה מהימנה עלי ללא סייג, מבססת את העובדות הנטענות כנגד הנאשם. אני קובעת כממצא כי בתאריך 15.6.03 תפס הנאשם בישבנה השמאלי של המתלוננת וגרם לה בכך סערת נפש. </w:t>
      </w:r>
    </w:p>
    <w:p w14:paraId="54413887" w14:textId="77777777" w:rsidR="00B1022C" w:rsidRDefault="00B1022C">
      <w:pPr>
        <w:spacing w:line="360" w:lineRule="auto"/>
        <w:ind w:right="142"/>
        <w:rPr>
          <w:rFonts w:cs="David" w:hint="cs"/>
          <w:sz w:val="28"/>
          <w:rtl/>
        </w:rPr>
      </w:pPr>
    </w:p>
    <w:p w14:paraId="65227DE4" w14:textId="77777777" w:rsidR="00B1022C" w:rsidRDefault="00B1022C">
      <w:pPr>
        <w:spacing w:line="360" w:lineRule="auto"/>
        <w:ind w:right="142"/>
        <w:rPr>
          <w:rFonts w:cs="David" w:hint="cs"/>
          <w:sz w:val="28"/>
          <w:rtl/>
        </w:rPr>
      </w:pPr>
      <w:r>
        <w:rPr>
          <w:rFonts w:cs="David" w:hint="cs"/>
          <w:sz w:val="28"/>
          <w:rtl/>
        </w:rPr>
        <w:t>אשר לאופיו המגונה של המעשה וכוונת הנאשם בעת עשייתו:</w:t>
      </w:r>
    </w:p>
    <w:p w14:paraId="77446E6A" w14:textId="77777777" w:rsidR="00B1022C" w:rsidRDefault="00B1022C">
      <w:pPr>
        <w:spacing w:line="360" w:lineRule="auto"/>
        <w:ind w:right="142"/>
        <w:rPr>
          <w:rFonts w:cs="David" w:hint="cs"/>
          <w:sz w:val="28"/>
          <w:rtl/>
        </w:rPr>
      </w:pPr>
      <w:r>
        <w:rPr>
          <w:rFonts w:cs="David" w:hint="cs"/>
          <w:sz w:val="28"/>
          <w:rtl/>
        </w:rPr>
        <w:t>על המונח 'מעשה מגונה' נאמר זה מכבר כי איננו ניתן להגדרה ממצה ומדויקת:</w:t>
      </w:r>
    </w:p>
    <w:p w14:paraId="174CC981" w14:textId="77777777" w:rsidR="00B1022C" w:rsidRDefault="00B1022C">
      <w:pPr>
        <w:spacing w:line="360" w:lineRule="auto"/>
        <w:ind w:right="142"/>
        <w:rPr>
          <w:rFonts w:cs="David" w:hint="cs"/>
          <w:sz w:val="28"/>
          <w:rtl/>
        </w:rPr>
      </w:pPr>
      <w:r>
        <w:rPr>
          <w:rFonts w:cs="David" w:hint="cs"/>
          <w:b/>
          <w:bCs/>
          <w:sz w:val="28"/>
          <w:rtl/>
        </w:rPr>
        <w:t>"דבר זה אין לך בו אלא מקומו ושעתו והשקפת החברה. ברוב המכריע של המקרים . . . מצוי במעשה זה יסוד של יצרי מין ..."</w:t>
      </w:r>
      <w:r>
        <w:rPr>
          <w:rFonts w:cs="David" w:hint="cs"/>
          <w:sz w:val="28"/>
          <w:rtl/>
        </w:rPr>
        <w:t xml:space="preserve"> [דברי כב' השופט זילברג ב</w:t>
      </w:r>
      <w:hyperlink r:id="rId18" w:history="1">
        <w:r w:rsidR="005E368F" w:rsidRPr="005E368F">
          <w:rPr>
            <w:rStyle w:val="Hyperlink"/>
            <w:rFonts w:cs="David" w:hint="eastAsia"/>
            <w:sz w:val="28"/>
            <w:rtl/>
          </w:rPr>
          <w:t>ע</w:t>
        </w:r>
        <w:r w:rsidR="005E368F" w:rsidRPr="005E368F">
          <w:rPr>
            <w:rStyle w:val="Hyperlink"/>
            <w:rFonts w:cs="David"/>
            <w:sz w:val="28"/>
            <w:rtl/>
          </w:rPr>
          <w:t>"פ 315/58 ג'בארה נ' מדינת ישראל, פ"ד יג</w:t>
        </w:r>
      </w:hyperlink>
      <w:r>
        <w:rPr>
          <w:rFonts w:cs="David" w:hint="cs"/>
          <w:sz w:val="28"/>
          <w:rtl/>
        </w:rPr>
        <w:t xml:space="preserve">, 566]. </w:t>
      </w:r>
    </w:p>
    <w:p w14:paraId="77DB0A0A" w14:textId="77777777" w:rsidR="00B1022C" w:rsidRDefault="00B1022C">
      <w:pPr>
        <w:spacing w:line="360" w:lineRule="auto"/>
        <w:ind w:right="142"/>
        <w:rPr>
          <w:rFonts w:cs="David" w:hint="cs"/>
          <w:sz w:val="28"/>
          <w:rtl/>
        </w:rPr>
      </w:pPr>
    </w:p>
    <w:p w14:paraId="291D19F8" w14:textId="77777777" w:rsidR="00B1022C" w:rsidRDefault="00B1022C">
      <w:pPr>
        <w:spacing w:line="360" w:lineRule="auto"/>
        <w:ind w:right="142"/>
        <w:rPr>
          <w:rFonts w:cs="David" w:hint="cs"/>
          <w:sz w:val="28"/>
          <w:rtl/>
        </w:rPr>
      </w:pPr>
      <w:r>
        <w:rPr>
          <w:rFonts w:cs="David" w:hint="cs"/>
          <w:sz w:val="28"/>
          <w:rtl/>
        </w:rPr>
        <w:t xml:space="preserve">אופיו המגונה של מעשה נעוץ אפוא בהשלכתו המינית; והמבחן, על פי ההערכה המקובלת, הוא המבחן סובייקטיבי של תכלית עשיית המעשה [אף שיש כאלה הסבורים שראוי לאמץ את המבחן האובייקטיבי, קרי: הערכת המעשה בעיני האדם הסביר </w:t>
      </w:r>
      <w:r>
        <w:rPr>
          <w:rStyle w:val="FootnoteReference"/>
          <w:rFonts w:cs="David"/>
          <w:sz w:val="28"/>
        </w:rPr>
        <w:footnoteReference w:id="1"/>
      </w:r>
      <w:r>
        <w:rPr>
          <w:rFonts w:cs="David" w:hint="cs"/>
          <w:sz w:val="28"/>
          <w:rtl/>
        </w:rPr>
        <w:t xml:space="preserve">, ראו:  </w:t>
      </w:r>
      <w:r>
        <w:rPr>
          <w:rFonts w:cs="David" w:hint="cs"/>
          <w:b/>
          <w:bCs/>
          <w:sz w:val="28"/>
          <w:rtl/>
        </w:rPr>
        <w:t xml:space="preserve">י' קדמי, </w:t>
      </w:r>
      <w:r>
        <w:rPr>
          <w:rFonts w:cs="David" w:hint="cs"/>
          <w:b/>
          <w:bCs/>
          <w:sz w:val="28"/>
          <w:u w:val="single"/>
          <w:rtl/>
        </w:rPr>
        <w:t>על הדין בפלילים</w:t>
      </w:r>
      <w:r>
        <w:rPr>
          <w:rFonts w:cs="David" w:hint="cs"/>
          <w:b/>
          <w:bCs/>
          <w:sz w:val="28"/>
          <w:rtl/>
        </w:rPr>
        <w:t>, הדין בראי הפסיקה</w:t>
      </w:r>
      <w:r>
        <w:rPr>
          <w:rFonts w:cs="David" w:hint="cs"/>
          <w:sz w:val="28"/>
          <w:rtl/>
        </w:rPr>
        <w:t xml:space="preserve">, מהדורה משולבת ומעודכנת, תשנ"ה-1995, הוצאת דיונון, אוניברסיטת תל-אביב (חלק שני), מעמ' 779 ואילך; ועוד: </w:t>
      </w:r>
      <w:hyperlink r:id="rId19" w:history="1">
        <w:r w:rsidR="005E368F" w:rsidRPr="005E368F">
          <w:rPr>
            <w:rStyle w:val="Hyperlink"/>
            <w:rFonts w:cs="David" w:hint="eastAsia"/>
            <w:sz w:val="28"/>
            <w:rtl/>
          </w:rPr>
          <w:t>ע</w:t>
        </w:r>
        <w:r w:rsidR="005E368F" w:rsidRPr="005E368F">
          <w:rPr>
            <w:rStyle w:val="Hyperlink"/>
            <w:rFonts w:cs="David"/>
            <w:sz w:val="28"/>
            <w:rtl/>
          </w:rPr>
          <w:t>"פ 616/83 מדינת ישראל נ' פליישמן פ"ד לט</w:t>
        </w:r>
      </w:hyperlink>
      <w:r>
        <w:rPr>
          <w:rFonts w:cs="David" w:hint="cs"/>
          <w:sz w:val="28"/>
          <w:rtl/>
        </w:rPr>
        <w:t xml:space="preserve"> (1), 449].</w:t>
      </w:r>
    </w:p>
    <w:p w14:paraId="5C7A0E24" w14:textId="77777777" w:rsidR="00B1022C" w:rsidRDefault="00B1022C">
      <w:pPr>
        <w:spacing w:line="360" w:lineRule="auto"/>
        <w:ind w:right="142"/>
        <w:rPr>
          <w:rFonts w:cs="David" w:hint="cs"/>
          <w:sz w:val="28"/>
          <w:rtl/>
        </w:rPr>
      </w:pPr>
      <w:r>
        <w:rPr>
          <w:rFonts w:cs="David" w:hint="cs"/>
          <w:sz w:val="28"/>
          <w:rtl/>
        </w:rPr>
        <w:t xml:space="preserve">בל יישכח הרציונל העומד בבסיסו של האיסור </w:t>
      </w:r>
      <w:hyperlink r:id="rId20" w:history="1">
        <w:r w:rsidR="00B47B60" w:rsidRPr="00B47B60">
          <w:rPr>
            <w:rFonts w:cs="David"/>
            <w:color w:val="0000FF"/>
            <w:sz w:val="28"/>
            <w:u w:val="single"/>
            <w:rtl/>
          </w:rPr>
          <w:t>שבסעיף 348(ג)</w:t>
        </w:r>
      </w:hyperlink>
      <w:r>
        <w:rPr>
          <w:rFonts w:cs="David" w:hint="cs"/>
          <w:sz w:val="28"/>
          <w:rtl/>
        </w:rPr>
        <w:t xml:space="preserve"> ל</w:t>
      </w:r>
      <w:hyperlink r:id="rId21" w:history="1">
        <w:r w:rsidR="005E368F" w:rsidRPr="005E368F">
          <w:rPr>
            <w:rStyle w:val="Hyperlink"/>
            <w:rFonts w:cs="David" w:hint="eastAsia"/>
            <w:sz w:val="28"/>
            <w:rtl/>
          </w:rPr>
          <w:t>חוק</w:t>
        </w:r>
        <w:r w:rsidR="005E368F" w:rsidRPr="005E368F">
          <w:rPr>
            <w:rStyle w:val="Hyperlink"/>
            <w:rFonts w:cs="David"/>
            <w:sz w:val="28"/>
            <w:rtl/>
          </w:rPr>
          <w:t xml:space="preserve"> העונשין</w:t>
        </w:r>
      </w:hyperlink>
      <w:r>
        <w:rPr>
          <w:rFonts w:cs="David" w:hint="cs"/>
          <w:sz w:val="28"/>
          <w:rtl/>
        </w:rPr>
        <w:t>, ותכליתו, להגן על ערכים חברתיים חשובים - שלומו וביטחונו של כל פרט בציבור, לבל ייפגעו ערכיו ושלוות רוחו.</w:t>
      </w:r>
    </w:p>
    <w:p w14:paraId="517D6D1E" w14:textId="77777777" w:rsidR="00B1022C" w:rsidRDefault="00B1022C">
      <w:pPr>
        <w:spacing w:line="360" w:lineRule="auto"/>
        <w:ind w:right="142"/>
        <w:rPr>
          <w:rFonts w:cs="David" w:hint="cs"/>
          <w:sz w:val="28"/>
          <w:rtl/>
        </w:rPr>
      </w:pPr>
      <w:r>
        <w:rPr>
          <w:rFonts w:cs="David" w:hint="cs"/>
          <w:sz w:val="28"/>
          <w:rtl/>
        </w:rPr>
        <w:t>התפיסה שתפס הנאשם בישבנה של המתלוננת, אשה זרה, אשר חלפה על פניו במעבר הצר, מצביעה על נסיבות הנעוצות בהשלכתו המינית של המעשה, ובהתאם למבחן שנוקטת בו הפסיקה, שוכנעתי כי הייתה למעשהו של הנאשם תכלית ברורה של גירוי, או, למצער, ביזוי מיני.</w:t>
      </w:r>
    </w:p>
    <w:p w14:paraId="53D00345" w14:textId="77777777" w:rsidR="00B1022C" w:rsidRDefault="00B1022C">
      <w:pPr>
        <w:spacing w:line="360" w:lineRule="auto"/>
        <w:ind w:right="142"/>
        <w:rPr>
          <w:rFonts w:cs="David" w:hint="cs"/>
          <w:sz w:val="28"/>
          <w:rtl/>
        </w:rPr>
      </w:pPr>
      <w:r>
        <w:rPr>
          <w:rFonts w:cs="David" w:hint="cs"/>
          <w:sz w:val="28"/>
          <w:rtl/>
        </w:rPr>
        <w:t xml:space="preserve">בכך, עמדה התביעה בעול הוכחת יסודות העבירה לפי </w:t>
      </w:r>
      <w:hyperlink r:id="rId22" w:history="1">
        <w:r w:rsidR="00B47B60" w:rsidRPr="00B47B60">
          <w:rPr>
            <w:rFonts w:cs="David"/>
            <w:color w:val="0000FF"/>
            <w:sz w:val="28"/>
            <w:u w:val="single"/>
            <w:rtl/>
          </w:rPr>
          <w:t>סעיף 348(ג)</w:t>
        </w:r>
      </w:hyperlink>
      <w:r>
        <w:rPr>
          <w:rFonts w:cs="David" w:hint="cs"/>
          <w:sz w:val="28"/>
          <w:rtl/>
        </w:rPr>
        <w:t xml:space="preserve"> ל</w:t>
      </w:r>
      <w:hyperlink r:id="rId23" w:history="1">
        <w:r w:rsidR="005E368F" w:rsidRPr="005E368F">
          <w:rPr>
            <w:rStyle w:val="Hyperlink"/>
            <w:rFonts w:cs="David" w:hint="eastAsia"/>
            <w:sz w:val="28"/>
            <w:rtl/>
          </w:rPr>
          <w:t>חוק</w:t>
        </w:r>
        <w:r w:rsidR="005E368F" w:rsidRPr="005E368F">
          <w:rPr>
            <w:rStyle w:val="Hyperlink"/>
            <w:rFonts w:cs="David"/>
            <w:sz w:val="28"/>
            <w:rtl/>
          </w:rPr>
          <w:t xml:space="preserve"> העונשין</w:t>
        </w:r>
      </w:hyperlink>
      <w:r>
        <w:rPr>
          <w:rFonts w:cs="David" w:hint="cs"/>
          <w:sz w:val="28"/>
          <w:rtl/>
        </w:rPr>
        <w:t>.</w:t>
      </w:r>
    </w:p>
    <w:p w14:paraId="6E1A5311" w14:textId="77777777" w:rsidR="00B1022C" w:rsidRDefault="00B1022C">
      <w:pPr>
        <w:spacing w:line="360" w:lineRule="auto"/>
        <w:ind w:right="142"/>
        <w:rPr>
          <w:rFonts w:cs="David" w:hint="cs"/>
          <w:sz w:val="28"/>
          <w:rtl/>
        </w:rPr>
      </w:pPr>
    </w:p>
    <w:p w14:paraId="02F1ADB0" w14:textId="77777777" w:rsidR="00B1022C" w:rsidRDefault="00B1022C">
      <w:pPr>
        <w:spacing w:line="360" w:lineRule="auto"/>
        <w:ind w:right="142"/>
        <w:rPr>
          <w:rFonts w:cs="David" w:hint="cs"/>
          <w:sz w:val="28"/>
          <w:rtl/>
        </w:rPr>
      </w:pPr>
      <w:r>
        <w:rPr>
          <w:rFonts w:cs="David" w:hint="cs"/>
          <w:sz w:val="28"/>
          <w:rtl/>
        </w:rPr>
        <w:t xml:space="preserve">אני מרשיעה את הנאשם בעבירה של מעשה מגונה, לפי </w:t>
      </w:r>
      <w:hyperlink r:id="rId24" w:history="1">
        <w:r w:rsidR="00B47B60" w:rsidRPr="00B47B60">
          <w:rPr>
            <w:rFonts w:cs="David"/>
            <w:color w:val="0000FF"/>
            <w:sz w:val="28"/>
            <w:u w:val="single"/>
            <w:rtl/>
          </w:rPr>
          <w:t>סעיף 348(ג)</w:t>
        </w:r>
      </w:hyperlink>
      <w:r>
        <w:rPr>
          <w:rFonts w:cs="David" w:hint="cs"/>
          <w:sz w:val="28"/>
          <w:rtl/>
        </w:rPr>
        <w:t xml:space="preserve"> ל</w:t>
      </w:r>
      <w:hyperlink r:id="rId25" w:history="1">
        <w:r w:rsidR="005E368F" w:rsidRPr="005E368F">
          <w:rPr>
            <w:rStyle w:val="Hyperlink"/>
            <w:rFonts w:cs="David" w:hint="eastAsia"/>
            <w:sz w:val="28"/>
            <w:rtl/>
          </w:rPr>
          <w:t>חוק</w:t>
        </w:r>
        <w:r w:rsidR="005E368F" w:rsidRPr="005E368F">
          <w:rPr>
            <w:rStyle w:val="Hyperlink"/>
            <w:rFonts w:cs="David"/>
            <w:sz w:val="28"/>
            <w:rtl/>
          </w:rPr>
          <w:t xml:space="preserve"> העונשין</w:t>
        </w:r>
      </w:hyperlink>
      <w:r>
        <w:rPr>
          <w:rFonts w:cs="David" w:hint="cs"/>
          <w:sz w:val="28"/>
          <w:rtl/>
        </w:rPr>
        <w:t>.</w:t>
      </w:r>
    </w:p>
    <w:p w14:paraId="0CA0EBD1" w14:textId="77777777" w:rsidR="00B1022C" w:rsidRDefault="00B1022C">
      <w:pPr>
        <w:spacing w:line="360" w:lineRule="auto"/>
        <w:ind w:right="142"/>
        <w:rPr>
          <w:rFonts w:cs="David" w:hint="cs"/>
          <w:sz w:val="28"/>
          <w:rtl/>
        </w:rPr>
      </w:pPr>
    </w:p>
    <w:p w14:paraId="14837138" w14:textId="77777777" w:rsidR="00B1022C" w:rsidRDefault="00B1022C">
      <w:pPr>
        <w:rPr>
          <w:rFonts w:hint="cs"/>
          <w:b/>
          <w:bCs/>
          <w:rtl/>
        </w:rPr>
      </w:pPr>
      <w:bookmarkStart w:id="12" w:name="Decision1"/>
      <w:r>
        <w:rPr>
          <w:b/>
          <w:bCs/>
          <w:rtl/>
        </w:rPr>
        <w:t>ניתנה היום כ"ז בסיון, תשס"ה (4 ביולי 2005) במעמד הצדדים.</w:t>
      </w:r>
    </w:p>
    <w:p w14:paraId="119B35F9" w14:textId="77777777" w:rsidR="00B1022C" w:rsidRDefault="00B1022C">
      <w:pPr>
        <w:rPr>
          <w:rtl/>
        </w:rPr>
      </w:pPr>
    </w:p>
    <w:p w14:paraId="0A724460" w14:textId="77777777" w:rsidR="00B1022C" w:rsidRDefault="00B1022C">
      <w:pPr>
        <w:rPr>
          <w:rtl/>
        </w:rPr>
      </w:pPr>
      <w:r>
        <w:rPr>
          <w:rtl/>
        </w:rPr>
        <w:t xml:space="preserve">                                                                                </w:t>
      </w:r>
    </w:p>
    <w:tbl>
      <w:tblPr>
        <w:tblW w:w="2772" w:type="dxa"/>
        <w:tblInd w:w="5999" w:type="dxa"/>
        <w:tblBorders>
          <w:top w:val="single" w:sz="4" w:space="0" w:color="auto"/>
        </w:tblBorders>
        <w:tblLook w:val="0000" w:firstRow="0" w:lastRow="0" w:firstColumn="0" w:lastColumn="0" w:noHBand="0" w:noVBand="0"/>
      </w:tblPr>
      <w:tblGrid>
        <w:gridCol w:w="2772"/>
      </w:tblGrid>
      <w:tr w:rsidR="00B1022C" w14:paraId="44B20559" w14:textId="77777777">
        <w:tc>
          <w:tcPr>
            <w:tcW w:w="2772" w:type="dxa"/>
            <w:tcBorders>
              <w:top w:val="single" w:sz="4" w:space="0" w:color="auto"/>
              <w:left w:val="nil"/>
              <w:bottom w:val="nil"/>
              <w:right w:val="nil"/>
            </w:tcBorders>
          </w:tcPr>
          <w:p w14:paraId="5CB5C777" w14:textId="77777777" w:rsidR="00B1022C" w:rsidRDefault="00B1022C">
            <w:pPr>
              <w:jc w:val="center"/>
              <w:rPr>
                <w:rFonts w:ascii="Arial" w:hAnsi="Arial"/>
                <w:b/>
                <w:bCs/>
                <w:sz w:val="26"/>
              </w:rPr>
            </w:pPr>
            <w:r>
              <w:rPr>
                <w:rFonts w:ascii="Arial" w:hAnsi="Arial"/>
                <w:b/>
                <w:bCs/>
                <w:sz w:val="26"/>
                <w:rtl/>
              </w:rPr>
              <w:t>שריזלי דניאלה, שופטת</w:t>
            </w:r>
          </w:p>
        </w:tc>
      </w:tr>
    </w:tbl>
    <w:p w14:paraId="7C83F2B5" w14:textId="77777777" w:rsidR="00B1022C" w:rsidRDefault="00B1022C">
      <w:pPr>
        <w:jc w:val="right"/>
        <w:rPr>
          <w:b/>
          <w:bCs/>
          <w:color w:val="FF0000"/>
          <w:rtl/>
        </w:rPr>
      </w:pPr>
    </w:p>
    <w:p w14:paraId="6D02FF9D" w14:textId="77777777" w:rsidR="00B1022C" w:rsidRDefault="00B1022C">
      <w:pPr>
        <w:overflowPunct w:val="0"/>
        <w:autoSpaceDE w:val="0"/>
        <w:autoSpaceDN w:val="0"/>
        <w:adjustRightInd w:val="0"/>
        <w:spacing w:line="360" w:lineRule="auto"/>
        <w:ind w:left="720" w:hanging="720"/>
        <w:rPr>
          <w:rFonts w:ascii="Arial" w:hAnsi="Arial"/>
          <w:sz w:val="26"/>
          <w:rtl/>
        </w:rPr>
      </w:pPr>
    </w:p>
    <w:p w14:paraId="27151F99" w14:textId="77777777" w:rsidR="00B1022C" w:rsidRDefault="00B1022C">
      <w:pPr>
        <w:overflowPunct w:val="0"/>
        <w:autoSpaceDE w:val="0"/>
        <w:autoSpaceDN w:val="0"/>
        <w:adjustRightInd w:val="0"/>
        <w:spacing w:line="360" w:lineRule="auto"/>
        <w:jc w:val="center"/>
        <w:rPr>
          <w:rFonts w:ascii="Arial" w:hAnsi="Arial"/>
          <w:sz w:val="26"/>
          <w:rtl/>
        </w:rPr>
      </w:pPr>
      <w:r>
        <w:rPr>
          <w:rFonts w:ascii="Arial" w:hAnsi="Arial"/>
          <w:b/>
          <w:bCs/>
          <w:sz w:val="26"/>
          <w:highlight w:val="cyan"/>
          <w:u w:val="single"/>
          <w:rtl/>
        </w:rPr>
        <w:t>טיעונים לעונש</w:t>
      </w:r>
    </w:p>
    <w:p w14:paraId="706A0A45" w14:textId="77777777" w:rsidR="00B1022C" w:rsidRDefault="00B1022C">
      <w:pPr>
        <w:overflowPunct w:val="0"/>
        <w:autoSpaceDE w:val="0"/>
        <w:autoSpaceDN w:val="0"/>
        <w:adjustRightInd w:val="0"/>
        <w:spacing w:line="360" w:lineRule="auto"/>
        <w:rPr>
          <w:rFonts w:ascii="Arial" w:hAnsi="Arial"/>
          <w:b/>
          <w:bCs/>
          <w:sz w:val="26"/>
          <w:rtl/>
        </w:rPr>
      </w:pPr>
    </w:p>
    <w:p w14:paraId="2F18E32B" w14:textId="77777777" w:rsidR="00B1022C" w:rsidRDefault="00B1022C">
      <w:pPr>
        <w:overflowPunct w:val="0"/>
        <w:autoSpaceDE w:val="0"/>
        <w:autoSpaceDN w:val="0"/>
        <w:adjustRightInd w:val="0"/>
        <w:spacing w:line="360" w:lineRule="auto"/>
        <w:rPr>
          <w:rFonts w:ascii="Arial" w:hAnsi="Arial" w:cs="David"/>
          <w:sz w:val="26"/>
          <w:rtl/>
        </w:rPr>
      </w:pPr>
      <w:r>
        <w:rPr>
          <w:rFonts w:ascii="Arial" w:hAnsi="Arial" w:cs="David" w:hint="cs"/>
          <w:b/>
          <w:bCs/>
          <w:sz w:val="26"/>
          <w:rtl/>
        </w:rPr>
        <w:t>ב"כ המאשימה</w:t>
      </w:r>
      <w:r>
        <w:rPr>
          <w:rFonts w:ascii="Arial" w:hAnsi="Arial" w:cs="David" w:hint="cs"/>
          <w:sz w:val="26"/>
          <w:rtl/>
        </w:rPr>
        <w:t>: הנסיבות של ביצוע העבירה חמורות ואני אסביר מדוע. הנאשם והמתלוננת לא הכירו אחד את השני. הנאשם לא יכול היה לסבור שהמתלוננת יצרה איתו קשר, אפילו לא רגעי, כאשר הנאשם ביצע את העבירה הבזויה ואחז בישבנה של המתלוננת שבסה"כ הגיעה למקום כדי לחלוק שמחה, כל זאת לצורך סיפוקו המיני המיידי. החומרה היתרה שנשקפת מהמעשה התבררה מעדותה של המתלוננת כאשר היא הסבירה כיצד נרעשה מהארוע עצמו וכיצד התריעה וסיפרה על המקרה. הנאשם לאורך כל הארוע לא הביע חרטה ולא התנצל מייד. הקלות שבה ניצל את המצב ואחז בישבנה צריכים לדעתי לזכות לענישה חמורה שיהיה בה מסר מרתיע שאנשים לא יכולים לנהוג בצורה כזאת ולצאת בלי כלום. לכן אני מבקש להשית עונש מאסר, מאסר על תנאי ופיצוי משמעותי למתלוננת.</w:t>
      </w:r>
    </w:p>
    <w:p w14:paraId="68CFA3E3" w14:textId="77777777" w:rsidR="00B1022C" w:rsidRDefault="00B1022C">
      <w:pPr>
        <w:overflowPunct w:val="0"/>
        <w:autoSpaceDE w:val="0"/>
        <w:autoSpaceDN w:val="0"/>
        <w:adjustRightInd w:val="0"/>
        <w:spacing w:line="360" w:lineRule="auto"/>
        <w:rPr>
          <w:rFonts w:ascii="Arial" w:hAnsi="Arial" w:cs="David" w:hint="cs"/>
          <w:sz w:val="26"/>
          <w:rtl/>
        </w:rPr>
      </w:pPr>
    </w:p>
    <w:p w14:paraId="00CF2F4F"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b/>
          <w:bCs/>
          <w:sz w:val="26"/>
          <w:rtl/>
        </w:rPr>
        <w:t>ב"כ הנאשם</w:t>
      </w:r>
      <w:r>
        <w:rPr>
          <w:rFonts w:ascii="Arial" w:hAnsi="Arial" w:cs="David" w:hint="cs"/>
          <w:sz w:val="26"/>
          <w:rtl/>
        </w:rPr>
        <w:t xml:space="preserve">: מתוך הכרעת הדין עולה שגם ביהמ"ש התרשם מהנאשם באופן חיובי. הוא אדם חיובי, איש עמל והוא איננו מתוחכם או ערמומי ואיננו מתכנן תחבולות. הוא אדם נשוי, אב ל-2 ילדים, ללא עבר פלילי. גם הבת שלו וגם חתנו עבדו איתו ביום הארוע באולם. הוא פוטר לאחר כשנה בעצם עקב המקרה הזה. הוא היה מובטל תקופה ארוכה. הנאשם אדם חולני ונכה. בשנת 75' חלה בשחפת, עבר שני ניתוחים, היתה לו פגיעה בכליות. אני מגיש לביהמ"ש אישור על 30 אחוז נכות שנקבעו לו לצמיתות. </w:t>
      </w:r>
    </w:p>
    <w:p w14:paraId="27569622"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הנאשם סיפר לי שמאז המקרה החיים שלו הפכו לסבל אחד מתמשך. מעבר לעובדה ששמו הטוב נפגע, הוא פשוט פוחד להגיע למקומות ציבוריים שונים מחשש שמא יתקל במישהו או במישהי, ואז שוב יתלוננו עליו. </w:t>
      </w:r>
    </w:p>
    <w:p w14:paraId="3FCA652D"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אני מבקש להתחשב בכל האמור לעיל ולפסוק על הנאשם עונש קל ככל האפשר. </w:t>
      </w:r>
    </w:p>
    <w:p w14:paraId="529857FC" w14:textId="77777777" w:rsidR="00B1022C" w:rsidRDefault="00B1022C">
      <w:pPr>
        <w:overflowPunct w:val="0"/>
        <w:autoSpaceDE w:val="0"/>
        <w:autoSpaceDN w:val="0"/>
        <w:adjustRightInd w:val="0"/>
        <w:spacing w:line="360" w:lineRule="auto"/>
        <w:rPr>
          <w:rFonts w:ascii="Arial" w:hAnsi="Arial" w:cs="David" w:hint="cs"/>
          <w:sz w:val="26"/>
          <w:rtl/>
        </w:rPr>
      </w:pPr>
    </w:p>
    <w:p w14:paraId="39743E9B" w14:textId="77777777" w:rsidR="00B1022C" w:rsidRDefault="00B1022C">
      <w:pPr>
        <w:pStyle w:val="Heading1"/>
        <w:spacing w:line="360" w:lineRule="auto"/>
        <w:rPr>
          <w:rFonts w:ascii="Arial" w:hAnsi="Arial" w:cs="David" w:hint="cs"/>
          <w:sz w:val="28"/>
          <w:szCs w:val="28"/>
          <w:rtl/>
        </w:rPr>
      </w:pPr>
      <w:r>
        <w:rPr>
          <w:rFonts w:ascii="Arial" w:hAnsi="Arial" w:cs="David" w:hint="cs"/>
          <w:sz w:val="28"/>
          <w:szCs w:val="28"/>
          <w:highlight w:val="cyan"/>
          <w:rtl/>
        </w:rPr>
        <w:t>ג ז ר -  ד י ן</w:t>
      </w:r>
    </w:p>
    <w:p w14:paraId="3B9294E7" w14:textId="77777777" w:rsidR="00B1022C" w:rsidRDefault="00B1022C">
      <w:pPr>
        <w:overflowPunct w:val="0"/>
        <w:autoSpaceDE w:val="0"/>
        <w:autoSpaceDN w:val="0"/>
        <w:adjustRightInd w:val="0"/>
        <w:spacing w:line="360" w:lineRule="auto"/>
        <w:rPr>
          <w:rFonts w:ascii="Arial" w:hAnsi="Arial" w:cs="David" w:hint="cs"/>
          <w:sz w:val="26"/>
          <w:rtl/>
        </w:rPr>
      </w:pPr>
    </w:p>
    <w:p w14:paraId="01673E89"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הנאשם הורשע לאחר שמיעת הוכחות בתיק בעבירה של מעשה מגונה לפי </w:t>
      </w:r>
      <w:hyperlink r:id="rId26" w:history="1">
        <w:r w:rsidR="00B47B60" w:rsidRPr="00B47B60">
          <w:rPr>
            <w:rFonts w:ascii="Arial" w:hAnsi="Arial" w:cs="David"/>
            <w:color w:val="0000FF"/>
            <w:sz w:val="26"/>
            <w:u w:val="single"/>
            <w:rtl/>
          </w:rPr>
          <w:t>סעיף 348(ג)</w:t>
        </w:r>
      </w:hyperlink>
      <w:r>
        <w:rPr>
          <w:rFonts w:ascii="Arial" w:hAnsi="Arial" w:cs="David" w:hint="cs"/>
          <w:sz w:val="26"/>
          <w:rtl/>
        </w:rPr>
        <w:t xml:space="preserve"> ל</w:t>
      </w:r>
      <w:hyperlink r:id="rId27" w:history="1">
        <w:r w:rsidR="005E368F" w:rsidRPr="005E368F">
          <w:rPr>
            <w:rStyle w:val="Hyperlink"/>
            <w:rFonts w:ascii="Arial" w:hAnsi="Arial" w:cs="David" w:hint="eastAsia"/>
            <w:sz w:val="26"/>
            <w:rtl/>
          </w:rPr>
          <w:t>חוק</w:t>
        </w:r>
        <w:r w:rsidR="005E368F" w:rsidRPr="005E368F">
          <w:rPr>
            <w:rStyle w:val="Hyperlink"/>
            <w:rFonts w:ascii="Arial" w:hAnsi="Arial" w:cs="David"/>
            <w:sz w:val="26"/>
            <w:rtl/>
          </w:rPr>
          <w:t xml:space="preserve"> העונשין</w:t>
        </w:r>
      </w:hyperlink>
      <w:r>
        <w:rPr>
          <w:rFonts w:ascii="Arial" w:hAnsi="Arial" w:cs="David" w:hint="cs"/>
          <w:sz w:val="26"/>
          <w:rtl/>
        </w:rPr>
        <w:t xml:space="preserve">. בהכרעת הדין קבעתי כי ב-15.6.03 בשעה שנערכה באולם הארועים בו עבד הנאשם כמלצר ראשי, חתונה רבת משתתפים, תפס הנאשם שלא כדין בישבנה של אחת מאורחות החתונה – ש' ק' (להלן:"המתלוננת"). קבעתי בהכרעת הדין גם כי למעשהו של הנאשם היתה תכלית ברורה של גירוי או ביזוי מיני. </w:t>
      </w:r>
    </w:p>
    <w:p w14:paraId="70D6AE5C" w14:textId="77777777" w:rsidR="00B1022C" w:rsidRDefault="00B1022C">
      <w:pPr>
        <w:overflowPunct w:val="0"/>
        <w:autoSpaceDE w:val="0"/>
        <w:autoSpaceDN w:val="0"/>
        <w:adjustRightInd w:val="0"/>
        <w:spacing w:line="360" w:lineRule="auto"/>
        <w:rPr>
          <w:rFonts w:ascii="Arial" w:hAnsi="Arial" w:cs="David" w:hint="cs"/>
          <w:sz w:val="26"/>
          <w:rtl/>
        </w:rPr>
      </w:pPr>
    </w:p>
    <w:p w14:paraId="76EC0026"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sz w:val="26"/>
          <w:rtl/>
        </w:rPr>
        <w:t>בגזירת עונשו של הנאשם אני מביאה בחשבון בראש ובראשונה את חומרת המעשה; בעיני, אף שמדובר בעבירה שאיננה מן החמורות בפרק זה ב</w:t>
      </w:r>
      <w:hyperlink r:id="rId28" w:history="1">
        <w:r w:rsidR="005E368F" w:rsidRPr="005E368F">
          <w:rPr>
            <w:rStyle w:val="Hyperlink"/>
            <w:rFonts w:ascii="Arial" w:hAnsi="Arial" w:cs="David" w:hint="eastAsia"/>
            <w:sz w:val="26"/>
            <w:rtl/>
          </w:rPr>
          <w:t>חוק</w:t>
        </w:r>
        <w:r w:rsidR="005E368F" w:rsidRPr="005E368F">
          <w:rPr>
            <w:rStyle w:val="Hyperlink"/>
            <w:rFonts w:ascii="Arial" w:hAnsi="Arial" w:cs="David"/>
            <w:sz w:val="26"/>
            <w:rtl/>
          </w:rPr>
          <w:t xml:space="preserve"> העונשין</w:t>
        </w:r>
      </w:hyperlink>
      <w:r>
        <w:rPr>
          <w:rFonts w:ascii="Arial" w:hAnsi="Arial" w:cs="David" w:hint="cs"/>
          <w:sz w:val="26"/>
          <w:rtl/>
        </w:rPr>
        <w:t xml:space="preserve">, ואף שהנסיבות המיוחסות לנאשם אינן במדרג חומרה קיצוני, הרי שמן ההבט המוסרי הערכי מדובר בפגיעה קשה בזכות יסוד של המתלוננת, זכותה לגופה, זכותה לשלוות נפש, מבלי שתהיה חשופה למגע זה ואחר בחלקי גופה השונים ע"י מי שהוא רק עובר אורח בחייה. מן ההבטים האלה אמור היה עונשו של הנאשם להיות חמור. </w:t>
      </w:r>
    </w:p>
    <w:p w14:paraId="56CE996E" w14:textId="77777777" w:rsidR="00B1022C" w:rsidRDefault="00B1022C">
      <w:pPr>
        <w:overflowPunct w:val="0"/>
        <w:autoSpaceDE w:val="0"/>
        <w:autoSpaceDN w:val="0"/>
        <w:adjustRightInd w:val="0"/>
        <w:spacing w:line="360" w:lineRule="auto"/>
        <w:rPr>
          <w:rFonts w:ascii="Arial" w:hAnsi="Arial" w:cs="David" w:hint="cs"/>
          <w:sz w:val="26"/>
          <w:rtl/>
        </w:rPr>
      </w:pPr>
    </w:p>
    <w:p w14:paraId="4EE0F2E4"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מן העבר האחר לא אתעלם מנסיבותיו האישיות של הנאשם, שלהן משקל רב לקולא: מדובר באדם לא צעיר, יליד 1948, שאין לו כל הסתבכות אחרת בחייו ואף בהכרעת הדין ציינתי את התרשמותי הכללית מאופיו החיובי ותכונותיו התרומיות. אין בדעתי להיכנס לגורמים שהביאו את הנאשם ברגע המסוים ההוא לבצע מה שביצע במתלוננת, אולם ברי כי מדובר במעשה שכנראה אינו מאפיין אותו ומשכך, לא אמצה עמו את הדין. </w:t>
      </w:r>
    </w:p>
    <w:p w14:paraId="26D2FE2E" w14:textId="77777777" w:rsidR="00B1022C" w:rsidRDefault="00B1022C">
      <w:pPr>
        <w:overflowPunct w:val="0"/>
        <w:autoSpaceDE w:val="0"/>
        <w:autoSpaceDN w:val="0"/>
        <w:adjustRightInd w:val="0"/>
        <w:spacing w:line="360" w:lineRule="auto"/>
        <w:rPr>
          <w:rFonts w:ascii="Arial" w:hAnsi="Arial" w:cs="David" w:hint="cs"/>
          <w:sz w:val="26"/>
          <w:rtl/>
        </w:rPr>
      </w:pPr>
    </w:p>
    <w:p w14:paraId="076DED07"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sz w:val="26"/>
          <w:rtl/>
        </w:rPr>
        <w:t xml:space="preserve">אני מתחשבת לקולא בטיעוני הסניגור לענין מצבו הבריאותי הקשה של הנאשם, היותו חולה החי היום מקצבת נכות והעובדה שבעקבות הארוע פוטר ממקום עבודתו. </w:t>
      </w:r>
    </w:p>
    <w:p w14:paraId="1F2ACF81" w14:textId="77777777" w:rsidR="00B1022C" w:rsidRDefault="00B1022C">
      <w:pPr>
        <w:overflowPunct w:val="0"/>
        <w:autoSpaceDE w:val="0"/>
        <w:autoSpaceDN w:val="0"/>
        <w:adjustRightInd w:val="0"/>
        <w:spacing w:line="360" w:lineRule="auto"/>
        <w:rPr>
          <w:rFonts w:ascii="Arial" w:hAnsi="Arial" w:cs="David" w:hint="cs"/>
          <w:sz w:val="26"/>
          <w:rtl/>
        </w:rPr>
      </w:pPr>
    </w:p>
    <w:p w14:paraId="486756EA" w14:textId="77777777" w:rsidR="00B1022C" w:rsidRDefault="00B1022C">
      <w:pPr>
        <w:overflowPunct w:val="0"/>
        <w:autoSpaceDE w:val="0"/>
        <w:autoSpaceDN w:val="0"/>
        <w:adjustRightInd w:val="0"/>
        <w:spacing w:line="360" w:lineRule="auto"/>
        <w:rPr>
          <w:rFonts w:ascii="Arial" w:hAnsi="Arial" w:cs="David" w:hint="cs"/>
          <w:sz w:val="26"/>
          <w:rtl/>
        </w:rPr>
      </w:pPr>
      <w:r>
        <w:rPr>
          <w:rFonts w:ascii="Arial" w:hAnsi="Arial" w:cs="David" w:hint="cs"/>
          <w:sz w:val="26"/>
          <w:rtl/>
        </w:rPr>
        <w:t>אשר על כן, אני גוזרת על הנאשם, בגין העבירה בה הורשע:</w:t>
      </w:r>
    </w:p>
    <w:p w14:paraId="3F7E1AB0" w14:textId="77777777" w:rsidR="00B1022C" w:rsidRDefault="00B1022C">
      <w:pPr>
        <w:overflowPunct w:val="0"/>
        <w:autoSpaceDE w:val="0"/>
        <w:autoSpaceDN w:val="0"/>
        <w:adjustRightInd w:val="0"/>
        <w:spacing w:line="360" w:lineRule="auto"/>
        <w:rPr>
          <w:rFonts w:ascii="Arial" w:hAnsi="Arial" w:cs="David" w:hint="cs"/>
          <w:sz w:val="26"/>
          <w:rtl/>
        </w:rPr>
      </w:pPr>
    </w:p>
    <w:p w14:paraId="63D296F2" w14:textId="77777777" w:rsidR="00B1022C" w:rsidRDefault="00B1022C">
      <w:pPr>
        <w:pStyle w:val="BodyText"/>
        <w:spacing w:line="360" w:lineRule="auto"/>
        <w:ind w:left="720" w:hanging="720"/>
        <w:rPr>
          <w:rFonts w:ascii="Arial" w:hAnsi="Arial" w:hint="cs"/>
          <w:b w:val="0"/>
          <w:bCs w:val="0"/>
          <w:sz w:val="26"/>
          <w:szCs w:val="26"/>
          <w:rtl/>
        </w:rPr>
      </w:pPr>
      <w:r>
        <w:rPr>
          <w:rFonts w:ascii="Arial" w:hAnsi="Arial" w:hint="cs"/>
          <w:b w:val="0"/>
          <w:bCs w:val="0"/>
          <w:sz w:val="26"/>
          <w:szCs w:val="26"/>
          <w:rtl/>
        </w:rPr>
        <w:t>1.</w:t>
      </w:r>
      <w:r>
        <w:rPr>
          <w:rFonts w:ascii="Arial" w:hAnsi="Arial" w:hint="cs"/>
          <w:b w:val="0"/>
          <w:bCs w:val="0"/>
          <w:sz w:val="26"/>
          <w:szCs w:val="26"/>
          <w:rtl/>
        </w:rPr>
        <w:tab/>
        <w:t xml:space="preserve">מאסר על תנאי בן 7 חודשים והתנאי הוא שהנאשם לא יעבור תוך 3 שנים מהיום עבירה לפי </w:t>
      </w:r>
      <w:hyperlink r:id="rId29" w:history="1">
        <w:r w:rsidR="00B47B60" w:rsidRPr="00B47B60">
          <w:rPr>
            <w:rFonts w:ascii="Arial" w:hAnsi="Arial"/>
            <w:b w:val="0"/>
            <w:bCs w:val="0"/>
            <w:color w:val="0000FF"/>
            <w:sz w:val="26"/>
            <w:szCs w:val="26"/>
            <w:u w:val="single"/>
            <w:rtl/>
          </w:rPr>
          <w:t>סעיף 348</w:t>
        </w:r>
      </w:hyperlink>
      <w:r>
        <w:rPr>
          <w:rFonts w:ascii="Arial" w:hAnsi="Arial" w:hint="cs"/>
          <w:b w:val="0"/>
          <w:bCs w:val="0"/>
          <w:sz w:val="26"/>
          <w:szCs w:val="26"/>
          <w:rtl/>
        </w:rPr>
        <w:t xml:space="preserve"> ל</w:t>
      </w:r>
      <w:hyperlink r:id="rId30" w:history="1">
        <w:r w:rsidR="005E368F" w:rsidRPr="005E368F">
          <w:rPr>
            <w:rStyle w:val="Hyperlink"/>
            <w:rFonts w:ascii="Arial" w:hAnsi="Arial" w:hint="eastAsia"/>
            <w:b w:val="0"/>
            <w:bCs w:val="0"/>
            <w:sz w:val="26"/>
            <w:szCs w:val="26"/>
            <w:rtl/>
          </w:rPr>
          <w:t>חוק</w:t>
        </w:r>
        <w:r w:rsidR="005E368F" w:rsidRPr="005E368F">
          <w:rPr>
            <w:rStyle w:val="Hyperlink"/>
            <w:rFonts w:ascii="Arial" w:hAnsi="Arial"/>
            <w:b w:val="0"/>
            <w:bCs w:val="0"/>
            <w:sz w:val="26"/>
            <w:szCs w:val="26"/>
            <w:rtl/>
          </w:rPr>
          <w:t xml:space="preserve"> העונשין</w:t>
        </w:r>
      </w:hyperlink>
      <w:r>
        <w:rPr>
          <w:rFonts w:ascii="Arial" w:hAnsi="Arial" w:hint="cs"/>
          <w:b w:val="0"/>
          <w:bCs w:val="0"/>
          <w:sz w:val="26"/>
          <w:szCs w:val="26"/>
          <w:rtl/>
        </w:rPr>
        <w:t xml:space="preserve"> תשל"ז – 1977.</w:t>
      </w:r>
    </w:p>
    <w:p w14:paraId="20F5A6EB" w14:textId="77777777" w:rsidR="00B1022C" w:rsidRDefault="00B1022C">
      <w:pPr>
        <w:overflowPunct w:val="0"/>
        <w:autoSpaceDE w:val="0"/>
        <w:autoSpaceDN w:val="0"/>
        <w:adjustRightInd w:val="0"/>
        <w:spacing w:line="360" w:lineRule="auto"/>
        <w:ind w:left="1440" w:hanging="1440"/>
        <w:rPr>
          <w:rFonts w:ascii="Arial" w:hAnsi="Arial" w:cs="David" w:hint="cs"/>
          <w:sz w:val="26"/>
          <w:rtl/>
        </w:rPr>
      </w:pPr>
    </w:p>
    <w:p w14:paraId="0B115985" w14:textId="77777777" w:rsidR="00B1022C" w:rsidRDefault="00B1022C">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2.</w:t>
      </w:r>
      <w:r>
        <w:rPr>
          <w:rFonts w:ascii="Arial" w:hAnsi="Arial" w:cs="David" w:hint="cs"/>
          <w:sz w:val="26"/>
          <w:rtl/>
        </w:rPr>
        <w:tab/>
        <w:t>קנס כספי בסך 750  ₪ או 7 ימי מאסר תמורתו.</w:t>
      </w:r>
    </w:p>
    <w:p w14:paraId="33A3F61E" w14:textId="77777777" w:rsidR="00B1022C" w:rsidRDefault="00B1022C">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ab/>
        <w:t xml:space="preserve">הקנס יופקד תוך 60 יום מהיום בקופת ביהמ"ש. </w:t>
      </w:r>
    </w:p>
    <w:p w14:paraId="3425BC95" w14:textId="77777777" w:rsidR="00B1022C" w:rsidRDefault="00B1022C">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ab/>
        <w:t>היה והקנס או שיעור משיעוריו לא ישולם במועד, תעמוד יתרת הקנס לתשלום מיידי.</w:t>
      </w:r>
    </w:p>
    <w:p w14:paraId="26C0783F" w14:textId="77777777" w:rsidR="00B1022C" w:rsidRDefault="00B1022C">
      <w:pPr>
        <w:overflowPunct w:val="0"/>
        <w:autoSpaceDE w:val="0"/>
        <w:autoSpaceDN w:val="0"/>
        <w:adjustRightInd w:val="0"/>
        <w:spacing w:line="360" w:lineRule="auto"/>
        <w:ind w:left="720" w:hanging="720"/>
        <w:rPr>
          <w:rFonts w:ascii="Arial" w:hAnsi="Arial" w:cs="David" w:hint="cs"/>
          <w:sz w:val="26"/>
          <w:rtl/>
        </w:rPr>
      </w:pPr>
    </w:p>
    <w:p w14:paraId="40D1D3BE" w14:textId="77777777" w:rsidR="00B1022C" w:rsidRDefault="00B1022C">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זכות ערעור משך 45 יום מהיום.</w:t>
      </w:r>
    </w:p>
    <w:p w14:paraId="4CB4E51B" w14:textId="77777777" w:rsidR="00B1022C" w:rsidRDefault="00B1022C">
      <w:pPr>
        <w:overflowPunct w:val="0"/>
        <w:autoSpaceDE w:val="0"/>
        <w:autoSpaceDN w:val="0"/>
        <w:adjustRightInd w:val="0"/>
        <w:spacing w:line="360" w:lineRule="auto"/>
        <w:ind w:left="720" w:hanging="720"/>
        <w:rPr>
          <w:rFonts w:ascii="Arial" w:hAnsi="Arial" w:cs="David" w:hint="cs"/>
          <w:sz w:val="26"/>
          <w:rtl/>
        </w:rPr>
      </w:pPr>
    </w:p>
    <w:p w14:paraId="52C628C8" w14:textId="77777777" w:rsidR="00B1022C" w:rsidRDefault="00B1022C">
      <w:pPr>
        <w:overflowPunct w:val="0"/>
        <w:autoSpaceDE w:val="0"/>
        <w:autoSpaceDN w:val="0"/>
        <w:adjustRightInd w:val="0"/>
        <w:spacing w:line="360" w:lineRule="auto"/>
        <w:ind w:left="720" w:hanging="720"/>
        <w:rPr>
          <w:rFonts w:ascii="Arial" w:hAnsi="Arial" w:cs="David" w:hint="cs"/>
          <w:b/>
          <w:bCs/>
          <w:sz w:val="26"/>
          <w:rtl/>
        </w:rPr>
      </w:pPr>
      <w:r>
        <w:rPr>
          <w:rFonts w:ascii="Arial" w:hAnsi="Arial" w:cs="David" w:hint="cs"/>
          <w:b/>
          <w:bCs/>
          <w:sz w:val="26"/>
          <w:rtl/>
        </w:rPr>
        <w:t>ניתן והודע היום 04 ביולי, 2005 (כ"ז בסיון תשס"ה) במעמד הצדדים.</w:t>
      </w:r>
    </w:p>
    <w:p w14:paraId="171750AF" w14:textId="77777777" w:rsidR="00B1022C" w:rsidRDefault="00B1022C">
      <w:pPr>
        <w:overflowPunct w:val="0"/>
        <w:autoSpaceDE w:val="0"/>
        <w:autoSpaceDN w:val="0"/>
        <w:adjustRightInd w:val="0"/>
        <w:spacing w:line="360" w:lineRule="auto"/>
        <w:ind w:left="720" w:hanging="720"/>
        <w:rPr>
          <w:rFonts w:ascii="Arial" w:hAnsi="Arial" w:cs="David" w:hint="cs"/>
          <w:sz w:val="26"/>
          <w:rtl/>
        </w:rPr>
      </w:pPr>
      <w:r>
        <w:rPr>
          <w:rFonts w:ascii="Arial" w:hAnsi="Arial" w:cs="David" w:hint="cs"/>
          <w:sz w:val="26"/>
          <w:rtl/>
        </w:rPr>
        <w:t xml:space="preserve">                                                         </w:t>
      </w:r>
    </w:p>
    <w:tbl>
      <w:tblPr>
        <w:tblW w:w="2772" w:type="dxa"/>
        <w:tblInd w:w="5999" w:type="dxa"/>
        <w:tblBorders>
          <w:top w:val="single" w:sz="4" w:space="0" w:color="auto"/>
        </w:tblBorders>
        <w:tblLook w:val="0000" w:firstRow="0" w:lastRow="0" w:firstColumn="0" w:lastColumn="0" w:noHBand="0" w:noVBand="0"/>
      </w:tblPr>
      <w:tblGrid>
        <w:gridCol w:w="2772"/>
      </w:tblGrid>
      <w:tr w:rsidR="00B1022C" w14:paraId="46B32DE9" w14:textId="77777777">
        <w:tc>
          <w:tcPr>
            <w:tcW w:w="2772" w:type="dxa"/>
            <w:tcBorders>
              <w:top w:val="single" w:sz="4" w:space="0" w:color="auto"/>
              <w:left w:val="nil"/>
              <w:bottom w:val="nil"/>
              <w:right w:val="nil"/>
            </w:tcBorders>
          </w:tcPr>
          <w:p w14:paraId="747EFCBF" w14:textId="77777777" w:rsidR="00B1022C" w:rsidRDefault="00B1022C">
            <w:pPr>
              <w:jc w:val="center"/>
              <w:rPr>
                <w:rFonts w:ascii="Arial" w:hAnsi="Arial" w:cs="David"/>
                <w:b/>
                <w:bCs/>
                <w:sz w:val="26"/>
              </w:rPr>
            </w:pPr>
            <w:r>
              <w:rPr>
                <w:rFonts w:ascii="Arial" w:hAnsi="Arial" w:cs="David" w:hint="cs"/>
                <w:sz w:val="26"/>
                <w:rtl/>
              </w:rPr>
              <w:t xml:space="preserve">                                                        </w:t>
            </w:r>
            <w:r>
              <w:rPr>
                <w:rFonts w:ascii="Arial" w:hAnsi="Arial" w:cs="David" w:hint="cs"/>
                <w:b/>
                <w:bCs/>
                <w:sz w:val="26"/>
                <w:rtl/>
              </w:rPr>
              <w:t>שריזלי דניאלה, שופטת</w:t>
            </w:r>
          </w:p>
        </w:tc>
      </w:tr>
    </w:tbl>
    <w:bookmarkEnd w:id="12"/>
    <w:p w14:paraId="62F52DAB" w14:textId="77777777" w:rsidR="00B1022C" w:rsidRDefault="00B1022C">
      <w:pPr>
        <w:overflowPunct w:val="0"/>
        <w:autoSpaceDE w:val="0"/>
        <w:autoSpaceDN w:val="0"/>
        <w:adjustRightInd w:val="0"/>
        <w:spacing w:line="360" w:lineRule="auto"/>
        <w:ind w:left="720" w:hanging="720"/>
        <w:rPr>
          <w:rFonts w:hint="cs"/>
          <w:rtl/>
        </w:rPr>
      </w:pPr>
      <w:r>
        <w:rPr>
          <w:rtl/>
        </w:rPr>
        <w:t>נוסח מסמך זה כפוף לשינויי ניסוח ועריכה</w:t>
      </w:r>
    </w:p>
    <w:sectPr w:rsidR="00B1022C">
      <w:headerReference w:type="even" r:id="rId31"/>
      <w:headerReference w:type="default" r:id="rId32"/>
      <w:footerReference w:type="even" r:id="rId33"/>
      <w:footerReference w:type="default" r:id="rId34"/>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0E5C" w14:textId="77777777" w:rsidR="005613F2" w:rsidRDefault="005613F2">
      <w:r>
        <w:separator/>
      </w:r>
    </w:p>
  </w:endnote>
  <w:endnote w:type="continuationSeparator" w:id="0">
    <w:p w14:paraId="154BEB8B" w14:textId="77777777" w:rsidR="005613F2" w:rsidRDefault="0056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36BB" w14:textId="77777777" w:rsidR="00813153" w:rsidRDefault="0081315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10</w:t>
    </w:r>
    <w:r>
      <w:rPr>
        <w:rFonts w:hAnsi="FrankRuehl" w:cs="FrankRuehl"/>
        <w:sz w:val="24"/>
        <w:rtl/>
      </w:rPr>
      <w:fldChar w:fldCharType="end"/>
    </w:r>
  </w:p>
  <w:p w14:paraId="7F4E7514" w14:textId="77777777" w:rsidR="00813153" w:rsidRDefault="0081315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EE759A" w14:textId="77777777" w:rsidR="00813153" w:rsidRDefault="0081315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M:\00000000\05-07-05\06\OutDoc\s04008612-390.doc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C8C4" w14:textId="77777777" w:rsidR="00813153" w:rsidRDefault="0081315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A234B">
      <w:rPr>
        <w:rFonts w:hAnsi="FrankRuehl" w:cs="FrankRuehl"/>
        <w:noProof/>
        <w:sz w:val="24"/>
        <w:rtl/>
      </w:rPr>
      <w:t>2</w:t>
    </w:r>
    <w:r>
      <w:rPr>
        <w:rFonts w:hAnsi="FrankRuehl" w:cs="FrankRuehl"/>
        <w:sz w:val="24"/>
        <w:rtl/>
      </w:rPr>
      <w:fldChar w:fldCharType="end"/>
    </w:r>
  </w:p>
  <w:p w14:paraId="2B71C445" w14:textId="77777777" w:rsidR="00813153" w:rsidRDefault="0081315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836654" w14:textId="77777777" w:rsidR="00813153" w:rsidRDefault="0081315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M:\00000000\05-07-05\06\OutDoc\s04008612-390.doc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D3C8" w14:textId="77777777" w:rsidR="005613F2" w:rsidRDefault="005613F2">
      <w:r>
        <w:separator/>
      </w:r>
    </w:p>
  </w:footnote>
  <w:footnote w:type="continuationSeparator" w:id="0">
    <w:p w14:paraId="29975AE5" w14:textId="77777777" w:rsidR="005613F2" w:rsidRDefault="005613F2">
      <w:r>
        <w:continuationSeparator/>
      </w:r>
    </w:p>
  </w:footnote>
  <w:footnote w:id="1">
    <w:p w14:paraId="277567FC" w14:textId="77777777" w:rsidR="00813153" w:rsidRDefault="00813153">
      <w:pPr>
        <w:pStyle w:val="FootnoteText"/>
        <w:rPr>
          <w:szCs w:val="32"/>
          <w:rtl/>
        </w:rPr>
      </w:pPr>
      <w:r>
        <w:rPr>
          <w:rStyle w:val="FootnoteReference"/>
        </w:rPr>
        <w:footnoteRef/>
      </w:r>
      <w:r>
        <w:t xml:space="preserve"> </w:t>
      </w:r>
      <w:r>
        <w:rPr>
          <w:rFonts w:hint="cs"/>
          <w:rtl/>
        </w:rPr>
        <w:t xml:space="preserve"> </w:t>
      </w:r>
      <w:r>
        <w:rPr>
          <w:rFonts w:cs="David" w:hint="cs"/>
          <w:szCs w:val="26"/>
          <w:rtl/>
        </w:rPr>
        <w:t xml:space="preserve"> </w:t>
      </w:r>
      <w:r>
        <w:rPr>
          <w:rFonts w:cs="David" w:hint="cs"/>
          <w:sz w:val="22"/>
          <w:szCs w:val="24"/>
          <w:rtl/>
        </w:rPr>
        <w:t>לגישתי, במרבית המקרים, אין התנגשות בין שני המבחנים.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E3FA" w14:textId="77777777" w:rsidR="00813153" w:rsidRDefault="0081315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8612/04</w:t>
    </w:r>
    <w:r>
      <w:rPr>
        <w:rFonts w:hAnsi="David"/>
        <w:color w:val="000000"/>
        <w:sz w:val="22"/>
        <w:szCs w:val="22"/>
        <w:rtl/>
      </w:rPr>
      <w:tab/>
      <w:t xml:space="preserve"> מדינת ישראל נ' לוי סעדיה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B986" w14:textId="77777777" w:rsidR="00813153" w:rsidRDefault="0081315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8612/04</w:t>
    </w:r>
    <w:r>
      <w:rPr>
        <w:rFonts w:hAnsi="David"/>
        <w:color w:val="000000"/>
        <w:sz w:val="22"/>
        <w:szCs w:val="22"/>
        <w:rtl/>
      </w:rPr>
      <w:tab/>
      <w:t xml:space="preserve"> מדינת ישראל נ' לוי סעדיה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1022C"/>
    <w:rsid w:val="005613F2"/>
    <w:rsid w:val="005D6137"/>
    <w:rsid w:val="005E368F"/>
    <w:rsid w:val="006213A3"/>
    <w:rsid w:val="00813153"/>
    <w:rsid w:val="00B1022C"/>
    <w:rsid w:val="00B47B60"/>
    <w:rsid w:val="00BA2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B6A5D6"/>
  <w15:chartTrackingRefBased/>
  <w15:docId w15:val="{DF5B9B05-E076-41D0-A83F-13E261D2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jc w:val="both"/>
    </w:pPr>
    <w:rPr>
      <w:rFonts w:cs="Arial"/>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360" w:lineRule="auto"/>
      <w:ind w:right="567"/>
      <w:outlineLvl w:val="3"/>
    </w:pPr>
    <w:rPr>
      <w:rFonts w:cs="David"/>
      <w:b/>
      <w:bCs/>
      <w:sz w:val="30"/>
      <w:szCs w:val="28"/>
    </w:rPr>
  </w:style>
  <w:style w:type="paragraph" w:styleId="Heading5">
    <w:name w:val="heading 5"/>
    <w:basedOn w:val="Normal"/>
    <w:next w:val="Normal"/>
    <w:qFormat/>
    <w:pPr>
      <w:keepNext/>
      <w:spacing w:line="360" w:lineRule="auto"/>
      <w:ind w:right="142"/>
      <w:outlineLvl w:val="4"/>
    </w:pPr>
    <w:rPr>
      <w:rFonts w:cs="David"/>
      <w:b/>
      <w:bCs/>
      <w:sz w:val="30"/>
      <w:szCs w:val="28"/>
    </w:rPr>
  </w:style>
  <w:style w:type="paragraph" w:styleId="Heading6">
    <w:name w:val="heading 6"/>
    <w:basedOn w:val="Normal"/>
    <w:next w:val="Normal"/>
    <w:qFormat/>
    <w:pPr>
      <w:keepNext/>
      <w:spacing w:line="360" w:lineRule="auto"/>
      <w:ind w:right="567"/>
      <w:outlineLvl w:val="5"/>
    </w:pPr>
    <w:rPr>
      <w:rFonts w:cs="David"/>
      <w:b/>
      <w:bCs/>
      <w:sz w:val="30"/>
      <w:szCs w:val="28"/>
    </w:rPr>
  </w:style>
  <w:style w:type="paragraph" w:styleId="Heading7">
    <w:name w:val="heading 7"/>
    <w:basedOn w:val="Normal"/>
    <w:next w:val="Normal"/>
    <w:qFormat/>
    <w:pPr>
      <w:keepNext/>
      <w:spacing w:line="360" w:lineRule="auto"/>
      <w:ind w:right="142"/>
      <w:outlineLvl w:val="6"/>
    </w:pPr>
    <w:rPr>
      <w:rFonts w:ascii="Arial" w:hAnsi="Arial" w:cs="David"/>
      <w:b/>
      <w:bCs/>
      <w:sz w:val="3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pPr>
      <w:snapToGrid w:val="0"/>
    </w:pPr>
    <w:rPr>
      <w:rFonts w:cs="FrankRuehl"/>
      <w:sz w:val="24"/>
      <w:szCs w:val="28"/>
    </w:rPr>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spacing w:line="360" w:lineRule="auto"/>
    </w:pPr>
    <w:rPr>
      <w:rFonts w:cs="David"/>
      <w:sz w:val="22"/>
      <w:szCs w:val="24"/>
    </w:rPr>
  </w:style>
  <w:style w:type="paragraph" w:styleId="Title">
    <w:name w:val="Title"/>
    <w:basedOn w:val="Normal"/>
    <w:qFormat/>
    <w:pPr>
      <w:overflowPunct w:val="0"/>
      <w:autoSpaceDE w:val="0"/>
      <w:autoSpaceDN w:val="0"/>
      <w:adjustRightInd w:val="0"/>
      <w:jc w:val="center"/>
    </w:pPr>
    <w:rPr>
      <w:b/>
      <w:bCs/>
      <w:sz w:val="32"/>
      <w:szCs w:val="30"/>
      <w:u w:val="single"/>
    </w:rPr>
  </w:style>
  <w:style w:type="paragraph" w:styleId="BodyText">
    <w:name w:val="Body Text"/>
    <w:basedOn w:val="Normal"/>
    <w:pPr>
      <w:snapToGrid w:val="0"/>
      <w:spacing w:line="480" w:lineRule="auto"/>
    </w:pPr>
    <w:rPr>
      <w:rFonts w:cs="David"/>
      <w:b/>
      <w:bCs/>
      <w:sz w:val="24"/>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FootnoteReference">
    <w:name w:val="footnote reference"/>
    <w:semiHidden/>
    <w:rPr>
      <w:rFonts w:cs="FrankRuehl"/>
      <w:vertAlign w:val="superscript"/>
    </w:rPr>
  </w:style>
  <w:style w:type="character" w:styleId="PageNumber">
    <w:name w:val="page number"/>
    <w:rPr>
      <w:rFonts w:cs="David"/>
    </w:rPr>
  </w:style>
  <w:style w:type="character" w:styleId="Hyperlink">
    <w:name w:val="Hyperlink"/>
    <w:rsid w:val="005E3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7938180" TargetMode="External"/><Relationship Id="rId26" Type="http://schemas.openxmlformats.org/officeDocument/2006/relationships/hyperlink" Target="http://www.nevo.co.il/law/70301/348.c"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70301/348"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case/17913797"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17939058" TargetMode="External"/><Relationship Id="rId20" Type="http://schemas.openxmlformats.org/officeDocument/2006/relationships/hyperlink" Target="http://www.nevo.co.il/law/70301/348.c" TargetMode="External"/><Relationship Id="rId29" Type="http://schemas.openxmlformats.org/officeDocument/2006/relationships/hyperlink" Target="http://www.nevo.co.il/law/70301/34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348.c"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68112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348.c" TargetMode="External"/><Relationship Id="rId19" Type="http://schemas.openxmlformats.org/officeDocument/2006/relationships/hyperlink" Target="http://www.nevo.co.il/case/17941097"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ntTable" Target="fontTable.xml"/><Relationship Id="rId8"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2610</Words>
  <Characters>14878</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17454</CharactersWithSpaces>
  <SharedDoc>false</SharedDoc>
  <HLinks>
    <vt:vector size="150" baseType="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http://www.nevo.co.il/law/70301/348</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5177438</vt:i4>
      </vt:variant>
      <vt:variant>
        <vt:i4>60</vt:i4>
      </vt:variant>
      <vt:variant>
        <vt:i4>0</vt:i4>
      </vt:variant>
      <vt:variant>
        <vt:i4>5</vt:i4>
      </vt:variant>
      <vt:variant>
        <vt:lpwstr>http://www.nevo.co.il/law/70301/348.c</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3145847</vt:i4>
      </vt:variant>
      <vt:variant>
        <vt:i4>39</vt:i4>
      </vt:variant>
      <vt:variant>
        <vt:i4>0</vt:i4>
      </vt:variant>
      <vt:variant>
        <vt:i4>5</vt:i4>
      </vt:variant>
      <vt:variant>
        <vt:lpwstr>http://www.nevo.co.il/case/17941097</vt:lpwstr>
      </vt:variant>
      <vt:variant>
        <vt:lpwstr/>
      </vt:variant>
      <vt:variant>
        <vt:i4>3670129</vt:i4>
      </vt:variant>
      <vt:variant>
        <vt:i4>36</vt:i4>
      </vt:variant>
      <vt:variant>
        <vt:i4>0</vt:i4>
      </vt:variant>
      <vt:variant>
        <vt:i4>5</vt:i4>
      </vt:variant>
      <vt:variant>
        <vt:lpwstr>http://www.nevo.co.il/case/17938180</vt:lpwstr>
      </vt:variant>
      <vt:variant>
        <vt:lpwstr/>
      </vt:variant>
      <vt:variant>
        <vt:i4>3276917</vt:i4>
      </vt:variant>
      <vt:variant>
        <vt:i4>33</vt:i4>
      </vt:variant>
      <vt:variant>
        <vt:i4>0</vt:i4>
      </vt:variant>
      <vt:variant>
        <vt:i4>5</vt:i4>
      </vt:variant>
      <vt:variant>
        <vt:lpwstr>http://www.nevo.co.il/case/17913797</vt:lpwstr>
      </vt:variant>
      <vt:variant>
        <vt:lpwstr/>
      </vt:variant>
      <vt:variant>
        <vt:i4>3407984</vt:i4>
      </vt:variant>
      <vt:variant>
        <vt:i4>30</vt:i4>
      </vt:variant>
      <vt:variant>
        <vt:i4>0</vt:i4>
      </vt:variant>
      <vt:variant>
        <vt:i4>5</vt:i4>
      </vt:variant>
      <vt:variant>
        <vt:lpwstr>http://www.nevo.co.il/case/17939058</vt:lpwstr>
      </vt:variant>
      <vt:variant>
        <vt:lpwstr/>
      </vt:variant>
      <vt:variant>
        <vt:i4>3670129</vt:i4>
      </vt:variant>
      <vt:variant>
        <vt:i4>27</vt:i4>
      </vt:variant>
      <vt:variant>
        <vt:i4>0</vt:i4>
      </vt:variant>
      <vt:variant>
        <vt:i4>5</vt:i4>
      </vt:variant>
      <vt:variant>
        <vt:lpwstr>http://www.nevo.co.il/case/5681124</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8612</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לוי סעדיה</vt:lpwstr>
  </property>
  <property fmtid="{D5CDD505-2E9C-101B-9397-08002B2CF9AE}" pid="9" name="LAWYER">
    <vt:lpwstr>אבי וכניש;דני חבה</vt:lpwstr>
  </property>
  <property fmtid="{D5CDD505-2E9C-101B-9397-08002B2CF9AE}" pid="10" name="JUDGE">
    <vt:lpwstr>שריזלי דניאלה</vt:lpwstr>
  </property>
  <property fmtid="{D5CDD505-2E9C-101B-9397-08002B2CF9AE}" pid="11" name="CITY">
    <vt:lpwstr>ת"א</vt:lpwstr>
  </property>
  <property fmtid="{D5CDD505-2E9C-101B-9397-08002B2CF9AE}" pid="12" name="DATE">
    <vt:lpwstr>20050704</vt:lpwstr>
  </property>
  <property fmtid="{D5CDD505-2E9C-101B-9397-08002B2CF9AE}" pid="13" name="WORDNUMPAGES">
    <vt:lpwstr>10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5681124;17939058;17913797;17938180;17941097</vt:lpwstr>
  </property>
  <property fmtid="{D5CDD505-2E9C-101B-9397-08002B2CF9AE}" pid="32" name="LAWLISTTMP1">
    <vt:lpwstr>70301/348.c:12;348.f:2;348:2</vt:lpwstr>
  </property>
</Properties>
</file>