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DDDE" w14:textId="77777777" w:rsidR="00912FCC" w:rsidRDefault="00912FCC">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912FCC" w14:paraId="763EAE3E"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8CC75B9" w14:textId="77777777" w:rsidR="00912FCC" w:rsidRDefault="00912FCC">
            <w:pPr>
              <w:rPr>
                <w:b/>
                <w:bCs/>
                <w:szCs w:val="28"/>
              </w:rPr>
            </w:pPr>
            <w:r>
              <w:rPr>
                <w:rFonts w:hint="cs"/>
                <w:b/>
                <w:bCs/>
                <w:szCs w:val="28"/>
                <w:rtl/>
              </w:rPr>
              <w:t>בית משפט השלום קרית גת</w:t>
            </w:r>
          </w:p>
        </w:tc>
        <w:tc>
          <w:tcPr>
            <w:tcW w:w="2915" w:type="dxa"/>
            <w:gridSpan w:val="2"/>
            <w:tcBorders>
              <w:top w:val="single" w:sz="4" w:space="0" w:color="auto"/>
              <w:left w:val="single" w:sz="4" w:space="0" w:color="auto"/>
              <w:bottom w:val="single" w:sz="4" w:space="0" w:color="auto"/>
              <w:right w:val="single" w:sz="4" w:space="0" w:color="auto"/>
            </w:tcBorders>
          </w:tcPr>
          <w:p w14:paraId="36CD1F83" w14:textId="77777777" w:rsidR="00912FCC" w:rsidRDefault="00912FCC">
            <w:pPr>
              <w:rPr>
                <w:b/>
                <w:bCs/>
                <w:szCs w:val="28"/>
              </w:rPr>
            </w:pPr>
            <w:r>
              <w:rPr>
                <w:rFonts w:hint="cs"/>
                <w:b/>
                <w:bCs/>
                <w:szCs w:val="28"/>
                <w:rtl/>
              </w:rPr>
              <w:t>ת.פ  001161/05</w:t>
            </w:r>
          </w:p>
        </w:tc>
      </w:tr>
      <w:tr w:rsidR="00912FCC" w14:paraId="7E78F7B0"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DAF6F91" w14:textId="77777777" w:rsidR="00912FCC" w:rsidRDefault="00912FCC">
            <w:pPr>
              <w:bidi w:val="0"/>
              <w:spacing w:line="240" w:lineRule="auto"/>
              <w:jc w:val="left"/>
              <w:rPr>
                <w:b/>
                <w:bCs/>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2E57EF02" w14:textId="77777777" w:rsidR="00912FCC" w:rsidRDefault="00912FCC">
            <w:pPr>
              <w:rPr>
                <w:b/>
                <w:bCs/>
                <w:szCs w:val="28"/>
              </w:rPr>
            </w:pPr>
          </w:p>
        </w:tc>
      </w:tr>
      <w:tr w:rsidR="00912FCC" w14:paraId="30F1BC3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01C32496" w14:textId="77777777" w:rsidR="00912FCC" w:rsidRDefault="00912FCC">
            <w:pPr>
              <w:rPr>
                <w:b/>
                <w:bCs/>
                <w:szCs w:val="28"/>
              </w:rPr>
            </w:pPr>
            <w:bookmarkStart w:id="0" w:name="LastJudge"/>
            <w:r>
              <w:rPr>
                <w:rFonts w:hint="cs"/>
                <w:b/>
                <w:bCs/>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365F3588" w14:textId="77777777" w:rsidR="00912FCC" w:rsidRDefault="00912FCC">
            <w:pPr>
              <w:rPr>
                <w:b/>
                <w:bCs/>
                <w:szCs w:val="28"/>
              </w:rPr>
            </w:pPr>
            <w:r>
              <w:rPr>
                <w:rFonts w:hint="cs"/>
                <w:b/>
                <w:bCs/>
                <w:szCs w:val="28"/>
                <w:rtl/>
              </w:rPr>
              <w:t>כבוד סגנית הנשיא השופטת טלי חיימוביץ</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D956E3C" w14:textId="77777777" w:rsidR="00912FCC" w:rsidRDefault="00912FCC">
            <w:pPr>
              <w:rPr>
                <w:b/>
                <w:bCs/>
                <w:szCs w:val="28"/>
              </w:rPr>
            </w:pPr>
            <w:r>
              <w:rPr>
                <w:rFonts w:hint="cs"/>
                <w:b/>
                <w:bCs/>
                <w:szCs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68B2DDBE" w14:textId="77777777" w:rsidR="00912FCC" w:rsidRDefault="00912FCC">
            <w:pPr>
              <w:rPr>
                <w:b/>
                <w:bCs/>
                <w:szCs w:val="28"/>
              </w:rPr>
            </w:pPr>
            <w:r>
              <w:rPr>
                <w:rFonts w:hint="cs"/>
                <w:b/>
                <w:bCs/>
                <w:szCs w:val="28"/>
                <w:rtl/>
              </w:rPr>
              <w:t>09/07/2006</w:t>
            </w:r>
          </w:p>
        </w:tc>
      </w:tr>
      <w:bookmarkEnd w:id="0"/>
    </w:tbl>
    <w:p w14:paraId="44CF0717" w14:textId="77777777" w:rsidR="00912FCC" w:rsidRDefault="00912FCC">
      <w:pPr>
        <w:pStyle w:val="a1"/>
        <w:spacing w:line="240" w:lineRule="auto"/>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912FCC" w14:paraId="55467442" w14:textId="77777777">
        <w:tc>
          <w:tcPr>
            <w:tcW w:w="1362" w:type="dxa"/>
          </w:tcPr>
          <w:p w14:paraId="554FC729" w14:textId="77777777" w:rsidR="00912FCC" w:rsidRDefault="00912FCC">
            <w:pPr>
              <w:pStyle w:val="a1"/>
              <w:spacing w:line="240" w:lineRule="auto"/>
              <w:rPr>
                <w:szCs w:val="26"/>
              </w:rPr>
            </w:pPr>
            <w:bookmarkStart w:id="1" w:name="FirstAppellant"/>
            <w:r>
              <w:rPr>
                <w:rFonts w:hint="cs"/>
                <w:rtl/>
              </w:rPr>
              <w:t>בעניין:</w:t>
            </w:r>
          </w:p>
        </w:tc>
        <w:tc>
          <w:tcPr>
            <w:tcW w:w="4820" w:type="dxa"/>
            <w:gridSpan w:val="2"/>
          </w:tcPr>
          <w:p w14:paraId="70984682" w14:textId="77777777" w:rsidR="00912FCC" w:rsidRDefault="00912FCC">
            <w:pPr>
              <w:pStyle w:val="a1"/>
              <w:spacing w:line="240" w:lineRule="auto"/>
            </w:pPr>
            <w:r>
              <w:rPr>
                <w:rFonts w:hint="cs"/>
                <w:rtl/>
              </w:rPr>
              <w:t xml:space="preserve">מדינת ישראל </w:t>
            </w:r>
          </w:p>
        </w:tc>
        <w:tc>
          <w:tcPr>
            <w:tcW w:w="2409" w:type="dxa"/>
          </w:tcPr>
          <w:p w14:paraId="1CD5E888" w14:textId="77777777" w:rsidR="00912FCC" w:rsidRDefault="00912FCC">
            <w:pPr>
              <w:pStyle w:val="a1"/>
              <w:spacing w:line="240" w:lineRule="auto"/>
            </w:pPr>
          </w:p>
        </w:tc>
      </w:tr>
      <w:tr w:rsidR="00912FCC" w14:paraId="3BF3750B" w14:textId="77777777">
        <w:tc>
          <w:tcPr>
            <w:tcW w:w="1362" w:type="dxa"/>
          </w:tcPr>
          <w:p w14:paraId="0AE6F36D" w14:textId="77777777" w:rsidR="00912FCC" w:rsidRDefault="00912FCC">
            <w:pPr>
              <w:pStyle w:val="a1"/>
              <w:spacing w:line="240" w:lineRule="auto"/>
              <w:rPr>
                <w:szCs w:val="26"/>
              </w:rPr>
            </w:pPr>
            <w:bookmarkStart w:id="2" w:name="בא_כוח_א" w:colFirst="2" w:colLast="2"/>
            <w:bookmarkStart w:id="3" w:name="FirstLawyer"/>
            <w:bookmarkEnd w:id="1"/>
          </w:p>
        </w:tc>
        <w:tc>
          <w:tcPr>
            <w:tcW w:w="1757" w:type="dxa"/>
          </w:tcPr>
          <w:p w14:paraId="59156234" w14:textId="77777777" w:rsidR="00912FCC" w:rsidRDefault="00912FCC">
            <w:pPr>
              <w:pStyle w:val="a1"/>
              <w:spacing w:line="240" w:lineRule="auto"/>
            </w:pPr>
            <w:r>
              <w:rPr>
                <w:rFonts w:hint="cs"/>
                <w:rtl/>
              </w:rPr>
              <w:t>ע"י ב"כ עו"ד</w:t>
            </w:r>
          </w:p>
        </w:tc>
        <w:tc>
          <w:tcPr>
            <w:tcW w:w="3063" w:type="dxa"/>
          </w:tcPr>
          <w:p w14:paraId="24655B48" w14:textId="77777777" w:rsidR="00912FCC" w:rsidRDefault="00912FCC">
            <w:pPr>
              <w:pStyle w:val="a1"/>
              <w:spacing w:line="240" w:lineRule="auto"/>
            </w:pPr>
            <w:r>
              <w:rPr>
                <w:rFonts w:hint="cs"/>
                <w:rtl/>
              </w:rPr>
              <w:t xml:space="preserve">טל שוהם </w:t>
            </w:r>
          </w:p>
        </w:tc>
        <w:tc>
          <w:tcPr>
            <w:tcW w:w="2409" w:type="dxa"/>
          </w:tcPr>
          <w:p w14:paraId="5F6B8C55" w14:textId="77777777" w:rsidR="00912FCC" w:rsidRDefault="00912FCC">
            <w:pPr>
              <w:pStyle w:val="a1"/>
              <w:spacing w:line="240" w:lineRule="auto"/>
            </w:pPr>
            <w:r>
              <w:rPr>
                <w:rFonts w:hint="cs"/>
                <w:rtl/>
              </w:rPr>
              <w:t>המאשימה</w:t>
            </w:r>
          </w:p>
        </w:tc>
      </w:tr>
      <w:bookmarkEnd w:id="2"/>
      <w:bookmarkEnd w:id="3"/>
      <w:tr w:rsidR="00912FCC" w14:paraId="74EA0100" w14:textId="77777777">
        <w:tc>
          <w:tcPr>
            <w:tcW w:w="1362" w:type="dxa"/>
          </w:tcPr>
          <w:p w14:paraId="05DDEA83" w14:textId="77777777" w:rsidR="00912FCC" w:rsidRDefault="00912FCC">
            <w:pPr>
              <w:pStyle w:val="a1"/>
              <w:spacing w:line="240" w:lineRule="auto"/>
            </w:pPr>
          </w:p>
        </w:tc>
        <w:tc>
          <w:tcPr>
            <w:tcW w:w="4820" w:type="dxa"/>
            <w:gridSpan w:val="2"/>
          </w:tcPr>
          <w:p w14:paraId="2D7A49F4" w14:textId="77777777" w:rsidR="00912FCC" w:rsidRDefault="00912FCC">
            <w:pPr>
              <w:pStyle w:val="a1"/>
              <w:spacing w:line="240" w:lineRule="auto"/>
              <w:jc w:val="center"/>
            </w:pPr>
          </w:p>
          <w:p w14:paraId="4773EF7B" w14:textId="77777777" w:rsidR="00912FCC" w:rsidRDefault="00912FCC">
            <w:pPr>
              <w:pStyle w:val="a1"/>
              <w:spacing w:line="240" w:lineRule="auto"/>
              <w:jc w:val="center"/>
              <w:rPr>
                <w:rFonts w:hint="cs"/>
                <w:rtl/>
              </w:rPr>
            </w:pPr>
            <w:r>
              <w:rPr>
                <w:rFonts w:hint="cs"/>
                <w:rtl/>
              </w:rPr>
              <w:t>נ  ג  ד</w:t>
            </w:r>
          </w:p>
          <w:p w14:paraId="45B7135B" w14:textId="77777777" w:rsidR="00912FCC" w:rsidRDefault="00912FCC">
            <w:pPr>
              <w:pStyle w:val="a1"/>
              <w:spacing w:line="240" w:lineRule="auto"/>
              <w:jc w:val="center"/>
            </w:pPr>
          </w:p>
        </w:tc>
        <w:tc>
          <w:tcPr>
            <w:tcW w:w="2409" w:type="dxa"/>
          </w:tcPr>
          <w:p w14:paraId="1B6E6373" w14:textId="77777777" w:rsidR="00912FCC" w:rsidRDefault="00912FCC">
            <w:pPr>
              <w:pStyle w:val="a1"/>
              <w:spacing w:line="240" w:lineRule="auto"/>
            </w:pPr>
          </w:p>
        </w:tc>
      </w:tr>
      <w:tr w:rsidR="00912FCC" w14:paraId="5C203163" w14:textId="77777777">
        <w:tc>
          <w:tcPr>
            <w:tcW w:w="1362" w:type="dxa"/>
          </w:tcPr>
          <w:p w14:paraId="50354F1D" w14:textId="77777777" w:rsidR="00912FCC" w:rsidRDefault="00912FCC">
            <w:pPr>
              <w:pStyle w:val="a1"/>
              <w:spacing w:line="240" w:lineRule="auto"/>
              <w:rPr>
                <w:szCs w:val="26"/>
              </w:rPr>
            </w:pPr>
            <w:bookmarkStart w:id="4" w:name="שם_ב" w:colFirst="1" w:colLast="1"/>
          </w:p>
        </w:tc>
        <w:tc>
          <w:tcPr>
            <w:tcW w:w="4820" w:type="dxa"/>
            <w:gridSpan w:val="2"/>
          </w:tcPr>
          <w:p w14:paraId="2828FDF4" w14:textId="77777777" w:rsidR="00912FCC" w:rsidRDefault="00912FCC">
            <w:pPr>
              <w:pStyle w:val="a1"/>
              <w:spacing w:line="240" w:lineRule="auto"/>
            </w:pPr>
            <w:r>
              <w:rPr>
                <w:rFonts w:hint="cs"/>
                <w:rtl/>
              </w:rPr>
              <w:t>נקש גולן</w:t>
            </w:r>
          </w:p>
        </w:tc>
        <w:tc>
          <w:tcPr>
            <w:tcW w:w="2409" w:type="dxa"/>
          </w:tcPr>
          <w:p w14:paraId="47A33B21" w14:textId="77777777" w:rsidR="00912FCC" w:rsidRDefault="00912FCC">
            <w:pPr>
              <w:pStyle w:val="a1"/>
              <w:spacing w:line="240" w:lineRule="auto"/>
            </w:pPr>
          </w:p>
        </w:tc>
      </w:tr>
      <w:tr w:rsidR="00912FCC" w14:paraId="00292D10" w14:textId="77777777">
        <w:tc>
          <w:tcPr>
            <w:tcW w:w="1362" w:type="dxa"/>
          </w:tcPr>
          <w:p w14:paraId="5A1378FB" w14:textId="77777777" w:rsidR="00912FCC" w:rsidRDefault="00912FCC">
            <w:pPr>
              <w:pStyle w:val="a1"/>
              <w:spacing w:line="240" w:lineRule="auto"/>
              <w:rPr>
                <w:szCs w:val="26"/>
              </w:rPr>
            </w:pPr>
            <w:bookmarkStart w:id="5" w:name="בא_כוח_ב" w:colFirst="2" w:colLast="2"/>
            <w:bookmarkEnd w:id="4"/>
          </w:p>
        </w:tc>
        <w:tc>
          <w:tcPr>
            <w:tcW w:w="1757" w:type="dxa"/>
          </w:tcPr>
          <w:p w14:paraId="3815231B" w14:textId="77777777" w:rsidR="00912FCC" w:rsidRDefault="00912FCC">
            <w:pPr>
              <w:pStyle w:val="a1"/>
              <w:spacing w:line="240" w:lineRule="auto"/>
            </w:pPr>
            <w:r>
              <w:rPr>
                <w:rFonts w:hint="cs"/>
                <w:rtl/>
              </w:rPr>
              <w:t>ע"י ב"כ עו"ד</w:t>
            </w:r>
          </w:p>
        </w:tc>
        <w:tc>
          <w:tcPr>
            <w:tcW w:w="3063" w:type="dxa"/>
          </w:tcPr>
          <w:p w14:paraId="1DF08832" w14:textId="77777777" w:rsidR="00912FCC" w:rsidRDefault="00912FCC">
            <w:pPr>
              <w:pStyle w:val="a1"/>
              <w:spacing w:line="240" w:lineRule="auto"/>
            </w:pPr>
            <w:r>
              <w:rPr>
                <w:rFonts w:hint="cs"/>
                <w:rtl/>
              </w:rPr>
              <w:t xml:space="preserve">אורינוב תומר – ס.צ.ד. </w:t>
            </w:r>
          </w:p>
        </w:tc>
        <w:tc>
          <w:tcPr>
            <w:tcW w:w="2409" w:type="dxa"/>
          </w:tcPr>
          <w:p w14:paraId="2FA5A149" w14:textId="77777777" w:rsidR="00912FCC" w:rsidRDefault="00912FCC">
            <w:pPr>
              <w:pStyle w:val="a1"/>
              <w:spacing w:line="240" w:lineRule="auto"/>
            </w:pPr>
            <w:r>
              <w:rPr>
                <w:rFonts w:hint="cs"/>
                <w:rtl/>
              </w:rPr>
              <w:t>ה</w:t>
            </w:r>
            <w:bookmarkStart w:id="6" w:name="כינוי_ב"/>
            <w:bookmarkEnd w:id="6"/>
            <w:r>
              <w:rPr>
                <w:rFonts w:hint="cs"/>
                <w:rtl/>
              </w:rPr>
              <w:t>נאשם</w:t>
            </w:r>
          </w:p>
        </w:tc>
      </w:tr>
      <w:bookmarkEnd w:id="5"/>
    </w:tbl>
    <w:p w14:paraId="46B2737D" w14:textId="77777777" w:rsidR="00912FCC" w:rsidRDefault="00912FCC">
      <w:pPr>
        <w:pStyle w:val="a1"/>
        <w:spacing w:line="240" w:lineRule="auto"/>
        <w:rPr>
          <w:rFonts w:hint="cs"/>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912FCC" w14:paraId="02DE3177" w14:textId="77777777">
        <w:tc>
          <w:tcPr>
            <w:tcW w:w="1332" w:type="dxa"/>
          </w:tcPr>
          <w:p w14:paraId="4705507D" w14:textId="77777777" w:rsidR="00912FCC" w:rsidRDefault="00912FCC">
            <w:pPr>
              <w:pStyle w:val="a1"/>
              <w:spacing w:line="240" w:lineRule="auto"/>
              <w:rPr>
                <w:szCs w:val="26"/>
              </w:rPr>
            </w:pPr>
            <w:r>
              <w:rPr>
                <w:rFonts w:hint="cs"/>
                <w:szCs w:val="26"/>
                <w:rtl/>
              </w:rPr>
              <w:t>נוכחים</w:t>
            </w:r>
          </w:p>
        </w:tc>
        <w:tc>
          <w:tcPr>
            <w:tcW w:w="7230" w:type="dxa"/>
          </w:tcPr>
          <w:p w14:paraId="31ED979D" w14:textId="77777777" w:rsidR="00912FCC" w:rsidRDefault="00912FCC">
            <w:pPr>
              <w:pStyle w:val="a1"/>
              <w:spacing w:line="240" w:lineRule="auto"/>
            </w:pPr>
            <w:r>
              <w:rPr>
                <w:rFonts w:hint="cs"/>
                <w:rtl/>
              </w:rPr>
              <w:t xml:space="preserve">ב"כ המאשימה – עו"ד טל שוהם </w:t>
            </w:r>
          </w:p>
        </w:tc>
      </w:tr>
      <w:tr w:rsidR="00912FCC" w14:paraId="127BF1CC" w14:textId="77777777">
        <w:tc>
          <w:tcPr>
            <w:tcW w:w="1332" w:type="dxa"/>
          </w:tcPr>
          <w:p w14:paraId="211C4406" w14:textId="77777777" w:rsidR="00912FCC" w:rsidRDefault="00912FCC">
            <w:pPr>
              <w:pStyle w:val="a1"/>
              <w:spacing w:line="240" w:lineRule="auto"/>
              <w:rPr>
                <w:szCs w:val="26"/>
              </w:rPr>
            </w:pPr>
          </w:p>
        </w:tc>
        <w:tc>
          <w:tcPr>
            <w:tcW w:w="7230" w:type="dxa"/>
          </w:tcPr>
          <w:p w14:paraId="546A70F3" w14:textId="77777777" w:rsidR="00912FCC" w:rsidRDefault="00912FCC">
            <w:pPr>
              <w:pStyle w:val="a1"/>
              <w:spacing w:line="240" w:lineRule="auto"/>
            </w:pPr>
            <w:r>
              <w:rPr>
                <w:rFonts w:hint="cs"/>
                <w:rtl/>
              </w:rPr>
              <w:t xml:space="preserve">הנאשם -  בעצמו      ובא כחו עו"ד תומר אורינוב   </w:t>
            </w:r>
          </w:p>
        </w:tc>
      </w:tr>
    </w:tbl>
    <w:p w14:paraId="37F7D895" w14:textId="77777777" w:rsidR="005168C6" w:rsidRDefault="005168C6">
      <w:pPr>
        <w:rPr>
          <w:rtl/>
        </w:rPr>
      </w:pPr>
      <w:bookmarkStart w:id="7" w:name="צד_ג"/>
      <w:bookmarkStart w:id="8" w:name="LawTable"/>
      <w:bookmarkEnd w:id="8"/>
    </w:p>
    <w:p w14:paraId="3A3C8BD2" w14:textId="77777777" w:rsidR="005168C6" w:rsidRPr="005168C6" w:rsidRDefault="005168C6" w:rsidP="005168C6">
      <w:pPr>
        <w:spacing w:after="120" w:line="240" w:lineRule="exact"/>
        <w:ind w:left="283" w:hanging="283"/>
        <w:rPr>
          <w:rFonts w:ascii="FrankRuehl" w:hAnsi="FrankRuehl" w:cs="FrankRuehl"/>
          <w:sz w:val="24"/>
          <w:szCs w:val="24"/>
          <w:rtl/>
        </w:rPr>
      </w:pPr>
    </w:p>
    <w:p w14:paraId="3FCCB9E7" w14:textId="77777777" w:rsidR="005168C6" w:rsidRPr="005168C6" w:rsidRDefault="005168C6" w:rsidP="005168C6">
      <w:pPr>
        <w:spacing w:after="120" w:line="240" w:lineRule="exact"/>
        <w:ind w:left="283" w:hanging="283"/>
        <w:rPr>
          <w:rFonts w:ascii="FrankRuehl" w:hAnsi="FrankRuehl" w:cs="FrankRuehl"/>
          <w:sz w:val="24"/>
          <w:szCs w:val="24"/>
          <w:rtl/>
        </w:rPr>
      </w:pPr>
      <w:r w:rsidRPr="005168C6">
        <w:rPr>
          <w:rFonts w:ascii="FrankRuehl" w:hAnsi="FrankRuehl" w:cs="FrankRuehl"/>
          <w:sz w:val="24"/>
          <w:szCs w:val="24"/>
          <w:rtl/>
        </w:rPr>
        <w:t xml:space="preserve">חקיקה שאוזכרה: </w:t>
      </w:r>
    </w:p>
    <w:p w14:paraId="2C0498C1" w14:textId="77777777" w:rsidR="005168C6" w:rsidRPr="005168C6" w:rsidRDefault="005168C6" w:rsidP="005168C6">
      <w:pPr>
        <w:spacing w:after="120" w:line="240" w:lineRule="exact"/>
        <w:ind w:left="283" w:hanging="283"/>
        <w:rPr>
          <w:rFonts w:ascii="FrankRuehl" w:hAnsi="FrankRuehl" w:cs="FrankRuehl"/>
          <w:color w:val="0000FF"/>
          <w:sz w:val="24"/>
          <w:szCs w:val="24"/>
          <w:u w:val="single"/>
          <w:rtl/>
        </w:rPr>
      </w:pPr>
      <w:hyperlink r:id="rId7" w:history="1">
        <w:r w:rsidRPr="005168C6">
          <w:rPr>
            <w:rStyle w:val="Hyperlink"/>
            <w:rFonts w:ascii="FrankRuehl" w:hAnsi="FrankRuehl" w:cs="FrankRuehl"/>
            <w:sz w:val="24"/>
            <w:szCs w:val="24"/>
            <w:rtl/>
          </w:rPr>
          <w:t>חוק העונשין, תשל"ז-1977</w:t>
        </w:r>
      </w:hyperlink>
      <w:r w:rsidRPr="005168C6">
        <w:rPr>
          <w:rFonts w:ascii="FrankRuehl" w:hAnsi="FrankRuehl" w:cs="FrankRuehl"/>
          <w:color w:val="0000FF"/>
          <w:sz w:val="24"/>
          <w:szCs w:val="24"/>
          <w:u w:val="single"/>
          <w:rtl/>
        </w:rPr>
        <w:t xml:space="preserve">: סע'  </w:t>
      </w:r>
      <w:hyperlink r:id="rId8" w:history="1">
        <w:r w:rsidRPr="005168C6">
          <w:rPr>
            <w:rStyle w:val="Hyperlink"/>
            <w:rFonts w:ascii="FrankRuehl" w:hAnsi="FrankRuehl" w:cs="FrankRuehl"/>
            <w:sz w:val="24"/>
            <w:szCs w:val="24"/>
          </w:rPr>
          <w:t>348(</w:t>
        </w:r>
        <w:r w:rsidRPr="005168C6">
          <w:rPr>
            <w:rStyle w:val="Hyperlink"/>
            <w:rFonts w:ascii="FrankRuehl" w:hAnsi="FrankRuehl" w:cs="FrankRuehl"/>
            <w:sz w:val="24"/>
            <w:szCs w:val="24"/>
            <w:rtl/>
          </w:rPr>
          <w:t>ג</w:t>
        </w:r>
        <w:r w:rsidRPr="005168C6">
          <w:rPr>
            <w:rStyle w:val="Hyperlink"/>
            <w:rFonts w:ascii="FrankRuehl" w:hAnsi="FrankRuehl" w:cs="FrankRuehl"/>
            <w:sz w:val="24"/>
            <w:szCs w:val="24"/>
          </w:rPr>
          <w:t>)</w:t>
        </w:r>
      </w:hyperlink>
      <w:r w:rsidRPr="005168C6">
        <w:rPr>
          <w:rFonts w:ascii="FrankRuehl" w:hAnsi="FrankRuehl" w:cs="FrankRuehl"/>
          <w:color w:val="0000FF"/>
          <w:sz w:val="24"/>
          <w:szCs w:val="24"/>
          <w:u w:val="single"/>
          <w:rtl/>
        </w:rPr>
        <w:t xml:space="preserve">, </w:t>
      </w:r>
      <w:hyperlink r:id="rId9" w:history="1">
        <w:r w:rsidRPr="005168C6">
          <w:rPr>
            <w:rStyle w:val="Hyperlink"/>
            <w:rFonts w:ascii="FrankRuehl" w:hAnsi="FrankRuehl" w:cs="FrankRuehl"/>
            <w:sz w:val="24"/>
            <w:szCs w:val="24"/>
          </w:rPr>
          <w:t>348</w:t>
        </w:r>
        <w:r w:rsidRPr="005168C6">
          <w:rPr>
            <w:rStyle w:val="Hyperlink"/>
            <w:rFonts w:ascii="FrankRuehl" w:hAnsi="FrankRuehl" w:cs="FrankRuehl"/>
            <w:sz w:val="24"/>
            <w:szCs w:val="24"/>
            <w:rtl/>
          </w:rPr>
          <w:t>ו</w:t>
        </w:r>
      </w:hyperlink>
      <w:r w:rsidRPr="005168C6">
        <w:rPr>
          <w:rFonts w:ascii="FrankRuehl" w:hAnsi="FrankRuehl" w:cs="FrankRuehl"/>
          <w:color w:val="0000FF"/>
          <w:sz w:val="24"/>
          <w:szCs w:val="24"/>
          <w:u w:val="single"/>
          <w:rtl/>
        </w:rPr>
        <w:t xml:space="preserve">, </w:t>
      </w:r>
      <w:hyperlink r:id="rId10" w:history="1">
        <w:r w:rsidRPr="005168C6">
          <w:rPr>
            <w:rStyle w:val="Hyperlink"/>
            <w:rFonts w:ascii="FrankRuehl" w:hAnsi="FrankRuehl" w:cs="FrankRuehl"/>
            <w:sz w:val="24"/>
            <w:szCs w:val="24"/>
          </w:rPr>
          <w:t>384(</w:t>
        </w:r>
        <w:r w:rsidRPr="005168C6">
          <w:rPr>
            <w:rStyle w:val="Hyperlink"/>
            <w:rFonts w:ascii="FrankRuehl" w:hAnsi="FrankRuehl" w:cs="FrankRuehl"/>
            <w:sz w:val="24"/>
            <w:szCs w:val="24"/>
            <w:rtl/>
          </w:rPr>
          <w:t>ג</w:t>
        </w:r>
        <w:r w:rsidRPr="005168C6">
          <w:rPr>
            <w:rStyle w:val="Hyperlink"/>
            <w:rFonts w:ascii="FrankRuehl" w:hAnsi="FrankRuehl" w:cs="FrankRuehl"/>
            <w:sz w:val="24"/>
            <w:szCs w:val="24"/>
          </w:rPr>
          <w:t>)</w:t>
        </w:r>
      </w:hyperlink>
    </w:p>
    <w:p w14:paraId="4764E2AE" w14:textId="77777777" w:rsidR="005168C6" w:rsidRPr="005168C6" w:rsidRDefault="005168C6" w:rsidP="005168C6">
      <w:pPr>
        <w:spacing w:after="120" w:line="240" w:lineRule="exact"/>
        <w:ind w:left="283" w:hanging="283"/>
        <w:rPr>
          <w:rFonts w:ascii="FrankRuehl" w:hAnsi="FrankRuehl" w:cs="FrankRuehl"/>
          <w:color w:val="0000FF"/>
          <w:sz w:val="24"/>
          <w:szCs w:val="24"/>
          <w:u w:val="single"/>
          <w:rtl/>
        </w:rPr>
      </w:pPr>
      <w:hyperlink r:id="rId11" w:history="1">
        <w:r w:rsidRPr="005168C6">
          <w:rPr>
            <w:rStyle w:val="Hyperlink"/>
            <w:rFonts w:ascii="FrankRuehl" w:hAnsi="FrankRuehl" w:cs="FrankRuehl"/>
            <w:sz w:val="24"/>
            <w:szCs w:val="24"/>
            <w:rtl/>
          </w:rPr>
          <w:t>פקודת הסמים המסוכנים [נוסח חדש], תשל"ג-1973</w:t>
        </w:r>
      </w:hyperlink>
      <w:r w:rsidRPr="005168C6">
        <w:rPr>
          <w:rFonts w:ascii="FrankRuehl" w:hAnsi="FrankRuehl" w:cs="FrankRuehl"/>
          <w:color w:val="0000FF"/>
          <w:sz w:val="24"/>
          <w:szCs w:val="24"/>
          <w:u w:val="single"/>
          <w:rtl/>
        </w:rPr>
        <w:t xml:space="preserve">: סע'  </w:t>
      </w:r>
      <w:hyperlink r:id="rId12" w:history="1">
        <w:r w:rsidRPr="005168C6">
          <w:rPr>
            <w:rStyle w:val="Hyperlink"/>
            <w:rFonts w:ascii="FrankRuehl" w:hAnsi="FrankRuehl" w:cs="FrankRuehl"/>
            <w:sz w:val="24"/>
            <w:szCs w:val="24"/>
          </w:rPr>
          <w:t>7 (</w:t>
        </w:r>
        <w:r w:rsidRPr="005168C6">
          <w:rPr>
            <w:rStyle w:val="Hyperlink"/>
            <w:rFonts w:ascii="FrankRuehl" w:hAnsi="FrankRuehl" w:cs="FrankRuehl"/>
            <w:sz w:val="24"/>
            <w:szCs w:val="24"/>
            <w:rtl/>
          </w:rPr>
          <w:t>א)(ג</w:t>
        </w:r>
        <w:r w:rsidRPr="005168C6">
          <w:rPr>
            <w:rStyle w:val="Hyperlink"/>
            <w:rFonts w:ascii="FrankRuehl" w:hAnsi="FrankRuehl" w:cs="FrankRuehl"/>
            <w:sz w:val="24"/>
            <w:szCs w:val="24"/>
          </w:rPr>
          <w:t>)</w:t>
        </w:r>
      </w:hyperlink>
      <w:r w:rsidRPr="005168C6">
        <w:rPr>
          <w:rFonts w:ascii="FrankRuehl" w:hAnsi="FrankRuehl" w:cs="FrankRuehl"/>
          <w:color w:val="0000FF"/>
          <w:sz w:val="24"/>
          <w:szCs w:val="24"/>
          <w:u w:val="single"/>
          <w:rtl/>
        </w:rPr>
        <w:t xml:space="preserve">, </w:t>
      </w:r>
      <w:hyperlink r:id="rId13" w:history="1">
        <w:r w:rsidRPr="005168C6">
          <w:rPr>
            <w:rStyle w:val="Hyperlink"/>
            <w:rFonts w:ascii="FrankRuehl" w:hAnsi="FrankRuehl" w:cs="FrankRuehl"/>
            <w:sz w:val="24"/>
            <w:szCs w:val="24"/>
          </w:rPr>
          <w:t>7</w:t>
        </w:r>
        <w:r w:rsidRPr="005168C6">
          <w:rPr>
            <w:rStyle w:val="Hyperlink"/>
            <w:rFonts w:ascii="FrankRuehl" w:hAnsi="FrankRuehl" w:cs="FrankRuehl"/>
            <w:sz w:val="24"/>
            <w:szCs w:val="24"/>
            <w:rtl/>
          </w:rPr>
          <w:t>א(ג</w:t>
        </w:r>
        <w:r w:rsidRPr="005168C6">
          <w:rPr>
            <w:rStyle w:val="Hyperlink"/>
            <w:rFonts w:ascii="FrankRuehl" w:hAnsi="FrankRuehl" w:cs="FrankRuehl"/>
            <w:sz w:val="24"/>
            <w:szCs w:val="24"/>
          </w:rPr>
          <w:t>)</w:t>
        </w:r>
      </w:hyperlink>
      <w:r w:rsidRPr="005168C6">
        <w:rPr>
          <w:rFonts w:ascii="FrankRuehl" w:hAnsi="FrankRuehl" w:cs="FrankRuehl"/>
          <w:color w:val="0000FF"/>
          <w:sz w:val="24"/>
          <w:szCs w:val="24"/>
          <w:u w:val="single"/>
          <w:rtl/>
        </w:rPr>
        <w:t xml:space="preserve">, </w:t>
      </w:r>
      <w:hyperlink r:id="rId14" w:history="1">
        <w:r w:rsidRPr="005168C6">
          <w:rPr>
            <w:rStyle w:val="Hyperlink"/>
            <w:rFonts w:ascii="FrankRuehl" w:hAnsi="FrankRuehl" w:cs="FrankRuehl"/>
            <w:sz w:val="24"/>
            <w:szCs w:val="24"/>
          </w:rPr>
          <w:t>10</w:t>
        </w:r>
      </w:hyperlink>
      <w:r w:rsidRPr="005168C6">
        <w:rPr>
          <w:rFonts w:ascii="FrankRuehl" w:hAnsi="FrankRuehl" w:cs="FrankRuehl"/>
          <w:color w:val="0000FF"/>
          <w:sz w:val="24"/>
          <w:szCs w:val="24"/>
          <w:u w:val="single"/>
          <w:rtl/>
        </w:rPr>
        <w:t xml:space="preserve">, </w:t>
      </w:r>
      <w:hyperlink r:id="rId15" w:history="1">
        <w:r w:rsidRPr="005168C6">
          <w:rPr>
            <w:rStyle w:val="Hyperlink"/>
            <w:rFonts w:ascii="FrankRuehl" w:hAnsi="FrankRuehl" w:cs="FrankRuehl"/>
            <w:sz w:val="24"/>
            <w:szCs w:val="24"/>
          </w:rPr>
          <w:t>21</w:t>
        </w:r>
      </w:hyperlink>
      <w:r w:rsidRPr="005168C6">
        <w:rPr>
          <w:rFonts w:ascii="FrankRuehl" w:hAnsi="FrankRuehl" w:cs="FrankRuehl"/>
          <w:color w:val="0000FF"/>
          <w:sz w:val="24"/>
          <w:szCs w:val="24"/>
          <w:u w:val="single"/>
          <w:rtl/>
        </w:rPr>
        <w:t xml:space="preserve">, </w:t>
      </w:r>
      <w:hyperlink r:id="rId16" w:history="1">
        <w:r w:rsidRPr="005168C6">
          <w:rPr>
            <w:rStyle w:val="Hyperlink"/>
            <w:rFonts w:ascii="FrankRuehl" w:hAnsi="FrankRuehl" w:cs="FrankRuehl"/>
            <w:sz w:val="24"/>
            <w:szCs w:val="24"/>
          </w:rPr>
          <w:t>21(</w:t>
        </w:r>
        <w:r w:rsidRPr="005168C6">
          <w:rPr>
            <w:rStyle w:val="Hyperlink"/>
            <w:rFonts w:ascii="FrankRuehl" w:hAnsi="FrankRuehl" w:cs="FrankRuehl"/>
            <w:sz w:val="24"/>
            <w:szCs w:val="24"/>
            <w:rtl/>
          </w:rPr>
          <w:t>א) (1</w:t>
        </w:r>
        <w:r w:rsidRPr="005168C6">
          <w:rPr>
            <w:rStyle w:val="Hyperlink"/>
            <w:rFonts w:ascii="FrankRuehl" w:hAnsi="FrankRuehl" w:cs="FrankRuehl"/>
            <w:sz w:val="24"/>
            <w:szCs w:val="24"/>
          </w:rPr>
          <w:t>)</w:t>
        </w:r>
      </w:hyperlink>
    </w:p>
    <w:p w14:paraId="0458FA64" w14:textId="77777777" w:rsidR="005168C6" w:rsidRPr="005168C6" w:rsidRDefault="005168C6" w:rsidP="005168C6">
      <w:pPr>
        <w:spacing w:after="120" w:line="240" w:lineRule="exact"/>
        <w:ind w:left="283" w:hanging="283"/>
        <w:rPr>
          <w:rFonts w:ascii="FrankRuehl" w:hAnsi="FrankRuehl" w:cs="FrankRuehl"/>
          <w:sz w:val="24"/>
          <w:szCs w:val="24"/>
          <w:rtl/>
        </w:rPr>
      </w:pPr>
    </w:p>
    <w:p w14:paraId="648A8540" w14:textId="77777777" w:rsidR="005168C6" w:rsidRPr="005168C6" w:rsidRDefault="005168C6">
      <w:pPr>
        <w:rPr>
          <w:rtl/>
        </w:rPr>
      </w:pPr>
      <w:bookmarkStart w:id="9" w:name="LawTable_End"/>
      <w:bookmarkEnd w:id="9"/>
    </w:p>
    <w:p w14:paraId="3126C78F" w14:textId="77777777" w:rsidR="00681E84" w:rsidRPr="00681E84" w:rsidRDefault="00681E84">
      <w:pPr>
        <w:rPr>
          <w:rtl/>
        </w:rPr>
      </w:pPr>
    </w:p>
    <w:p w14:paraId="37C29496" w14:textId="77777777" w:rsidR="00681E84" w:rsidRPr="00681E84" w:rsidRDefault="00681E84">
      <w:pPr>
        <w:rPr>
          <w:rtl/>
        </w:rPr>
      </w:pPr>
    </w:p>
    <w:p w14:paraId="3ECB1DF4" w14:textId="77777777" w:rsidR="00912FCC" w:rsidRPr="00681E84" w:rsidRDefault="00912FCC">
      <w:pPr>
        <w:rPr>
          <w:rFonts w:hint="cs"/>
          <w:rtl/>
        </w:rPr>
      </w:pPr>
    </w:p>
    <w:p w14:paraId="1148DCDB" w14:textId="77777777" w:rsidR="00763984" w:rsidRPr="00763984" w:rsidRDefault="00763984">
      <w:pPr>
        <w:pStyle w:val="Heading1"/>
        <w:rPr>
          <w:b w:val="0"/>
          <w:bCs w:val="0"/>
          <w:u w:val="none"/>
          <w:rtl/>
        </w:rPr>
      </w:pPr>
      <w:bookmarkStart w:id="10" w:name="סוג_מסמך"/>
      <w:bookmarkEnd w:id="7"/>
      <w:bookmarkEnd w:id="10"/>
    </w:p>
    <w:p w14:paraId="334D6E6A" w14:textId="77777777" w:rsidR="00763984" w:rsidRPr="00763984" w:rsidRDefault="00763984">
      <w:pPr>
        <w:pStyle w:val="Heading1"/>
        <w:rPr>
          <w:u w:val="none"/>
          <w:rtl/>
        </w:rPr>
      </w:pPr>
    </w:p>
    <w:p w14:paraId="3C919C78" w14:textId="77777777" w:rsidR="00912FCC" w:rsidRPr="00763984" w:rsidRDefault="00912FCC">
      <w:pPr>
        <w:pStyle w:val="Heading1"/>
        <w:rPr>
          <w:u w:val="none"/>
          <w:rtl/>
        </w:rPr>
      </w:pPr>
    </w:p>
    <w:p w14:paraId="392C77C5" w14:textId="77777777" w:rsidR="00912FCC" w:rsidRDefault="00912FCC">
      <w:pPr>
        <w:pStyle w:val="Heading9"/>
        <w:rPr>
          <w:rtl/>
        </w:rPr>
      </w:pPr>
      <w:bookmarkStart w:id="11" w:name="PsakDin"/>
      <w:r>
        <w:rPr>
          <w:rtl/>
        </w:rPr>
        <w:t>הכרעת דין</w:t>
      </w:r>
    </w:p>
    <w:p w14:paraId="79FB81AD" w14:textId="77777777" w:rsidR="00912FCC" w:rsidRDefault="00912FCC" w:rsidP="00912FCC">
      <w:pPr>
        <w:numPr>
          <w:ilvl w:val="0"/>
          <w:numId w:val="3"/>
        </w:numPr>
        <w:ind w:right="0"/>
        <w:rPr>
          <w:rFonts w:hint="cs"/>
          <w:sz w:val="26"/>
          <w:rtl/>
        </w:rPr>
      </w:pPr>
      <w:bookmarkStart w:id="12" w:name="ABSTRACT_START"/>
      <w:bookmarkEnd w:id="11"/>
      <w:bookmarkEnd w:id="12"/>
      <w:r>
        <w:rPr>
          <w:rFonts w:hint="cs"/>
          <w:rtl/>
        </w:rPr>
        <w:t xml:space="preserve">כתב האישום מייחס לנאשם עבירות של מעשה מגונה באדם, לפי </w:t>
      </w:r>
      <w:hyperlink r:id="rId17" w:history="1">
        <w:r w:rsidR="00681E84" w:rsidRPr="00681E84">
          <w:rPr>
            <w:color w:val="0000FF"/>
            <w:u w:val="single"/>
            <w:rtl/>
          </w:rPr>
          <w:t>סעיף 348(ג)</w:t>
        </w:r>
      </w:hyperlink>
      <w:r>
        <w:rPr>
          <w:rFonts w:hint="cs"/>
          <w:rtl/>
        </w:rPr>
        <w:t xml:space="preserve"> ל</w:t>
      </w:r>
      <w:hyperlink r:id="rId18" w:history="1">
        <w:r w:rsidR="00763984" w:rsidRPr="00763984">
          <w:rPr>
            <w:rStyle w:val="Hyperlink"/>
            <w:rFonts w:hint="eastAsia"/>
            <w:rtl/>
          </w:rPr>
          <w:t>חוק</w:t>
        </w:r>
        <w:r w:rsidR="00763984" w:rsidRPr="00763984">
          <w:rPr>
            <w:rStyle w:val="Hyperlink"/>
            <w:rtl/>
          </w:rPr>
          <w:t xml:space="preserve"> העונשין</w:t>
        </w:r>
      </w:hyperlink>
      <w:r>
        <w:rPr>
          <w:rFonts w:hint="cs"/>
          <w:rtl/>
        </w:rPr>
        <w:t>, תשל"ז-1977 (להלן: "החוק") (</w:t>
      </w:r>
      <w:r>
        <w:t>X</w:t>
      </w:r>
      <w:r>
        <w:rPr>
          <w:rFonts w:hint="cs"/>
          <w:rtl/>
        </w:rPr>
        <w:t xml:space="preserve">3), הדחת קטין לסם מסוכן, לפי </w:t>
      </w:r>
      <w:hyperlink r:id="rId19" w:history="1">
        <w:r w:rsidR="00681E84" w:rsidRPr="00681E84">
          <w:rPr>
            <w:color w:val="0000FF"/>
            <w:u w:val="single"/>
            <w:rtl/>
          </w:rPr>
          <w:t>סעיף 21(א) (1)</w:t>
        </w:r>
      </w:hyperlink>
      <w:r>
        <w:rPr>
          <w:rFonts w:hint="cs"/>
          <w:rtl/>
        </w:rPr>
        <w:t xml:space="preserve"> ל</w:t>
      </w:r>
      <w:hyperlink r:id="rId20" w:history="1">
        <w:r w:rsidR="00763984" w:rsidRPr="00763984">
          <w:rPr>
            <w:rStyle w:val="Hyperlink"/>
            <w:rFonts w:hint="eastAsia"/>
            <w:rtl/>
          </w:rPr>
          <w:t>פקודת</w:t>
        </w:r>
        <w:r w:rsidR="00763984" w:rsidRPr="00763984">
          <w:rPr>
            <w:rStyle w:val="Hyperlink"/>
            <w:rtl/>
          </w:rPr>
          <w:t xml:space="preserve"> הסמים המסוכנים</w:t>
        </w:r>
      </w:hyperlink>
      <w:r>
        <w:rPr>
          <w:rFonts w:hint="cs"/>
          <w:rtl/>
        </w:rPr>
        <w:t xml:space="preserve"> [נוסח חדש], תשל"ג-1973 (להלן: "פקודת הסמים") (</w:t>
      </w:r>
      <w:r>
        <w:t>X</w:t>
      </w:r>
      <w:r>
        <w:rPr>
          <w:rFonts w:hint="cs"/>
          <w:rtl/>
        </w:rPr>
        <w:t>13), שימוש ב</w:t>
      </w:r>
      <w:r>
        <w:rPr>
          <w:rFonts w:hint="cs"/>
          <w:sz w:val="26"/>
          <w:rtl/>
        </w:rPr>
        <w:t xml:space="preserve">סם מסוכן לפי </w:t>
      </w:r>
      <w:hyperlink r:id="rId21" w:history="1">
        <w:r w:rsidR="00681E84" w:rsidRPr="00681E84">
          <w:rPr>
            <w:color w:val="0000FF"/>
            <w:sz w:val="26"/>
            <w:u w:val="single"/>
            <w:rtl/>
          </w:rPr>
          <w:t>סעיף 7א(ג)</w:t>
        </w:r>
      </w:hyperlink>
      <w:r>
        <w:rPr>
          <w:rFonts w:hint="cs"/>
          <w:sz w:val="26"/>
          <w:rtl/>
        </w:rPr>
        <w:t xml:space="preserve"> סיפא לפקודת הסמים (</w:t>
      </w:r>
      <w:r>
        <w:rPr>
          <w:sz w:val="26"/>
        </w:rPr>
        <w:t>X</w:t>
      </w:r>
      <w:r>
        <w:rPr>
          <w:rFonts w:hint="cs"/>
          <w:sz w:val="26"/>
          <w:rtl/>
        </w:rPr>
        <w:t xml:space="preserve">13), והחזקת כלים, לפי </w:t>
      </w:r>
      <w:hyperlink r:id="rId22" w:history="1">
        <w:r w:rsidR="00681E84" w:rsidRPr="00681E84">
          <w:rPr>
            <w:color w:val="0000FF"/>
            <w:sz w:val="26"/>
            <w:u w:val="single"/>
            <w:rtl/>
          </w:rPr>
          <w:t>סעיף 10</w:t>
        </w:r>
      </w:hyperlink>
      <w:r>
        <w:rPr>
          <w:rFonts w:hint="cs"/>
          <w:sz w:val="26"/>
          <w:rtl/>
        </w:rPr>
        <w:t xml:space="preserve"> סיפא לפקודת הסמים</w:t>
      </w:r>
      <w:bookmarkStart w:id="13" w:name="ABSTRACT_END"/>
      <w:bookmarkEnd w:id="13"/>
      <w:r>
        <w:rPr>
          <w:rFonts w:hint="cs"/>
          <w:sz w:val="26"/>
          <w:rtl/>
        </w:rPr>
        <w:t>.</w:t>
      </w:r>
    </w:p>
    <w:p w14:paraId="40AAC422" w14:textId="77777777" w:rsidR="00912FCC" w:rsidRDefault="00912FCC">
      <w:pPr>
        <w:ind w:left="360"/>
        <w:rPr>
          <w:sz w:val="26"/>
          <w:rtl/>
        </w:rPr>
      </w:pPr>
    </w:p>
    <w:p w14:paraId="7233109C" w14:textId="77777777" w:rsidR="00912FCC" w:rsidRDefault="00912FCC" w:rsidP="00912FCC">
      <w:pPr>
        <w:numPr>
          <w:ilvl w:val="0"/>
          <w:numId w:val="3"/>
        </w:numPr>
        <w:ind w:right="0"/>
        <w:rPr>
          <w:rFonts w:hint="cs"/>
          <w:sz w:val="26"/>
          <w:rtl/>
        </w:rPr>
      </w:pPr>
      <w:r>
        <w:rPr>
          <w:rFonts w:hint="cs"/>
          <w:sz w:val="26"/>
          <w:rtl/>
        </w:rPr>
        <w:t>המעשים המיוחסים לנאשם, בוצעו כנגד מספר קטינים כדלקמן:</w:t>
      </w:r>
    </w:p>
    <w:p w14:paraId="2C111CB8" w14:textId="77777777" w:rsidR="00912FCC" w:rsidRDefault="00912FCC">
      <w:pPr>
        <w:ind w:left="1080" w:firstLine="360"/>
        <w:rPr>
          <w:sz w:val="26"/>
          <w:u w:val="single"/>
          <w:rtl/>
        </w:rPr>
      </w:pPr>
      <w:r>
        <w:rPr>
          <w:rFonts w:hint="cs"/>
          <w:sz w:val="26"/>
          <w:u w:val="single"/>
          <w:rtl/>
        </w:rPr>
        <w:t>הקטין א.כ – יליד 1990 (להלן: "המתלונן")</w:t>
      </w:r>
    </w:p>
    <w:p w14:paraId="278795FD" w14:textId="77777777" w:rsidR="00912FCC" w:rsidRDefault="00912FCC" w:rsidP="00912FCC">
      <w:pPr>
        <w:numPr>
          <w:ilvl w:val="1"/>
          <w:numId w:val="3"/>
        </w:numPr>
        <w:ind w:right="0"/>
        <w:rPr>
          <w:sz w:val="26"/>
          <w:rtl/>
        </w:rPr>
      </w:pPr>
      <w:r>
        <w:rPr>
          <w:rFonts w:hint="cs"/>
          <w:sz w:val="26"/>
          <w:rtl/>
        </w:rPr>
        <w:t xml:space="preserve">חצי שנה לפני ה-3.11.05 פגש הנאשם במתלונן, הכניס את ידו לתוך מכנסיו, ונגע באיבר מינו, לשם גירוי וסיפוק מיני. המתלונן ביקש מהנאשם להוציא את ידו, תוך שהוא מושך אותה  החוצה ממכנסיו. </w:t>
      </w:r>
    </w:p>
    <w:p w14:paraId="1791C7E8" w14:textId="77777777" w:rsidR="00912FCC" w:rsidRDefault="00912FCC" w:rsidP="00912FCC">
      <w:pPr>
        <w:numPr>
          <w:ilvl w:val="1"/>
          <w:numId w:val="3"/>
        </w:numPr>
        <w:ind w:right="0"/>
        <w:rPr>
          <w:sz w:val="26"/>
          <w:rtl/>
        </w:rPr>
      </w:pPr>
      <w:r>
        <w:rPr>
          <w:rFonts w:hint="cs"/>
          <w:sz w:val="26"/>
          <w:rtl/>
        </w:rPr>
        <w:t>ביום 29.10.05 הזמין הנאשם את המתלונן לביתו, סיפק לו סם מסוג קאנבוס לצריכה עצמית, ואף עישן עימו את הסם, באמצעות באנג. בהמשך, הציג בפני המתלונן סרט פורנוגרפי, הוריד את מכנסי המתלונן הסיר את תחתוניו ונגע באיבר מינו, לשם גירוי וסיפוק מיני. המתלונן הזיז את ידו של הנאשם ואמר לו שאינו מעוניין שיגע בו, אך בכל פעם שעשה כן, כלבתו של הנאשם מסוג אמסטף קמה, והנאשם הורה לה לשבת. הנאשם הציע למתלונן לבצע בו מין אוראלי, אך המתלונן סרב. הנאשם הזמין אותו גם למחרת.</w:t>
      </w:r>
    </w:p>
    <w:p w14:paraId="4EAEBD36" w14:textId="77777777" w:rsidR="00912FCC" w:rsidRDefault="00912FCC" w:rsidP="00912FCC">
      <w:pPr>
        <w:numPr>
          <w:ilvl w:val="1"/>
          <w:numId w:val="3"/>
        </w:numPr>
        <w:ind w:right="0"/>
        <w:rPr>
          <w:sz w:val="26"/>
          <w:rtl/>
        </w:rPr>
      </w:pPr>
      <w:r>
        <w:rPr>
          <w:rFonts w:hint="cs"/>
          <w:sz w:val="26"/>
          <w:rtl/>
        </w:rPr>
        <w:t>ביום 31.10.05 בבית הנאשם, סיפק הנאשם לקטין סם מסוג קאנבוס, ועישן ביחד עימו, תוך שימוש בבאנג.</w:t>
      </w:r>
    </w:p>
    <w:p w14:paraId="209DA7B9" w14:textId="77777777" w:rsidR="00912FCC" w:rsidRDefault="00912FCC" w:rsidP="00912FCC">
      <w:pPr>
        <w:numPr>
          <w:ilvl w:val="1"/>
          <w:numId w:val="3"/>
        </w:numPr>
        <w:ind w:right="0"/>
        <w:rPr>
          <w:sz w:val="26"/>
          <w:rtl/>
        </w:rPr>
      </w:pPr>
      <w:r>
        <w:rPr>
          <w:rFonts w:hint="cs"/>
          <w:sz w:val="26"/>
          <w:rtl/>
        </w:rPr>
        <w:t>ביום 2.11.05 פגש הנאשם במתלונן והזמין אותו שוב לביתו.</w:t>
      </w:r>
    </w:p>
    <w:p w14:paraId="5B381549" w14:textId="77777777" w:rsidR="00912FCC" w:rsidRDefault="00912FCC">
      <w:pPr>
        <w:ind w:left="1080" w:firstLine="360"/>
        <w:rPr>
          <w:sz w:val="26"/>
          <w:u w:val="single"/>
          <w:rtl/>
        </w:rPr>
      </w:pPr>
    </w:p>
    <w:p w14:paraId="11956A63" w14:textId="77777777" w:rsidR="00912FCC" w:rsidRDefault="00912FCC">
      <w:pPr>
        <w:ind w:left="1080" w:firstLine="360"/>
        <w:rPr>
          <w:rFonts w:hint="cs"/>
          <w:sz w:val="26"/>
          <w:u w:val="single"/>
          <w:rtl/>
        </w:rPr>
      </w:pPr>
      <w:r>
        <w:rPr>
          <w:rFonts w:hint="cs"/>
          <w:sz w:val="26"/>
          <w:u w:val="single"/>
          <w:rtl/>
        </w:rPr>
        <w:t>הקטין א.א –יליד 1989</w:t>
      </w:r>
    </w:p>
    <w:p w14:paraId="2C1F1BC7" w14:textId="77777777" w:rsidR="00912FCC" w:rsidRDefault="00912FCC" w:rsidP="00912FCC">
      <w:pPr>
        <w:numPr>
          <w:ilvl w:val="1"/>
          <w:numId w:val="3"/>
        </w:numPr>
        <w:ind w:right="0"/>
        <w:rPr>
          <w:sz w:val="26"/>
          <w:rtl/>
        </w:rPr>
      </w:pPr>
      <w:r>
        <w:rPr>
          <w:rFonts w:hint="cs"/>
          <w:sz w:val="26"/>
          <w:rtl/>
        </w:rPr>
        <w:t>במועד לא ידוע, בין החודשים 8/05-11/05, נגע הנאשם ברגלו של א.א ואמר לו: "לא בא לך לזיין איזה בחורה", וזאת עשה לשם גירוי או סיפוק מיני. א.א צעק על הנאשם והורה לו שלא לגעת בו.</w:t>
      </w:r>
    </w:p>
    <w:p w14:paraId="40796388" w14:textId="77777777" w:rsidR="00912FCC" w:rsidRDefault="00912FCC">
      <w:pPr>
        <w:ind w:left="1080" w:firstLine="360"/>
        <w:rPr>
          <w:sz w:val="26"/>
          <w:u w:val="single"/>
          <w:rtl/>
        </w:rPr>
      </w:pPr>
    </w:p>
    <w:p w14:paraId="0BEC21C4" w14:textId="77777777" w:rsidR="00912FCC" w:rsidRDefault="00912FCC">
      <w:pPr>
        <w:ind w:left="1080" w:firstLine="360"/>
        <w:rPr>
          <w:rFonts w:hint="cs"/>
          <w:sz w:val="26"/>
          <w:u w:val="single"/>
          <w:rtl/>
        </w:rPr>
      </w:pPr>
      <w:r>
        <w:rPr>
          <w:rFonts w:hint="cs"/>
          <w:sz w:val="26"/>
          <w:u w:val="single"/>
          <w:rtl/>
        </w:rPr>
        <w:t>הקטין מ.מ – יליד 1988</w:t>
      </w:r>
    </w:p>
    <w:p w14:paraId="7CD80902" w14:textId="77777777" w:rsidR="00912FCC" w:rsidRDefault="00912FCC" w:rsidP="00912FCC">
      <w:pPr>
        <w:numPr>
          <w:ilvl w:val="1"/>
          <w:numId w:val="3"/>
        </w:numPr>
        <w:ind w:right="0"/>
        <w:rPr>
          <w:sz w:val="26"/>
          <w:rtl/>
        </w:rPr>
      </w:pPr>
      <w:r>
        <w:rPr>
          <w:rFonts w:hint="cs"/>
          <w:sz w:val="26"/>
          <w:rtl/>
        </w:rPr>
        <w:t>בתאריך שאינו ידוע, שבועיים לפני יום 9.11.05, הדיח הנאשם את הקטין לשימוש בסם, בכך שסיפק לו סם מסוג קאנבוס בכמות לא ידועה לשימוש עצמי, ועישן עימו ביחד את הסם.</w:t>
      </w:r>
    </w:p>
    <w:p w14:paraId="06DE8366" w14:textId="77777777" w:rsidR="00912FCC" w:rsidRDefault="00912FCC">
      <w:pPr>
        <w:ind w:left="1080" w:firstLine="360"/>
        <w:rPr>
          <w:sz w:val="26"/>
          <w:u w:val="single"/>
          <w:rtl/>
        </w:rPr>
      </w:pPr>
    </w:p>
    <w:p w14:paraId="2163824D" w14:textId="77777777" w:rsidR="00912FCC" w:rsidRDefault="00912FCC">
      <w:pPr>
        <w:ind w:left="1080" w:firstLine="360"/>
        <w:rPr>
          <w:rFonts w:hint="cs"/>
          <w:sz w:val="26"/>
          <w:u w:val="single"/>
          <w:rtl/>
        </w:rPr>
      </w:pPr>
      <w:r>
        <w:rPr>
          <w:rFonts w:hint="cs"/>
          <w:sz w:val="26"/>
          <w:u w:val="single"/>
          <w:rtl/>
        </w:rPr>
        <w:t>הקטינים א.א ו-ו.ד יליד 1989 ו-  1990</w:t>
      </w:r>
    </w:p>
    <w:p w14:paraId="018A77D4" w14:textId="77777777" w:rsidR="00912FCC" w:rsidRDefault="00912FCC" w:rsidP="00912FCC">
      <w:pPr>
        <w:numPr>
          <w:ilvl w:val="1"/>
          <w:numId w:val="3"/>
        </w:numPr>
        <w:ind w:right="0"/>
        <w:rPr>
          <w:sz w:val="26"/>
          <w:rtl/>
        </w:rPr>
      </w:pPr>
      <w:r>
        <w:rPr>
          <w:rFonts w:hint="cs"/>
          <w:sz w:val="26"/>
          <w:rtl/>
        </w:rPr>
        <w:t>כ-10 פעמים במהלך החודשים 8/05-11/05, סיפק לקטינים הנ"ל סם מסוג קאנבוס לצריכה עצמית, ועישן איתם את הסם, באמצעות באנג.</w:t>
      </w:r>
    </w:p>
    <w:p w14:paraId="3823A7CE" w14:textId="77777777" w:rsidR="00912FCC" w:rsidRDefault="00912FCC">
      <w:pPr>
        <w:pStyle w:val="Heading4"/>
        <w:rPr>
          <w:rtl/>
        </w:rPr>
      </w:pPr>
    </w:p>
    <w:p w14:paraId="4AE94E9F" w14:textId="77777777" w:rsidR="00912FCC" w:rsidRDefault="00912FCC">
      <w:pPr>
        <w:ind w:left="1080" w:firstLine="360"/>
        <w:rPr>
          <w:rFonts w:hint="cs"/>
          <w:sz w:val="26"/>
          <w:u w:val="single"/>
          <w:rtl/>
        </w:rPr>
      </w:pPr>
      <w:r>
        <w:rPr>
          <w:rFonts w:hint="cs"/>
          <w:sz w:val="26"/>
          <w:u w:val="single"/>
          <w:rtl/>
        </w:rPr>
        <w:t>החזקת כלים</w:t>
      </w:r>
    </w:p>
    <w:p w14:paraId="737A0552" w14:textId="77777777" w:rsidR="00912FCC" w:rsidRDefault="00912FCC" w:rsidP="00912FCC">
      <w:pPr>
        <w:numPr>
          <w:ilvl w:val="1"/>
          <w:numId w:val="3"/>
        </w:numPr>
        <w:ind w:right="0"/>
        <w:rPr>
          <w:sz w:val="26"/>
          <w:rtl/>
        </w:rPr>
      </w:pPr>
      <w:r>
        <w:rPr>
          <w:rFonts w:hint="cs"/>
          <w:sz w:val="26"/>
          <w:rtl/>
        </w:rPr>
        <w:t>בתאריך 8.11.05 החזיק הנאשם בביתו כלי מאולתר לשימוש בסם.</w:t>
      </w:r>
    </w:p>
    <w:p w14:paraId="2B2B19A5" w14:textId="77777777" w:rsidR="00912FCC" w:rsidRDefault="00912FCC">
      <w:pPr>
        <w:ind w:left="1080"/>
        <w:rPr>
          <w:sz w:val="26"/>
          <w:rtl/>
        </w:rPr>
      </w:pPr>
    </w:p>
    <w:p w14:paraId="2F839659" w14:textId="77777777" w:rsidR="00912FCC" w:rsidRDefault="00912FCC" w:rsidP="00912FCC">
      <w:pPr>
        <w:numPr>
          <w:ilvl w:val="0"/>
          <w:numId w:val="3"/>
        </w:numPr>
        <w:ind w:right="0"/>
        <w:rPr>
          <w:rtl/>
        </w:rPr>
      </w:pPr>
      <w:r>
        <w:rPr>
          <w:rFonts w:hint="cs"/>
          <w:rtl/>
        </w:rPr>
        <w:t>הנאשם הגיש מענה מפורט בכתב לאישומים. במסגרת המענה, הודה חלקית בעבירות הסם, וכפר בביצוע עבירות המין, כפי שיפורט להלן.</w:t>
      </w:r>
    </w:p>
    <w:p w14:paraId="662BB224" w14:textId="77777777" w:rsidR="00912FCC" w:rsidRDefault="00912FCC">
      <w:pPr>
        <w:ind w:left="360"/>
        <w:rPr>
          <w:rFonts w:hint="cs"/>
          <w:rtl/>
        </w:rPr>
      </w:pPr>
    </w:p>
    <w:p w14:paraId="355DF8CE" w14:textId="77777777" w:rsidR="00912FCC" w:rsidRDefault="00912FCC" w:rsidP="00912FCC">
      <w:pPr>
        <w:numPr>
          <w:ilvl w:val="0"/>
          <w:numId w:val="3"/>
        </w:numPr>
        <w:ind w:right="0"/>
        <w:rPr>
          <w:rFonts w:hint="cs"/>
          <w:rtl/>
        </w:rPr>
      </w:pPr>
      <w:r>
        <w:rPr>
          <w:rFonts w:hint="cs"/>
          <w:rtl/>
        </w:rPr>
        <w:t xml:space="preserve">במסגרת פרשת ההוכחות בתיק, העידו העדים הבאים מטעם התביעה: המתלונן, </w:t>
      </w:r>
      <w:r>
        <w:rPr>
          <w:rFonts w:hint="cs"/>
        </w:rPr>
        <w:t xml:space="preserve"> </w:t>
      </w:r>
      <w:r>
        <w:rPr>
          <w:rFonts w:hint="cs"/>
          <w:rtl/>
        </w:rPr>
        <w:t>הקטינים א.ג, ו.ד, ו-א.א, מירב אלפסי</w:t>
      </w:r>
      <w:r>
        <w:rPr>
          <w:rFonts w:hint="cs"/>
        </w:rPr>
        <w:t xml:space="preserve"> </w:t>
      </w:r>
      <w:r>
        <w:rPr>
          <w:rFonts w:hint="cs"/>
          <w:rtl/>
        </w:rPr>
        <w:t>עובדת סוציאלית המטפלת במתלונן, והחוקר יגאל ראובני.</w:t>
      </w:r>
    </w:p>
    <w:p w14:paraId="711EB5A0" w14:textId="77777777" w:rsidR="00912FCC" w:rsidRDefault="00912FCC">
      <w:pPr>
        <w:ind w:left="360"/>
        <w:rPr>
          <w:rFonts w:hint="cs"/>
          <w:rtl/>
        </w:rPr>
      </w:pPr>
    </w:p>
    <w:p w14:paraId="422A9D35" w14:textId="77777777" w:rsidR="00912FCC" w:rsidRDefault="00912FCC" w:rsidP="00912FCC">
      <w:pPr>
        <w:numPr>
          <w:ilvl w:val="0"/>
          <w:numId w:val="3"/>
        </w:numPr>
        <w:ind w:right="0"/>
        <w:rPr>
          <w:rFonts w:hint="cs"/>
          <w:rtl/>
        </w:rPr>
      </w:pPr>
      <w:r>
        <w:rPr>
          <w:rFonts w:hint="cs"/>
          <w:rtl/>
        </w:rPr>
        <w:t>מטעם ההגנה העיד הנאשם לבדו</w:t>
      </w:r>
      <w:r>
        <w:t>.</w:t>
      </w:r>
    </w:p>
    <w:p w14:paraId="77DDCB40" w14:textId="77777777" w:rsidR="00912FCC" w:rsidRDefault="00912FCC">
      <w:pPr>
        <w:pStyle w:val="Heading5"/>
        <w:rPr>
          <w:rFonts w:hint="cs"/>
          <w:b/>
          <w:bCs/>
          <w:rtl/>
        </w:rPr>
      </w:pPr>
    </w:p>
    <w:p w14:paraId="12CB3DA7" w14:textId="77777777" w:rsidR="00912FCC" w:rsidRDefault="00912FCC">
      <w:pPr>
        <w:pStyle w:val="Heading5"/>
        <w:rPr>
          <w:rFonts w:hint="cs"/>
          <w:b/>
          <w:bCs/>
          <w:rtl/>
        </w:rPr>
      </w:pPr>
      <w:r>
        <w:rPr>
          <w:rFonts w:hint="cs"/>
          <w:b/>
          <w:bCs/>
          <w:rtl/>
        </w:rPr>
        <w:t>דיון</w:t>
      </w:r>
    </w:p>
    <w:p w14:paraId="1A08FC9F" w14:textId="77777777" w:rsidR="00912FCC" w:rsidRDefault="00912FCC">
      <w:pPr>
        <w:ind w:left="360" w:firstLine="360"/>
        <w:rPr>
          <w:rFonts w:hint="cs"/>
          <w:u w:val="single"/>
          <w:rtl/>
        </w:rPr>
      </w:pPr>
      <w:r>
        <w:rPr>
          <w:rFonts w:hint="cs"/>
          <w:u w:val="single"/>
          <w:rtl/>
        </w:rPr>
        <w:t>העבירות כלפי המתלונן</w:t>
      </w:r>
    </w:p>
    <w:p w14:paraId="65D02824" w14:textId="77777777" w:rsidR="00912FCC" w:rsidRDefault="00912FCC" w:rsidP="00912FCC">
      <w:pPr>
        <w:numPr>
          <w:ilvl w:val="0"/>
          <w:numId w:val="3"/>
        </w:numPr>
        <w:ind w:right="0"/>
        <w:rPr>
          <w:rFonts w:hint="cs"/>
          <w:rtl/>
        </w:rPr>
      </w:pPr>
      <w:r>
        <w:rPr>
          <w:rFonts w:hint="cs"/>
          <w:rtl/>
        </w:rPr>
        <w:t>הנאשם כפר במעשה המגונה שיוחס לו בסעיפים 1 ו-2</w:t>
      </w:r>
      <w:r>
        <w:rPr>
          <w:rFonts w:hint="cs"/>
        </w:rPr>
        <w:t xml:space="preserve"> </w:t>
      </w:r>
      <w:r>
        <w:rPr>
          <w:rFonts w:hint="cs"/>
          <w:rtl/>
        </w:rPr>
        <w:t>לכתב האישום (יכונה להלן: "האירוע הראשון").</w:t>
      </w:r>
    </w:p>
    <w:p w14:paraId="7DA0D8BF" w14:textId="77777777" w:rsidR="00912FCC" w:rsidRDefault="00912FCC">
      <w:pPr>
        <w:ind w:left="360"/>
        <w:rPr>
          <w:rtl/>
        </w:rPr>
      </w:pPr>
      <w:r>
        <w:rPr>
          <w:rFonts w:hint="cs"/>
          <w:rtl/>
        </w:rPr>
        <w:t xml:space="preserve"> </w:t>
      </w:r>
    </w:p>
    <w:p w14:paraId="1EA81844" w14:textId="77777777" w:rsidR="00912FCC" w:rsidRDefault="00912FCC" w:rsidP="00912FCC">
      <w:pPr>
        <w:numPr>
          <w:ilvl w:val="0"/>
          <w:numId w:val="3"/>
        </w:numPr>
        <w:ind w:right="0"/>
        <w:rPr>
          <w:rFonts w:hint="cs"/>
          <w:rtl/>
        </w:rPr>
      </w:pPr>
      <w:r>
        <w:rPr>
          <w:rFonts w:hint="cs"/>
          <w:rtl/>
        </w:rPr>
        <w:t>אשר למעשה המגונה נשוא סעיפים 5-7 (יכונה להלן: "האירוע השני"), הנאשם הודה כי נגע באיבר מינו של המתלונן מתחת למכנסיים,</w:t>
      </w:r>
      <w:r>
        <w:rPr>
          <w:rFonts w:hint="cs"/>
        </w:rPr>
        <w:t xml:space="preserve"> </w:t>
      </w:r>
      <w:r>
        <w:rPr>
          <w:rFonts w:hint="cs"/>
          <w:rtl/>
        </w:rPr>
        <w:t>אך זאת בהסכמתו המלאה של הקטין, וכפר ביתר העובדות</w:t>
      </w:r>
      <w:r>
        <w:t xml:space="preserve">. </w:t>
      </w:r>
    </w:p>
    <w:p w14:paraId="31B7AC5D" w14:textId="77777777" w:rsidR="00912FCC" w:rsidRDefault="00912FCC">
      <w:pPr>
        <w:ind w:left="360"/>
        <w:rPr>
          <w:rtl/>
        </w:rPr>
      </w:pPr>
    </w:p>
    <w:p w14:paraId="6E5C4672" w14:textId="77777777" w:rsidR="00912FCC" w:rsidRDefault="00912FCC" w:rsidP="00912FCC">
      <w:pPr>
        <w:numPr>
          <w:ilvl w:val="0"/>
          <w:numId w:val="3"/>
        </w:numPr>
        <w:ind w:right="0"/>
        <w:rPr>
          <w:rFonts w:hint="cs"/>
          <w:rtl/>
        </w:rPr>
      </w:pPr>
      <w:r>
        <w:rPr>
          <w:rFonts w:hint="cs"/>
          <w:rtl/>
        </w:rPr>
        <w:t>עבירות הסמים נשוא סעיף 4</w:t>
      </w:r>
      <w:r>
        <w:rPr>
          <w:rFonts w:hint="cs"/>
        </w:rPr>
        <w:t xml:space="preserve"> </w:t>
      </w:r>
      <w:r>
        <w:rPr>
          <w:rFonts w:hint="cs"/>
          <w:rtl/>
        </w:rPr>
        <w:t xml:space="preserve">לכתב האישום </w:t>
      </w:r>
      <w:r>
        <w:t xml:space="preserve">– </w:t>
      </w:r>
      <w:r>
        <w:rPr>
          <w:rFonts w:hint="cs"/>
          <w:rtl/>
        </w:rPr>
        <w:t>הנאשם הודה בהספקת הסם למתלונן,</w:t>
      </w:r>
      <w:r>
        <w:rPr>
          <w:rFonts w:hint="cs"/>
        </w:rPr>
        <w:t xml:space="preserve"> </w:t>
      </w:r>
      <w:r>
        <w:rPr>
          <w:rFonts w:hint="cs"/>
          <w:rtl/>
        </w:rPr>
        <w:t>והשימוש בצוותא,</w:t>
      </w:r>
      <w:r>
        <w:rPr>
          <w:rFonts w:hint="cs"/>
        </w:rPr>
        <w:t xml:space="preserve"> </w:t>
      </w:r>
      <w:r>
        <w:rPr>
          <w:rFonts w:hint="cs"/>
          <w:rtl/>
        </w:rPr>
        <w:t>אך טען כי הדבר נעשה על פי בקשת המתלונן עצמו, שנוהג מזה מספר שנים לעשן סמים</w:t>
      </w:r>
      <w:r>
        <w:t xml:space="preserve">. </w:t>
      </w:r>
    </w:p>
    <w:p w14:paraId="65077B5F" w14:textId="77777777" w:rsidR="00912FCC" w:rsidRDefault="00912FCC">
      <w:pPr>
        <w:ind w:left="360"/>
        <w:rPr>
          <w:rtl/>
        </w:rPr>
      </w:pPr>
    </w:p>
    <w:p w14:paraId="6B14E45E" w14:textId="77777777" w:rsidR="00912FCC" w:rsidRDefault="00912FCC" w:rsidP="00912FCC">
      <w:pPr>
        <w:numPr>
          <w:ilvl w:val="0"/>
          <w:numId w:val="3"/>
        </w:numPr>
        <w:ind w:right="0"/>
        <w:rPr>
          <w:rFonts w:hint="cs"/>
          <w:rtl/>
        </w:rPr>
      </w:pPr>
      <w:r>
        <w:rPr>
          <w:rFonts w:hint="cs"/>
          <w:rtl/>
        </w:rPr>
        <w:t>הנאשם הודה גם כי  המתלונן הגיע מיוזמתו לבית הנאשם ביום 2.11.05.</w:t>
      </w:r>
    </w:p>
    <w:p w14:paraId="1B89E9D4" w14:textId="77777777" w:rsidR="00912FCC" w:rsidRDefault="00912FCC">
      <w:pPr>
        <w:ind w:left="360"/>
        <w:rPr>
          <w:rtl/>
        </w:rPr>
      </w:pPr>
    </w:p>
    <w:p w14:paraId="14DC3147" w14:textId="77777777" w:rsidR="00912FCC" w:rsidRDefault="00912FCC" w:rsidP="00912FCC">
      <w:pPr>
        <w:numPr>
          <w:ilvl w:val="0"/>
          <w:numId w:val="3"/>
        </w:numPr>
        <w:ind w:right="0"/>
        <w:rPr>
          <w:rFonts w:hint="cs"/>
          <w:rtl/>
        </w:rPr>
      </w:pPr>
      <w:r>
        <w:rPr>
          <w:rFonts w:hint="cs"/>
          <w:rtl/>
        </w:rPr>
        <w:t>העבירות המוכחשות אם כך</w:t>
      </w:r>
      <w:r>
        <w:rPr>
          <w:rFonts w:hint="cs"/>
        </w:rPr>
        <w:t xml:space="preserve"> </w:t>
      </w:r>
      <w:r>
        <w:rPr>
          <w:rFonts w:hint="cs"/>
          <w:rtl/>
        </w:rPr>
        <w:t>הן שתי עבירות המין. לשם הוכחתן נשמעו עדויות המתלונן</w:t>
      </w:r>
      <w:r>
        <w:rPr>
          <w:rFonts w:hint="cs"/>
        </w:rPr>
        <w:t xml:space="preserve"> </w:t>
      </w:r>
      <w:r>
        <w:rPr>
          <w:rFonts w:hint="cs"/>
          <w:rtl/>
        </w:rPr>
        <w:t>והעובדת הסוציאלית</w:t>
      </w:r>
      <w:r>
        <w:t>,</w:t>
      </w:r>
      <w:r>
        <w:rPr>
          <w:rFonts w:hint="cs"/>
          <w:rtl/>
        </w:rPr>
        <w:t xml:space="preserve"> מול גרסת הנאשם.</w:t>
      </w:r>
      <w:r>
        <w:rPr>
          <w:rFonts w:hint="cs"/>
        </w:rPr>
        <w:t xml:space="preserve"> </w:t>
      </w:r>
      <w:r>
        <w:rPr>
          <w:rFonts w:hint="cs"/>
          <w:rtl/>
        </w:rPr>
        <w:t>בטרם אכנס לבחינת הגרסאות, אדגיש כי סלע המחלוקת, לפחות בכל הנוגע לאירוע השני,</w:t>
      </w:r>
      <w:r>
        <w:rPr>
          <w:rFonts w:hint="cs"/>
        </w:rPr>
        <w:t xml:space="preserve"> </w:t>
      </w:r>
      <w:r>
        <w:rPr>
          <w:rFonts w:hint="cs"/>
          <w:rtl/>
        </w:rPr>
        <w:t>מצומצם ביותר.</w:t>
      </w:r>
      <w:r>
        <w:rPr>
          <w:rFonts w:hint="cs"/>
        </w:rPr>
        <w:t xml:space="preserve"> </w:t>
      </w:r>
      <w:r>
        <w:rPr>
          <w:rFonts w:hint="cs"/>
          <w:rtl/>
        </w:rPr>
        <w:t xml:space="preserve">הנאשם </w:t>
      </w:r>
      <w:r>
        <w:rPr>
          <w:rFonts w:hint="cs"/>
          <w:rtl/>
        </w:rPr>
        <w:lastRenderedPageBreak/>
        <w:t>מודה כי המתלונן הגיע לביתו,</w:t>
      </w:r>
      <w:r>
        <w:rPr>
          <w:rFonts w:hint="cs"/>
        </w:rPr>
        <w:t xml:space="preserve"> </w:t>
      </w:r>
      <w:r>
        <w:rPr>
          <w:rFonts w:hint="cs"/>
          <w:rtl/>
        </w:rPr>
        <w:t>שם צפה אותה עת בסרט פורנוגרפי. הנאשם הזמין את המתלונן לצפות עימו בסרט ולעשן עימו חשיש. הנאשם מודה כי הכניס את ידו לתוך מכנסי המתלונן ונגע באיבר מינו של המתלונן מתחת לתחתוניו</w:t>
      </w:r>
      <w:r>
        <w:t>.</w:t>
      </w:r>
      <w:r>
        <w:rPr>
          <w:rFonts w:hint="cs"/>
          <w:rtl/>
        </w:rPr>
        <w:t xml:space="preserve"> יש לציין בהקשר זה, כי הגם שהנאשם הודה בכך בתגובתו לכתב האישום,</w:t>
      </w:r>
      <w:r>
        <w:rPr>
          <w:rFonts w:hint="cs"/>
        </w:rPr>
        <w:t xml:space="preserve"> </w:t>
      </w:r>
      <w:r>
        <w:rPr>
          <w:rFonts w:hint="cs"/>
          <w:rtl/>
        </w:rPr>
        <w:t>בחקירתו הנגדית שינה טעמו, וטען כי נגע באיבר מינו של המתלונן רק מעל למכנסיו. מכל מקום,</w:t>
      </w:r>
      <w:r>
        <w:rPr>
          <w:rFonts w:hint="cs"/>
        </w:rPr>
        <w:t xml:space="preserve"> </w:t>
      </w:r>
      <w:r>
        <w:rPr>
          <w:rFonts w:hint="cs"/>
          <w:rtl/>
        </w:rPr>
        <w:t>המחלוקת המהותית באירוע זה, סובבת סביב שאלת הסכמת המתלונן. המתלונן טוען כי המעשה בוצע ללא הסכמתו,  והנאשם עומד על כך, שהכל נעשה בהסכמה</w:t>
      </w:r>
      <w:r>
        <w:t>.</w:t>
      </w:r>
    </w:p>
    <w:p w14:paraId="5E5B1A4D" w14:textId="77777777" w:rsidR="00912FCC" w:rsidRDefault="00912FCC">
      <w:pPr>
        <w:pStyle w:val="Heading6"/>
        <w:rPr>
          <w:rFonts w:hint="cs"/>
          <w:rtl/>
        </w:rPr>
      </w:pPr>
    </w:p>
    <w:p w14:paraId="680CEDF0" w14:textId="77777777" w:rsidR="00912FCC" w:rsidRDefault="00912FCC">
      <w:pPr>
        <w:pStyle w:val="Heading6"/>
        <w:ind w:left="720"/>
        <w:rPr>
          <w:rFonts w:hint="cs"/>
          <w:rtl/>
        </w:rPr>
      </w:pPr>
      <w:r>
        <w:rPr>
          <w:rFonts w:hint="cs"/>
          <w:rtl/>
        </w:rPr>
        <w:t>גרסת המתלונן</w:t>
      </w:r>
    </w:p>
    <w:p w14:paraId="5310F497" w14:textId="77777777" w:rsidR="00912FCC" w:rsidRDefault="00912FCC" w:rsidP="00912FCC">
      <w:pPr>
        <w:numPr>
          <w:ilvl w:val="0"/>
          <w:numId w:val="3"/>
        </w:numPr>
        <w:ind w:right="0"/>
        <w:rPr>
          <w:rFonts w:hint="cs"/>
          <w:rtl/>
        </w:rPr>
      </w:pPr>
      <w:r>
        <w:rPr>
          <w:rFonts w:hint="cs"/>
          <w:rtl/>
        </w:rPr>
        <w:t>המתלונן העיד ותאר את המעשים כמפורט בכתב האישום.</w:t>
      </w:r>
    </w:p>
    <w:p w14:paraId="4C842DFB" w14:textId="77777777" w:rsidR="00912FCC" w:rsidRDefault="00912FCC">
      <w:pPr>
        <w:ind w:left="360"/>
        <w:rPr>
          <w:rtl/>
        </w:rPr>
      </w:pPr>
    </w:p>
    <w:p w14:paraId="05E4C9F5" w14:textId="77777777" w:rsidR="00912FCC" w:rsidRDefault="00912FCC" w:rsidP="00912FCC">
      <w:pPr>
        <w:numPr>
          <w:ilvl w:val="0"/>
          <w:numId w:val="3"/>
        </w:numPr>
        <w:ind w:right="0"/>
        <w:rPr>
          <w:rtl/>
        </w:rPr>
      </w:pPr>
      <w:r>
        <w:rPr>
          <w:rFonts w:hint="cs"/>
          <w:rtl/>
        </w:rPr>
        <w:t>מדובר בנער כבן 16,</w:t>
      </w:r>
      <w:r>
        <w:rPr>
          <w:rFonts w:hint="cs"/>
        </w:rPr>
        <w:t xml:space="preserve"> </w:t>
      </w:r>
      <w:r>
        <w:rPr>
          <w:rFonts w:hint="cs"/>
          <w:rtl/>
        </w:rPr>
        <w:t>תלמיד כיתה מיוחדת בבית ספר תיכון.</w:t>
      </w:r>
      <w:r>
        <w:rPr>
          <w:rFonts w:hint="cs"/>
        </w:rPr>
        <w:t xml:space="preserve"> </w:t>
      </w:r>
      <w:r>
        <w:rPr>
          <w:rFonts w:hint="cs"/>
          <w:rtl/>
        </w:rPr>
        <w:t>התרשמתי כי מדובר בנער דל למדי, שלא לומר איטי, פשוט ולא מתוחכם. המתלונן התקשה לתאר את האירועים בשטף,</w:t>
      </w:r>
      <w:r>
        <w:rPr>
          <w:rFonts w:hint="cs"/>
        </w:rPr>
        <w:t xml:space="preserve"> </w:t>
      </w:r>
      <w:r>
        <w:rPr>
          <w:rFonts w:hint="cs"/>
          <w:rtl/>
        </w:rPr>
        <w:t xml:space="preserve">התבלבל מספר פעמים, ונזקק לרענון זכרונו בקטעים מסויימים. </w:t>
      </w:r>
      <w:r>
        <w:rPr>
          <w:rFonts w:hint="cs"/>
        </w:rPr>
        <w:t xml:space="preserve"> </w:t>
      </w:r>
      <w:r>
        <w:rPr>
          <w:rFonts w:hint="cs"/>
          <w:rtl/>
        </w:rPr>
        <w:t>שאלות מסובכות מעט או קשות, נותרו ללא מענה,</w:t>
      </w:r>
      <w:r>
        <w:rPr>
          <w:rFonts w:hint="cs"/>
        </w:rPr>
        <w:t xml:space="preserve"> </w:t>
      </w:r>
      <w:r>
        <w:rPr>
          <w:rFonts w:hint="cs"/>
          <w:rtl/>
        </w:rPr>
        <w:t>חלקן קרוב לודאי אף לא הובנו על ידו</w:t>
      </w:r>
      <w:r>
        <w:t>.</w:t>
      </w:r>
    </w:p>
    <w:p w14:paraId="35247254" w14:textId="77777777" w:rsidR="00912FCC" w:rsidRDefault="00912FCC">
      <w:pPr>
        <w:rPr>
          <w:rtl/>
        </w:rPr>
      </w:pPr>
    </w:p>
    <w:p w14:paraId="5242CE71" w14:textId="77777777" w:rsidR="00912FCC" w:rsidRDefault="00912FCC" w:rsidP="00912FCC">
      <w:pPr>
        <w:numPr>
          <w:ilvl w:val="0"/>
          <w:numId w:val="3"/>
        </w:numPr>
        <w:ind w:right="0"/>
        <w:rPr>
          <w:rFonts w:hint="cs"/>
          <w:rtl/>
        </w:rPr>
      </w:pPr>
      <w:r>
        <w:rPr>
          <w:rFonts w:hint="cs"/>
          <w:rtl/>
        </w:rPr>
        <w:t>יחד עם זאת,</w:t>
      </w:r>
      <w:r>
        <w:rPr>
          <w:rFonts w:hint="cs"/>
        </w:rPr>
        <w:t xml:space="preserve"> </w:t>
      </w:r>
      <w:r>
        <w:rPr>
          <w:rFonts w:hint="cs"/>
          <w:rtl/>
        </w:rPr>
        <w:t>כל אימת שהסנגור נגע בנושא המהותי,</w:t>
      </w:r>
      <w:r>
        <w:rPr>
          <w:rFonts w:hint="cs"/>
        </w:rPr>
        <w:t xml:space="preserve"> </w:t>
      </w:r>
      <w:r>
        <w:rPr>
          <w:rFonts w:hint="cs"/>
          <w:rtl/>
        </w:rPr>
        <w:t>דהיינו במעשה המגונה באירוע השני,</w:t>
      </w:r>
      <w:r>
        <w:rPr>
          <w:rFonts w:hint="cs"/>
        </w:rPr>
        <w:t xml:space="preserve"> </w:t>
      </w:r>
      <w:r>
        <w:rPr>
          <w:rFonts w:hint="cs"/>
          <w:rtl/>
        </w:rPr>
        <w:t>ובפרט כל אימת שנשאל המתלונן על הסכמה כזו או אחרת לאקט,</w:t>
      </w:r>
      <w:r>
        <w:rPr>
          <w:rFonts w:hint="cs"/>
        </w:rPr>
        <w:t xml:space="preserve"> </w:t>
      </w:r>
      <w:r>
        <w:rPr>
          <w:rFonts w:hint="cs"/>
          <w:rtl/>
        </w:rPr>
        <w:t>למרות איטיותו ודלותו</w:t>
      </w:r>
      <w:r>
        <w:rPr>
          <w:rFonts w:hint="cs"/>
        </w:rPr>
        <w:t xml:space="preserve"> </w:t>
      </w:r>
      <w:r>
        <w:rPr>
          <w:rFonts w:hint="cs"/>
          <w:rtl/>
        </w:rPr>
        <w:t>עמד המתלונן על דעתו, כי לא הסכים לכך,</w:t>
      </w:r>
      <w:r>
        <w:rPr>
          <w:rFonts w:hint="cs"/>
        </w:rPr>
        <w:t xml:space="preserve"> </w:t>
      </w:r>
      <w:r>
        <w:rPr>
          <w:rFonts w:hint="cs"/>
          <w:rtl/>
        </w:rPr>
        <w:t>ואף בשפת הגוף שלו ניכר הדבר.</w:t>
      </w:r>
      <w:r>
        <w:rPr>
          <w:rFonts w:hint="cs"/>
        </w:rPr>
        <w:t xml:space="preserve"> </w:t>
      </w:r>
    </w:p>
    <w:p w14:paraId="67F69B4B" w14:textId="77777777" w:rsidR="00912FCC" w:rsidRDefault="00912FCC" w:rsidP="00912FCC">
      <w:pPr>
        <w:numPr>
          <w:ilvl w:val="0"/>
          <w:numId w:val="3"/>
        </w:numPr>
        <w:ind w:right="0"/>
        <w:rPr>
          <w:rFonts w:hint="cs"/>
          <w:rtl/>
        </w:rPr>
      </w:pPr>
      <w:r>
        <w:rPr>
          <w:rFonts w:hint="cs"/>
          <w:rtl/>
        </w:rPr>
        <w:t>בהשוואה בין המתלונן הזה לחבריו, עדי התביעה האחרים, בולט השוני המהותי של המתלונן מהאחרים.</w:t>
      </w:r>
      <w:r>
        <w:rPr>
          <w:rFonts w:hint="cs"/>
        </w:rPr>
        <w:t xml:space="preserve"> </w:t>
      </w:r>
      <w:r>
        <w:rPr>
          <w:rFonts w:hint="cs"/>
          <w:rtl/>
        </w:rPr>
        <w:t>בעוד היתר נחנו בתחכום מסויים,</w:t>
      </w:r>
      <w:r>
        <w:rPr>
          <w:rFonts w:hint="cs"/>
        </w:rPr>
        <w:t xml:space="preserve"> </w:t>
      </w:r>
      <w:r>
        <w:rPr>
          <w:rFonts w:hint="cs"/>
          <w:rtl/>
        </w:rPr>
        <w:t>ואף בעזות מצח ותוקפנות,</w:t>
      </w:r>
      <w:r>
        <w:rPr>
          <w:rFonts w:hint="cs"/>
        </w:rPr>
        <w:t xml:space="preserve"> </w:t>
      </w:r>
      <w:r>
        <w:rPr>
          <w:rFonts w:hint="cs"/>
          <w:rtl/>
        </w:rPr>
        <w:t>שאינן הולמות ילדים במעמד משפטי כזה,</w:t>
      </w:r>
      <w:r>
        <w:rPr>
          <w:rFonts w:hint="cs"/>
        </w:rPr>
        <w:t xml:space="preserve"> </w:t>
      </w:r>
      <w:r>
        <w:rPr>
          <w:rFonts w:hint="cs"/>
          <w:rtl/>
        </w:rPr>
        <w:t>התנהגותו של המתלונן היתה שונה.</w:t>
      </w:r>
      <w:r>
        <w:rPr>
          <w:rFonts w:hint="cs"/>
        </w:rPr>
        <w:t xml:space="preserve"> </w:t>
      </w:r>
      <w:r>
        <w:rPr>
          <w:rFonts w:hint="cs"/>
          <w:rtl/>
        </w:rPr>
        <w:t>המתלונן העיד בשקט,</w:t>
      </w:r>
      <w:r>
        <w:rPr>
          <w:rFonts w:hint="cs"/>
        </w:rPr>
        <w:t xml:space="preserve"> </w:t>
      </w:r>
      <w:r>
        <w:rPr>
          <w:rFonts w:hint="cs"/>
          <w:rtl/>
        </w:rPr>
        <w:t>לא הרים את קולו, גם כשנשאל שאלות קשות, ועומת עם טענות לגבי נטיות מיניות הומוסקסואליות. לכל היותר, כאשר נותר ללא מענה, הסתגר ולא השיב.</w:t>
      </w:r>
      <w:r>
        <w:rPr>
          <w:rFonts w:hint="cs"/>
        </w:rPr>
        <w:t xml:space="preserve"> </w:t>
      </w:r>
      <w:r>
        <w:rPr>
          <w:rFonts w:hint="cs"/>
          <w:rtl/>
        </w:rPr>
        <w:t>לא ניכרה בו כל מוטיבציה מיוחדת להפליל את הנאשם,</w:t>
      </w:r>
      <w:r>
        <w:rPr>
          <w:rFonts w:hint="cs"/>
        </w:rPr>
        <w:t xml:space="preserve"> </w:t>
      </w:r>
      <w:r>
        <w:rPr>
          <w:rFonts w:hint="cs"/>
          <w:rtl/>
        </w:rPr>
        <w:t>אלא מעין השלמה עם האירועים</w:t>
      </w:r>
      <w:r>
        <w:t>.</w:t>
      </w:r>
    </w:p>
    <w:p w14:paraId="7AB068B4" w14:textId="77777777" w:rsidR="00912FCC" w:rsidRDefault="00912FCC">
      <w:pPr>
        <w:ind w:left="360"/>
        <w:rPr>
          <w:rtl/>
        </w:rPr>
      </w:pPr>
    </w:p>
    <w:p w14:paraId="5CADC723" w14:textId="77777777" w:rsidR="00912FCC" w:rsidRDefault="00912FCC" w:rsidP="00912FCC">
      <w:pPr>
        <w:numPr>
          <w:ilvl w:val="0"/>
          <w:numId w:val="3"/>
        </w:numPr>
        <w:ind w:right="0"/>
        <w:rPr>
          <w:rFonts w:hint="cs"/>
          <w:rtl/>
        </w:rPr>
      </w:pPr>
      <w:r>
        <w:rPr>
          <w:rFonts w:hint="cs"/>
          <w:rtl/>
        </w:rPr>
        <w:t>יתכן,</w:t>
      </w:r>
      <w:r>
        <w:rPr>
          <w:rFonts w:hint="cs"/>
        </w:rPr>
        <w:t xml:space="preserve"> </w:t>
      </w:r>
      <w:r>
        <w:rPr>
          <w:rFonts w:hint="cs"/>
          <w:rtl/>
        </w:rPr>
        <w:t>ואומר זאת בזהירות, כי פאסיביות ועדינות אלה של המתלונן, הקימו עליו את חשדו של הנאשם כי המתלונן הומוסקסואל, וכן את התרשמותו של הנאשם כי הנער יהיה קל לשכנוע לביצוע מעשים מיניים</w:t>
      </w:r>
      <w:r>
        <w:t>.</w:t>
      </w:r>
    </w:p>
    <w:p w14:paraId="11BD6C66" w14:textId="77777777" w:rsidR="00912FCC" w:rsidRDefault="00912FCC">
      <w:pPr>
        <w:rPr>
          <w:rtl/>
        </w:rPr>
      </w:pPr>
    </w:p>
    <w:p w14:paraId="2AF44100" w14:textId="77777777" w:rsidR="00912FCC" w:rsidRDefault="00912FCC" w:rsidP="00912FCC">
      <w:pPr>
        <w:numPr>
          <w:ilvl w:val="0"/>
          <w:numId w:val="3"/>
        </w:numPr>
        <w:ind w:right="0"/>
        <w:rPr>
          <w:rFonts w:hint="cs"/>
          <w:rtl/>
        </w:rPr>
      </w:pPr>
      <w:r>
        <w:rPr>
          <w:rFonts w:hint="cs"/>
          <w:rtl/>
        </w:rPr>
        <w:t xml:space="preserve">נתתי אמון בגרסתו של המתלונן, הגם שנמצאו בה אי דיוקים, והחלטתי להרשיע את הנאשם באירוע השני על סמך גרסה זו, הן נוכח התרשמותי הנ"ל, שהמתלונן לא שיקר בנושא אי ההסכמה, והן בשל החיזוקים הרבים לעדותו, ממקורות חיצוניים, אותם אפרט להלן. </w:t>
      </w:r>
    </w:p>
    <w:p w14:paraId="776E5C76" w14:textId="77777777" w:rsidR="00912FCC" w:rsidRDefault="00912FCC">
      <w:pPr>
        <w:rPr>
          <w:rtl/>
        </w:rPr>
      </w:pPr>
    </w:p>
    <w:p w14:paraId="5FDE154C" w14:textId="77777777" w:rsidR="00912FCC" w:rsidRDefault="00912FCC" w:rsidP="00912FCC">
      <w:pPr>
        <w:numPr>
          <w:ilvl w:val="0"/>
          <w:numId w:val="3"/>
        </w:numPr>
        <w:ind w:right="0"/>
        <w:rPr>
          <w:rFonts w:hint="cs"/>
          <w:rtl/>
        </w:rPr>
      </w:pPr>
      <w:r>
        <w:rPr>
          <w:rFonts w:hint="cs"/>
          <w:rtl/>
        </w:rPr>
        <w:t>עם זאת,</w:t>
      </w:r>
      <w:r>
        <w:rPr>
          <w:rFonts w:hint="cs"/>
        </w:rPr>
        <w:t xml:space="preserve"> </w:t>
      </w:r>
      <w:r>
        <w:rPr>
          <w:rFonts w:hint="cs"/>
          <w:rtl/>
        </w:rPr>
        <w:t xml:space="preserve">בשל הקשיים שפורטו לעיל, דהיינו הקושי למסור פרטים, הבלבול והשכחה, ובהעדר ראיית סיוע נוספת לאירוע הראשון, כמו עדות החבר טל, שהיה נוכח באירוע לפי גרסת המתלונן, ולא זומן להעיד, </w:t>
      </w:r>
      <w:r>
        <w:rPr>
          <w:rFonts w:hint="cs"/>
        </w:rPr>
        <w:t xml:space="preserve"> </w:t>
      </w:r>
      <w:r>
        <w:rPr>
          <w:rFonts w:hint="cs"/>
          <w:rtl/>
        </w:rPr>
        <w:t>לא ארשיע את הנאשם על יסוד עדות המתלונן בלבד באירוע הראשון</w:t>
      </w:r>
      <w:r>
        <w:t>.</w:t>
      </w:r>
    </w:p>
    <w:p w14:paraId="65E3FD51" w14:textId="77777777" w:rsidR="00912FCC" w:rsidRDefault="00912FCC">
      <w:pPr>
        <w:rPr>
          <w:rtl/>
        </w:rPr>
      </w:pPr>
    </w:p>
    <w:p w14:paraId="7679FE2A" w14:textId="77777777" w:rsidR="00912FCC" w:rsidRDefault="00912FCC">
      <w:pPr>
        <w:pStyle w:val="Heading7"/>
        <w:rPr>
          <w:rFonts w:hint="cs"/>
          <w:rtl/>
        </w:rPr>
      </w:pPr>
      <w:r>
        <w:rPr>
          <w:rFonts w:hint="cs"/>
          <w:rtl/>
        </w:rPr>
        <w:t xml:space="preserve">סיוע לעדותו של המתלונן </w:t>
      </w:r>
    </w:p>
    <w:p w14:paraId="4118871F" w14:textId="77777777" w:rsidR="00912FCC" w:rsidRDefault="00912FCC" w:rsidP="00912FCC">
      <w:pPr>
        <w:numPr>
          <w:ilvl w:val="0"/>
          <w:numId w:val="3"/>
        </w:numPr>
        <w:ind w:right="0"/>
        <w:rPr>
          <w:rFonts w:hint="cs"/>
          <w:rtl/>
        </w:rPr>
      </w:pPr>
      <w:r>
        <w:rPr>
          <w:rFonts w:hint="cs"/>
          <w:rtl/>
        </w:rPr>
        <w:t>סיוע לעדותו של המתלונן מצאתי הן בעדותה של העובדת הסוציאלית,</w:t>
      </w:r>
      <w:r>
        <w:rPr>
          <w:rFonts w:hint="cs"/>
        </w:rPr>
        <w:t xml:space="preserve"> </w:t>
      </w:r>
      <w:r>
        <w:rPr>
          <w:rFonts w:hint="cs"/>
          <w:rtl/>
        </w:rPr>
        <w:t>אשר תארה את מצבו הנפשי הרעוע של המתלונן לאחר האירוע, והן בגרסת הנאשם עצמו,</w:t>
      </w:r>
      <w:r>
        <w:rPr>
          <w:rFonts w:hint="cs"/>
        </w:rPr>
        <w:t xml:space="preserve"> </w:t>
      </w:r>
      <w:r>
        <w:rPr>
          <w:rFonts w:hint="cs"/>
          <w:rtl/>
        </w:rPr>
        <w:t>שנמצאה על ידי בלתי ראויה לאמון,</w:t>
      </w:r>
      <w:r>
        <w:rPr>
          <w:rFonts w:hint="cs"/>
        </w:rPr>
        <w:t xml:space="preserve"> </w:t>
      </w:r>
      <w:r>
        <w:rPr>
          <w:rFonts w:hint="cs"/>
          <w:rtl/>
        </w:rPr>
        <w:t>בשל הסתירות הרבות שנתגלו בה.</w:t>
      </w:r>
    </w:p>
    <w:p w14:paraId="65047F76" w14:textId="77777777" w:rsidR="00912FCC" w:rsidRDefault="00912FCC">
      <w:pPr>
        <w:ind w:left="360"/>
        <w:rPr>
          <w:rtl/>
        </w:rPr>
      </w:pPr>
    </w:p>
    <w:p w14:paraId="789AAB7A" w14:textId="77777777" w:rsidR="00912FCC" w:rsidRDefault="00912FCC" w:rsidP="00912FCC">
      <w:pPr>
        <w:numPr>
          <w:ilvl w:val="0"/>
          <w:numId w:val="3"/>
        </w:numPr>
        <w:ind w:right="0"/>
        <w:rPr>
          <w:rtl/>
        </w:rPr>
      </w:pPr>
      <w:r>
        <w:rPr>
          <w:rFonts w:hint="cs"/>
          <w:rtl/>
        </w:rPr>
        <w:t>מעדותה של העובדת הסוציאלית עולה, כי במפגש בינה לבין המתלונן שנערך שלושה ימים לאחר האירוע השני, חשה כי הוא מוטרד. בתחילה טען המתלונן כי הכל בסדר, אך לקראת סוף המפגש שאלה שוב אם הוא בטוח כי הכל בסדר, והמתלונן השיב בשלילה, וסיפר לה על האירועים המיניים נשוא כתב האישום.</w:t>
      </w:r>
    </w:p>
    <w:p w14:paraId="60B170D0" w14:textId="77777777" w:rsidR="00912FCC" w:rsidRDefault="00912FCC">
      <w:pPr>
        <w:rPr>
          <w:rtl/>
        </w:rPr>
      </w:pPr>
    </w:p>
    <w:p w14:paraId="1241C165" w14:textId="77777777" w:rsidR="00912FCC" w:rsidRDefault="00912FCC" w:rsidP="00912FCC">
      <w:pPr>
        <w:numPr>
          <w:ilvl w:val="0"/>
          <w:numId w:val="3"/>
        </w:numPr>
        <w:ind w:right="0"/>
        <w:rPr>
          <w:rFonts w:hint="cs"/>
          <w:rtl/>
        </w:rPr>
      </w:pPr>
      <w:r>
        <w:rPr>
          <w:rFonts w:hint="cs"/>
          <w:rtl/>
        </w:rPr>
        <w:t>העובדת הסוציאלית מדגישה מספר פעמים במהלך העדות, את עניין העדר ההסכמה של המתלונן למעשה, כפי שעלה מתלונתו בפניה.</w:t>
      </w:r>
    </w:p>
    <w:p w14:paraId="7FA4ED65" w14:textId="77777777" w:rsidR="00912FCC" w:rsidRDefault="00912FCC">
      <w:pPr>
        <w:rPr>
          <w:rtl/>
        </w:rPr>
      </w:pPr>
    </w:p>
    <w:p w14:paraId="75343440" w14:textId="77777777" w:rsidR="00912FCC" w:rsidRDefault="00912FCC" w:rsidP="00912FCC">
      <w:pPr>
        <w:numPr>
          <w:ilvl w:val="0"/>
          <w:numId w:val="3"/>
        </w:numPr>
        <w:ind w:right="0"/>
        <w:rPr>
          <w:rFonts w:hint="cs"/>
          <w:rtl/>
        </w:rPr>
      </w:pPr>
      <w:r>
        <w:rPr>
          <w:rFonts w:hint="cs"/>
          <w:rtl/>
        </w:rPr>
        <w:t>טוען הסנגור כי המתלונן המציא את הסיפור, לאחר שנתפס כשהוא משתמש בסמים, ועל מנת להסית את ההתייחסות למקום אחר. לטענה זו אין בסיס בחומר הראיות,</w:t>
      </w:r>
      <w:r>
        <w:rPr>
          <w:rFonts w:hint="cs"/>
        </w:rPr>
        <w:t xml:space="preserve"> </w:t>
      </w:r>
      <w:r>
        <w:rPr>
          <w:rFonts w:hint="cs"/>
          <w:rtl/>
        </w:rPr>
        <w:t>והיא עומדת בסתירה מוחלטת גם להתרשמותי מהמתלונן.</w:t>
      </w:r>
      <w:r>
        <w:rPr>
          <w:rFonts w:hint="cs"/>
        </w:rPr>
        <w:t xml:space="preserve"> </w:t>
      </w:r>
      <w:r>
        <w:rPr>
          <w:rFonts w:hint="cs"/>
          <w:rtl/>
        </w:rPr>
        <w:t>ראשית, לא קיימת כל ראיה לפיה העובדת הסוציאלית או איש חוק אחר, ידעו כי המתלונן חזר להשתמש בסמים, נהפוך הוא, מהראיות עולה כי רק פיצוץ הפרשה העלה את נושא השימוש בסמים על ידי המתלונן ויתר הקטינים עדי התביעה. לפני כן לא נעשו פעולות חקירה בכיוון זה בכל הנוגע למתלונן.</w:t>
      </w:r>
    </w:p>
    <w:p w14:paraId="6EC55F20" w14:textId="77777777" w:rsidR="00912FCC" w:rsidRDefault="00912FCC">
      <w:pPr>
        <w:rPr>
          <w:rtl/>
        </w:rPr>
      </w:pPr>
    </w:p>
    <w:p w14:paraId="24DF53C6" w14:textId="77777777" w:rsidR="00912FCC" w:rsidRDefault="00912FCC" w:rsidP="00912FCC">
      <w:pPr>
        <w:numPr>
          <w:ilvl w:val="0"/>
          <w:numId w:val="3"/>
        </w:numPr>
        <w:ind w:right="0"/>
        <w:rPr>
          <w:rFonts w:hint="cs"/>
          <w:rtl/>
        </w:rPr>
      </w:pPr>
      <w:r>
        <w:rPr>
          <w:rFonts w:hint="cs"/>
          <w:rtl/>
        </w:rPr>
        <w:t>מעבר לכך, ציינתי לעיל כי להתרשמותי המתלונן הוא נער איטי ביותר ובלתי מתוחכם.</w:t>
      </w:r>
      <w:r>
        <w:rPr>
          <w:rFonts w:hint="cs"/>
        </w:rPr>
        <w:t xml:space="preserve"> </w:t>
      </w:r>
      <w:r>
        <w:rPr>
          <w:rFonts w:hint="cs"/>
          <w:rtl/>
        </w:rPr>
        <w:t>לא יעלה על הדעת כי נער בעל מחשבה כה פשוטה,</w:t>
      </w:r>
      <w:r>
        <w:rPr>
          <w:rFonts w:hint="cs"/>
        </w:rPr>
        <w:t xml:space="preserve"> </w:t>
      </w:r>
      <w:r>
        <w:rPr>
          <w:rFonts w:hint="cs"/>
          <w:rtl/>
        </w:rPr>
        <w:t>יחבל תחבולה מורכבת,</w:t>
      </w:r>
      <w:r>
        <w:rPr>
          <w:rFonts w:hint="cs"/>
        </w:rPr>
        <w:t xml:space="preserve"> </w:t>
      </w:r>
      <w:r>
        <w:rPr>
          <w:rFonts w:hint="cs"/>
          <w:rtl/>
        </w:rPr>
        <w:t>כפי שטוען לה הסנגור, בפרט כשבפועל לא היתה לו כל סיבה לעשות כן.</w:t>
      </w:r>
    </w:p>
    <w:p w14:paraId="269DA43B" w14:textId="77777777" w:rsidR="00912FCC" w:rsidRDefault="00912FCC">
      <w:pPr>
        <w:rPr>
          <w:rtl/>
        </w:rPr>
      </w:pPr>
    </w:p>
    <w:p w14:paraId="08B221FC" w14:textId="77777777" w:rsidR="00912FCC" w:rsidRDefault="00912FCC" w:rsidP="00912FCC">
      <w:pPr>
        <w:numPr>
          <w:ilvl w:val="0"/>
          <w:numId w:val="3"/>
        </w:numPr>
        <w:ind w:right="0"/>
        <w:rPr>
          <w:rFonts w:hint="cs"/>
          <w:rtl/>
        </w:rPr>
      </w:pPr>
      <w:r>
        <w:rPr>
          <w:rFonts w:hint="cs"/>
          <w:rtl/>
        </w:rPr>
        <w:t>יתירה מזאת,</w:t>
      </w:r>
      <w:r>
        <w:rPr>
          <w:rFonts w:hint="cs"/>
        </w:rPr>
        <w:t xml:space="preserve"> </w:t>
      </w:r>
      <w:r>
        <w:rPr>
          <w:rFonts w:hint="cs"/>
          <w:rtl/>
        </w:rPr>
        <w:t>מעדותה של העובדת הסוציאלית עולה, כי לא המתלונן הוא שיזם את ההתוודות,</w:t>
      </w:r>
      <w:r>
        <w:rPr>
          <w:rFonts w:hint="cs"/>
        </w:rPr>
        <w:t xml:space="preserve"> </w:t>
      </w:r>
      <w:r>
        <w:rPr>
          <w:rFonts w:hint="cs"/>
          <w:rtl/>
        </w:rPr>
        <w:t>אלא דווקא ביקש להסתיר ממנה את העניין, ורק לאחר שהפצירה בו, התוודה בפניה.</w:t>
      </w:r>
    </w:p>
    <w:p w14:paraId="34CE7D04" w14:textId="77777777" w:rsidR="00912FCC" w:rsidRDefault="00912FCC">
      <w:pPr>
        <w:rPr>
          <w:rtl/>
        </w:rPr>
      </w:pPr>
    </w:p>
    <w:p w14:paraId="709ECC54" w14:textId="77777777" w:rsidR="00912FCC" w:rsidRDefault="00912FCC" w:rsidP="00912FCC">
      <w:pPr>
        <w:numPr>
          <w:ilvl w:val="0"/>
          <w:numId w:val="3"/>
        </w:numPr>
        <w:ind w:right="0"/>
        <w:rPr>
          <w:rFonts w:hint="cs"/>
          <w:rtl/>
        </w:rPr>
      </w:pPr>
      <w:r>
        <w:rPr>
          <w:rFonts w:hint="cs"/>
          <w:rtl/>
        </w:rPr>
        <w:t>לסיכום נקודה זו, עדותה של העובדת הסוציאלית, מלמדת על כך שהמתלונן היה נתון במצוקה נפשית ימים ספורים אחרי האירוע השני, ומדבריו עלה כי היה קרבן למעשה מגונה שנעשה בו ללא הסכמתו. בכך מצאתי חיזוק משמעותי לגרסת המתלונן.</w:t>
      </w:r>
    </w:p>
    <w:p w14:paraId="1711B678" w14:textId="77777777" w:rsidR="00912FCC" w:rsidRDefault="00912FCC">
      <w:pPr>
        <w:rPr>
          <w:rtl/>
        </w:rPr>
      </w:pPr>
    </w:p>
    <w:p w14:paraId="1D91C820" w14:textId="77777777" w:rsidR="00912FCC" w:rsidRDefault="00912FCC" w:rsidP="00912FCC">
      <w:pPr>
        <w:numPr>
          <w:ilvl w:val="0"/>
          <w:numId w:val="3"/>
        </w:numPr>
        <w:ind w:right="0"/>
        <w:rPr>
          <w:rFonts w:hint="cs"/>
          <w:rtl/>
        </w:rPr>
      </w:pPr>
      <w:r>
        <w:rPr>
          <w:rFonts w:hint="cs"/>
          <w:rtl/>
        </w:rPr>
        <w:t>סיוע נוסף נמצא בהודעתו של א</w:t>
      </w:r>
      <w:r>
        <w:t>.</w:t>
      </w:r>
      <w:r>
        <w:rPr>
          <w:rFonts w:hint="cs"/>
          <w:rtl/>
        </w:rPr>
        <w:t>א ת/7</w:t>
      </w:r>
      <w:r>
        <w:rPr>
          <w:rFonts w:hint="cs"/>
        </w:rPr>
        <w:t xml:space="preserve"> </w:t>
      </w:r>
      <w:r>
        <w:rPr>
          <w:rFonts w:hint="cs"/>
          <w:rtl/>
        </w:rPr>
        <w:t xml:space="preserve"> מיום 10.11.05. שם אמר א</w:t>
      </w:r>
      <w:r>
        <w:t>.</w:t>
      </w:r>
      <w:r>
        <w:rPr>
          <w:rFonts w:hint="cs"/>
          <w:rtl/>
        </w:rPr>
        <w:t xml:space="preserve">א כך: </w:t>
      </w:r>
    </w:p>
    <w:p w14:paraId="7CB745BE" w14:textId="77777777" w:rsidR="00912FCC" w:rsidRDefault="00912FCC">
      <w:pPr>
        <w:ind w:left="1080"/>
        <w:rPr>
          <w:b/>
          <w:bCs/>
          <w:rtl/>
        </w:rPr>
      </w:pPr>
      <w:r>
        <w:rPr>
          <w:rFonts w:hint="cs"/>
          <w:b/>
          <w:bCs/>
          <w:rtl/>
        </w:rPr>
        <w:t xml:space="preserve">"יש בחור בשם אילן בן 16 בערך שאמר לי פעם בוא איתי לאילן (צריך להיות גולן – ט.ח) אני אמרתי לו שילך לבד הוא אמר שאני יבוא איתו כי הוא מחרמן אותו. </w:t>
      </w:r>
    </w:p>
    <w:p w14:paraId="1DFB8D3A" w14:textId="77777777" w:rsidR="00912FCC" w:rsidRDefault="00912FCC">
      <w:pPr>
        <w:ind w:left="1080"/>
        <w:rPr>
          <w:rFonts w:hint="cs"/>
          <w:b/>
          <w:bCs/>
          <w:rtl/>
        </w:rPr>
      </w:pPr>
      <w:r>
        <w:rPr>
          <w:rFonts w:hint="cs"/>
          <w:b/>
          <w:bCs/>
          <w:rtl/>
        </w:rPr>
        <w:t>ש:</w:t>
      </w:r>
      <w:r>
        <w:rPr>
          <w:rFonts w:hint="cs"/>
          <w:b/>
          <w:bCs/>
        </w:rPr>
        <w:t xml:space="preserve"> </w:t>
      </w:r>
      <w:r>
        <w:rPr>
          <w:rFonts w:hint="cs"/>
          <w:b/>
          <w:bCs/>
          <w:rtl/>
        </w:rPr>
        <w:t xml:space="preserve">לפני כמה זמן הוא סיפר לך את זה שזה קרה? </w:t>
      </w:r>
    </w:p>
    <w:p w14:paraId="56659FA5" w14:textId="77777777" w:rsidR="00912FCC" w:rsidRDefault="00912FCC">
      <w:pPr>
        <w:ind w:left="1080"/>
        <w:rPr>
          <w:rFonts w:hint="cs"/>
          <w:b/>
          <w:bCs/>
          <w:rtl/>
        </w:rPr>
      </w:pPr>
      <w:r>
        <w:rPr>
          <w:rFonts w:hint="cs"/>
          <w:b/>
          <w:bCs/>
          <w:rtl/>
        </w:rPr>
        <w:t>ת: לפני שבוע וחצי בערך</w:t>
      </w:r>
      <w:r>
        <w:rPr>
          <w:b/>
          <w:bCs/>
        </w:rPr>
        <w:t xml:space="preserve">" </w:t>
      </w:r>
      <w:r>
        <w:rPr>
          <w:rFonts w:hint="cs"/>
          <w:b/>
          <w:bCs/>
          <w:rtl/>
        </w:rPr>
        <w:t>.</w:t>
      </w:r>
    </w:p>
    <w:p w14:paraId="13AA51EA" w14:textId="77777777" w:rsidR="00912FCC" w:rsidRDefault="00912FCC">
      <w:pPr>
        <w:ind w:left="1080"/>
        <w:rPr>
          <w:rFonts w:hint="cs"/>
          <w:b/>
          <w:bCs/>
          <w:rtl/>
        </w:rPr>
      </w:pPr>
    </w:p>
    <w:p w14:paraId="081530BD" w14:textId="77777777" w:rsidR="00912FCC" w:rsidRDefault="00912FCC" w:rsidP="00912FCC">
      <w:pPr>
        <w:numPr>
          <w:ilvl w:val="0"/>
          <w:numId w:val="3"/>
        </w:numPr>
        <w:ind w:right="0"/>
        <w:rPr>
          <w:rFonts w:hint="cs"/>
          <w:rtl/>
        </w:rPr>
      </w:pPr>
      <w:r>
        <w:rPr>
          <w:rFonts w:hint="cs"/>
          <w:rtl/>
        </w:rPr>
        <w:t>מאמירה זו של המתלונן, ניתן ללמוד כי המתלונן לא רצה להיות עם הנאשם לבד בבית, ובכך אני רואה חיזוק נוסף להעדר ההסכמה לקיום מעשים מיניים עם הנאשם.</w:t>
      </w:r>
    </w:p>
    <w:p w14:paraId="2FFB7503" w14:textId="77777777" w:rsidR="00912FCC" w:rsidRDefault="00912FCC">
      <w:pPr>
        <w:ind w:left="360"/>
        <w:rPr>
          <w:rFonts w:hint="cs"/>
          <w:rtl/>
        </w:rPr>
      </w:pPr>
    </w:p>
    <w:p w14:paraId="5CC4D053" w14:textId="77777777" w:rsidR="00912FCC" w:rsidRDefault="00912FCC">
      <w:pPr>
        <w:ind w:left="360" w:firstLine="360"/>
        <w:rPr>
          <w:rFonts w:hint="cs"/>
          <w:u w:val="single"/>
          <w:rtl/>
        </w:rPr>
      </w:pPr>
      <w:r>
        <w:rPr>
          <w:rFonts w:hint="cs"/>
          <w:u w:val="single"/>
          <w:rtl/>
        </w:rPr>
        <w:t>גרסת הנאשם</w:t>
      </w:r>
    </w:p>
    <w:p w14:paraId="0578F100" w14:textId="77777777" w:rsidR="00912FCC" w:rsidRDefault="00912FCC" w:rsidP="00912FCC">
      <w:pPr>
        <w:numPr>
          <w:ilvl w:val="0"/>
          <w:numId w:val="3"/>
        </w:numPr>
        <w:ind w:right="0"/>
        <w:rPr>
          <w:rFonts w:hint="cs"/>
          <w:rtl/>
        </w:rPr>
      </w:pPr>
      <w:r>
        <w:rPr>
          <w:rFonts w:hint="cs"/>
          <w:rtl/>
        </w:rPr>
        <w:t>בכל הנוגע לאירוע השני, עברה גרסת הנאשם שינויים מרחיקי לכת. כל אחת מהגרסאות שמסר, הן במשטרה, והן בבית המשפט, שונה מהותית מהאחרות. ניתן להבחין בתהליך בו עובר הנאשם מהכחשה מוחלטת</w:t>
      </w:r>
      <w:r>
        <w:rPr>
          <w:rFonts w:hint="cs"/>
        </w:rPr>
        <w:t xml:space="preserve"> </w:t>
      </w:r>
      <w:r>
        <w:rPr>
          <w:rFonts w:hint="cs"/>
          <w:rtl/>
        </w:rPr>
        <w:t>דרך הודייה חלקית, ועד להודייה מלאה במעשה המיוחס לו,</w:t>
      </w:r>
      <w:r>
        <w:rPr>
          <w:rFonts w:hint="cs"/>
        </w:rPr>
        <w:t xml:space="preserve"> </w:t>
      </w:r>
      <w:r>
        <w:rPr>
          <w:rFonts w:hint="cs"/>
          <w:rtl/>
        </w:rPr>
        <w:t>למעט העדר ההסכמה, כאשר גם חלקו של המתלונן באירוע עובר שינויים מרחיקי לכת.</w:t>
      </w:r>
    </w:p>
    <w:p w14:paraId="0BC22F3F" w14:textId="77777777" w:rsidR="00912FCC" w:rsidRDefault="00912FCC">
      <w:pPr>
        <w:ind w:left="360"/>
        <w:rPr>
          <w:rtl/>
        </w:rPr>
      </w:pPr>
    </w:p>
    <w:p w14:paraId="339B37BD" w14:textId="77777777" w:rsidR="00912FCC" w:rsidRDefault="00912FCC" w:rsidP="00912FCC">
      <w:pPr>
        <w:numPr>
          <w:ilvl w:val="0"/>
          <w:numId w:val="3"/>
        </w:numPr>
        <w:ind w:right="0"/>
        <w:rPr>
          <w:rtl/>
        </w:rPr>
      </w:pPr>
      <w:r>
        <w:rPr>
          <w:rFonts w:hint="cs"/>
          <w:rtl/>
        </w:rPr>
        <w:t>הנאשם מסר למעשה חמש גרסאות שונות.</w:t>
      </w:r>
      <w:r>
        <w:rPr>
          <w:rFonts w:hint="cs"/>
        </w:rPr>
        <w:t xml:space="preserve"> </w:t>
      </w:r>
      <w:r>
        <w:rPr>
          <w:rFonts w:hint="cs"/>
          <w:rtl/>
        </w:rPr>
        <w:t>שלוש גרסאות, בשלושת אימרותיו במשטרה, הרביעית בחקירתו הראשית,</w:t>
      </w:r>
      <w:r>
        <w:rPr>
          <w:rFonts w:hint="cs"/>
        </w:rPr>
        <w:t xml:space="preserve"> </w:t>
      </w:r>
      <w:r>
        <w:rPr>
          <w:rFonts w:hint="cs"/>
          <w:rtl/>
        </w:rPr>
        <w:t>והחמישית, בחקירתו הנגדית.</w:t>
      </w:r>
      <w:r>
        <w:rPr>
          <w:rFonts w:hint="cs"/>
        </w:rPr>
        <w:t xml:space="preserve"> </w:t>
      </w:r>
      <w:r>
        <w:rPr>
          <w:rFonts w:hint="cs"/>
          <w:rtl/>
        </w:rPr>
        <w:t>השינויים בגרסאות הם בהיבטים מהותיים</w:t>
      </w:r>
      <w:r>
        <w:t>.</w:t>
      </w:r>
    </w:p>
    <w:p w14:paraId="64B61BCF" w14:textId="77777777" w:rsidR="00912FCC" w:rsidRDefault="00912FCC">
      <w:pPr>
        <w:rPr>
          <w:rtl/>
        </w:rPr>
      </w:pPr>
    </w:p>
    <w:p w14:paraId="3955BF59" w14:textId="77777777" w:rsidR="00912FCC" w:rsidRDefault="00912FCC" w:rsidP="00912FCC">
      <w:pPr>
        <w:numPr>
          <w:ilvl w:val="0"/>
          <w:numId w:val="3"/>
        </w:numPr>
        <w:ind w:right="0"/>
        <w:rPr>
          <w:rFonts w:hint="cs"/>
          <w:rtl/>
        </w:rPr>
      </w:pPr>
      <w:r>
        <w:rPr>
          <w:rFonts w:hint="cs"/>
          <w:rtl/>
        </w:rPr>
        <w:t xml:space="preserve">בחקירתו הראשונה במשטרה מיום </w:t>
      </w:r>
      <w:r>
        <w:rPr>
          <w:rFonts w:hint="cs"/>
        </w:rPr>
        <w:t xml:space="preserve"> </w:t>
      </w:r>
      <w:r>
        <w:rPr>
          <w:rFonts w:hint="cs"/>
          <w:rtl/>
        </w:rPr>
        <w:t>8.11.05 (ת/8),</w:t>
      </w:r>
      <w:r>
        <w:rPr>
          <w:rFonts w:hint="cs"/>
        </w:rPr>
        <w:t xml:space="preserve"> </w:t>
      </w:r>
      <w:r>
        <w:rPr>
          <w:rFonts w:hint="cs"/>
          <w:rtl/>
        </w:rPr>
        <w:t>הכחיש הנאשם מכל וכל קשר כלשהו עם המתלונן.</w:t>
      </w:r>
      <w:r>
        <w:rPr>
          <w:rFonts w:hint="cs"/>
        </w:rPr>
        <w:t xml:space="preserve"> </w:t>
      </w:r>
      <w:r>
        <w:rPr>
          <w:rFonts w:hint="cs"/>
          <w:rtl/>
        </w:rPr>
        <w:t>הנאשם טען כי הוא יודע מי המתלונן,</w:t>
      </w:r>
      <w:r>
        <w:rPr>
          <w:rFonts w:hint="cs"/>
        </w:rPr>
        <w:t xml:space="preserve"> </w:t>
      </w:r>
      <w:r>
        <w:rPr>
          <w:rFonts w:hint="cs"/>
          <w:rtl/>
        </w:rPr>
        <w:t>אך מעולם לא ארח אותו בביתו,</w:t>
      </w:r>
      <w:r>
        <w:rPr>
          <w:rFonts w:hint="cs"/>
        </w:rPr>
        <w:t xml:space="preserve"> </w:t>
      </w:r>
      <w:r>
        <w:rPr>
          <w:rFonts w:hint="cs"/>
          <w:rtl/>
        </w:rPr>
        <w:t>ובודאי שלא עישן עימו סמים,</w:t>
      </w:r>
      <w:r>
        <w:rPr>
          <w:rFonts w:hint="cs"/>
        </w:rPr>
        <w:t xml:space="preserve"> </w:t>
      </w:r>
      <w:r>
        <w:rPr>
          <w:rFonts w:hint="cs"/>
          <w:rtl/>
        </w:rPr>
        <w:t>צפה עימו בסרט פורנוגרפי,</w:t>
      </w:r>
      <w:r>
        <w:rPr>
          <w:rFonts w:hint="cs"/>
        </w:rPr>
        <w:t xml:space="preserve"> </w:t>
      </w:r>
      <w:r>
        <w:rPr>
          <w:rFonts w:hint="cs"/>
          <w:rtl/>
        </w:rPr>
        <w:t>או ביצע בו מעשה מגונה</w:t>
      </w:r>
      <w:r>
        <w:t>.</w:t>
      </w:r>
    </w:p>
    <w:p w14:paraId="299A896F" w14:textId="77777777" w:rsidR="00912FCC" w:rsidRDefault="00912FCC">
      <w:pPr>
        <w:rPr>
          <w:rtl/>
        </w:rPr>
      </w:pPr>
    </w:p>
    <w:p w14:paraId="28972178" w14:textId="77777777" w:rsidR="00912FCC" w:rsidRDefault="00912FCC" w:rsidP="00912FCC">
      <w:pPr>
        <w:numPr>
          <w:ilvl w:val="0"/>
          <w:numId w:val="3"/>
        </w:numPr>
        <w:ind w:right="0"/>
        <w:rPr>
          <w:rFonts w:hint="cs"/>
          <w:rtl/>
        </w:rPr>
      </w:pPr>
      <w:r>
        <w:rPr>
          <w:rFonts w:hint="cs"/>
          <w:rtl/>
        </w:rPr>
        <w:t>בחקירתו השניה מיום 9.11.05</w:t>
      </w:r>
      <w:r>
        <w:rPr>
          <w:rFonts w:hint="cs"/>
        </w:rPr>
        <w:t xml:space="preserve"> </w:t>
      </w:r>
      <w:r>
        <w:rPr>
          <w:rFonts w:hint="cs"/>
          <w:rtl/>
        </w:rPr>
        <w:t xml:space="preserve"> (ת/1),</w:t>
      </w:r>
      <w:r>
        <w:rPr>
          <w:rFonts w:hint="cs"/>
        </w:rPr>
        <w:t xml:space="preserve"> </w:t>
      </w:r>
      <w:r>
        <w:rPr>
          <w:rFonts w:hint="cs"/>
          <w:rtl/>
        </w:rPr>
        <w:t>הודה הנאשם כי המתלונן היה בביתו מספר פעמים,</w:t>
      </w:r>
      <w:r>
        <w:rPr>
          <w:rFonts w:hint="cs"/>
        </w:rPr>
        <w:t xml:space="preserve"> </w:t>
      </w:r>
      <w:r>
        <w:rPr>
          <w:rFonts w:hint="cs"/>
          <w:rtl/>
        </w:rPr>
        <w:t>וכי עישן עימו ביחד סמים,</w:t>
      </w:r>
      <w:r>
        <w:rPr>
          <w:rFonts w:hint="cs"/>
        </w:rPr>
        <w:t xml:space="preserve"> </w:t>
      </w:r>
      <w:r>
        <w:rPr>
          <w:rFonts w:hint="cs"/>
          <w:rtl/>
        </w:rPr>
        <w:t>פעמיים.</w:t>
      </w:r>
      <w:r>
        <w:rPr>
          <w:rFonts w:hint="cs"/>
        </w:rPr>
        <w:t xml:space="preserve"> </w:t>
      </w:r>
      <w:r>
        <w:rPr>
          <w:rFonts w:hint="cs"/>
          <w:rtl/>
        </w:rPr>
        <w:t>בנוסף,</w:t>
      </w:r>
      <w:r>
        <w:rPr>
          <w:rFonts w:hint="cs"/>
        </w:rPr>
        <w:t xml:space="preserve"> </w:t>
      </w:r>
      <w:r>
        <w:rPr>
          <w:rFonts w:hint="cs"/>
          <w:rtl/>
        </w:rPr>
        <w:t xml:space="preserve">אישר כי נגע באיבר מינו של המתלונן, ועשה זאת לטענתו על מנת להרחיק אותו מפניו ולהפסיק את ביקוריו אצלו: </w:t>
      </w:r>
      <w:r>
        <w:rPr>
          <w:rFonts w:hint="cs"/>
          <w:b/>
          <w:bCs/>
          <w:rtl/>
        </w:rPr>
        <w:t>"שיבין שאין לו מה לעשות אצלי בבית"</w:t>
      </w:r>
      <w:r>
        <w:rPr>
          <w:rFonts w:hint="cs"/>
        </w:rPr>
        <w:t xml:space="preserve"> </w:t>
      </w:r>
      <w:r>
        <w:rPr>
          <w:rFonts w:hint="cs"/>
          <w:rtl/>
        </w:rPr>
        <w:t>(שורה 23</w:t>
      </w:r>
      <w:r>
        <w:rPr>
          <w:rFonts w:hint="cs"/>
        </w:rPr>
        <w:t xml:space="preserve"> </w:t>
      </w:r>
      <w:r>
        <w:rPr>
          <w:rFonts w:hint="cs"/>
          <w:rtl/>
        </w:rPr>
        <w:t>להודעה).</w:t>
      </w:r>
      <w:r>
        <w:rPr>
          <w:rFonts w:hint="cs"/>
        </w:rPr>
        <w:t xml:space="preserve"> </w:t>
      </w:r>
      <w:r>
        <w:rPr>
          <w:rFonts w:hint="cs"/>
          <w:rtl/>
        </w:rPr>
        <w:t xml:space="preserve">ובהמשך: </w:t>
      </w:r>
      <w:r>
        <w:rPr>
          <w:rFonts w:hint="cs"/>
          <w:b/>
          <w:bCs/>
          <w:rtl/>
        </w:rPr>
        <w:t>"ש</w:t>
      </w:r>
      <w:r>
        <w:rPr>
          <w:b/>
          <w:bCs/>
        </w:rPr>
        <w:t xml:space="preserve">: </w:t>
      </w:r>
      <w:r>
        <w:rPr>
          <w:rFonts w:hint="cs"/>
          <w:b/>
          <w:bCs/>
          <w:rtl/>
        </w:rPr>
        <w:t>למה נגעת לאילן בזין? ת: שיפסיק לבוא אלי שיבין שאני רוצה שילך".</w:t>
      </w:r>
      <w:r>
        <w:rPr>
          <w:rFonts w:hint="cs"/>
        </w:rPr>
        <w:t xml:space="preserve"> </w:t>
      </w:r>
      <w:r>
        <w:rPr>
          <w:rFonts w:hint="cs"/>
          <w:rtl/>
        </w:rPr>
        <w:t xml:space="preserve"> עתה כבר הודה הנאשם כי צפה ביחד עם המתלונן בסרט פורנוגרפי,</w:t>
      </w:r>
      <w:r>
        <w:rPr>
          <w:rFonts w:hint="cs"/>
        </w:rPr>
        <w:t xml:space="preserve"> </w:t>
      </w:r>
      <w:r>
        <w:rPr>
          <w:rFonts w:hint="cs"/>
          <w:rtl/>
        </w:rPr>
        <w:t>אך טען כי הנגיעה באיבר המין נעשתה בהזדמנות אחרת,</w:t>
      </w:r>
      <w:r>
        <w:rPr>
          <w:rFonts w:hint="cs"/>
        </w:rPr>
        <w:t xml:space="preserve"> </w:t>
      </w:r>
      <w:r>
        <w:rPr>
          <w:rFonts w:hint="cs"/>
          <w:rtl/>
        </w:rPr>
        <w:t>ולא בעת הצפיה בסרט</w:t>
      </w:r>
      <w:r>
        <w:t>.</w:t>
      </w:r>
    </w:p>
    <w:p w14:paraId="48EBD0A2" w14:textId="77777777" w:rsidR="00912FCC" w:rsidRDefault="00912FCC">
      <w:pPr>
        <w:rPr>
          <w:rtl/>
        </w:rPr>
      </w:pPr>
    </w:p>
    <w:p w14:paraId="19AFC11A" w14:textId="77777777" w:rsidR="00912FCC" w:rsidRDefault="00912FCC" w:rsidP="00912FCC">
      <w:pPr>
        <w:numPr>
          <w:ilvl w:val="0"/>
          <w:numId w:val="3"/>
        </w:numPr>
        <w:ind w:right="0"/>
        <w:rPr>
          <w:rFonts w:hint="cs"/>
          <w:rtl/>
        </w:rPr>
      </w:pPr>
      <w:r>
        <w:rPr>
          <w:rFonts w:hint="cs"/>
          <w:rtl/>
        </w:rPr>
        <w:t>בחקירתו השלישית מיום 13.11.05 (ת/2), הודה הנאשם כי נגע למתלונן באיבר המין,</w:t>
      </w:r>
      <w:r>
        <w:rPr>
          <w:rFonts w:hint="cs"/>
        </w:rPr>
        <w:t xml:space="preserve"> </w:t>
      </w:r>
      <w:r>
        <w:rPr>
          <w:rFonts w:hint="cs"/>
          <w:rtl/>
        </w:rPr>
        <w:t>אך טען כי עשה זאת מעל לבגדים,</w:t>
      </w:r>
      <w:r>
        <w:rPr>
          <w:rFonts w:hint="cs"/>
        </w:rPr>
        <w:t xml:space="preserve"> </w:t>
      </w:r>
      <w:r>
        <w:rPr>
          <w:rFonts w:hint="cs"/>
          <w:rtl/>
        </w:rPr>
        <w:t>וכי הדבר נעשה בהסכמת המתלונן.</w:t>
      </w:r>
      <w:r>
        <w:rPr>
          <w:rFonts w:hint="cs"/>
        </w:rPr>
        <w:t xml:space="preserve"> </w:t>
      </w:r>
      <w:r>
        <w:rPr>
          <w:rFonts w:hint="cs"/>
          <w:rtl/>
        </w:rPr>
        <w:t>משהתבקש להסבר מדוע עשה זאת,</w:t>
      </w:r>
      <w:r>
        <w:rPr>
          <w:rFonts w:hint="cs"/>
        </w:rPr>
        <w:t xml:space="preserve"> </w:t>
      </w:r>
      <w:r>
        <w:rPr>
          <w:rFonts w:hint="cs"/>
          <w:rtl/>
        </w:rPr>
        <w:t xml:space="preserve">מסר כבר הסבר שונה במקצת: </w:t>
      </w:r>
      <w:r>
        <w:rPr>
          <w:rFonts w:hint="cs"/>
          <w:b/>
          <w:bCs/>
          <w:rtl/>
        </w:rPr>
        <w:t>"רציתי שאולי הוא יגיד שאני הומו ואז לא יבוא אלי יותר וזה נעשה בהסכמתו"</w:t>
      </w:r>
      <w:r>
        <w:rPr>
          <w:rFonts w:hint="cs"/>
          <w:rtl/>
        </w:rPr>
        <w:t>.</w:t>
      </w:r>
      <w:r>
        <w:rPr>
          <w:rFonts w:hint="cs"/>
        </w:rPr>
        <w:t xml:space="preserve"> </w:t>
      </w:r>
      <w:r>
        <w:rPr>
          <w:rFonts w:hint="cs"/>
          <w:rtl/>
        </w:rPr>
        <w:t>הנאשם גם הודה כי עישן ביחד עם המתלונן חשיש.</w:t>
      </w:r>
    </w:p>
    <w:p w14:paraId="068FCBA7" w14:textId="77777777" w:rsidR="00912FCC" w:rsidRDefault="00912FCC" w:rsidP="00912FCC">
      <w:pPr>
        <w:numPr>
          <w:ilvl w:val="0"/>
          <w:numId w:val="3"/>
        </w:numPr>
        <w:ind w:right="0"/>
        <w:rPr>
          <w:rFonts w:hint="cs"/>
          <w:rtl/>
        </w:rPr>
      </w:pPr>
      <w:r>
        <w:rPr>
          <w:rFonts w:hint="cs"/>
          <w:rtl/>
        </w:rPr>
        <w:t>בעת חקירתו הראשית בבית המשפט, סיפר הנאשם כי ישב וצפה בסרט פורנוגרפי,</w:t>
      </w:r>
      <w:r>
        <w:rPr>
          <w:rFonts w:hint="cs"/>
        </w:rPr>
        <w:t xml:space="preserve"> </w:t>
      </w:r>
      <w:r>
        <w:rPr>
          <w:rFonts w:hint="cs"/>
          <w:rtl/>
        </w:rPr>
        <w:t xml:space="preserve">והמתלונן דפק בדלת, נכנס, ושאל אותו למעשיו. הנאשם השיב כי הוא צופה בסרט, ואז ביקש המתלונן להכנס. הנאשם הסכים, והשניים צפו בסרט. בשלב כלשהו, לדברי הנאשם: </w:t>
      </w:r>
      <w:r>
        <w:t>"</w:t>
      </w:r>
      <w:r>
        <w:rPr>
          <w:rFonts w:hint="cs"/>
          <w:rtl/>
        </w:rPr>
        <w:t>...נתתי לו נגיעה באיבר מינו וזהו" עמ' 84 שורה 21. אחרי עשרים דקות קם המתלונן והלך.</w:t>
      </w:r>
      <w:r>
        <w:rPr>
          <w:rFonts w:hint="cs"/>
        </w:rPr>
        <w:t xml:space="preserve"> </w:t>
      </w:r>
      <w:r>
        <w:rPr>
          <w:rFonts w:hint="cs"/>
          <w:rtl/>
        </w:rPr>
        <w:t>הנאשם נשאל האם המתלונן התנגד למעשה,</w:t>
      </w:r>
      <w:r>
        <w:rPr>
          <w:rFonts w:hint="cs"/>
        </w:rPr>
        <w:t xml:space="preserve"> </w:t>
      </w:r>
      <w:r>
        <w:rPr>
          <w:rFonts w:hint="cs"/>
          <w:rtl/>
        </w:rPr>
        <w:t>והשיב בשלילה. הנאשם הוסיף כי הוא עצמו ביסקסואל, והסיבה בגינה הכחיש את המעשים בחקירות קודמות, היא אי רצונו כי דבר נטייתו יוודע לאשתו הטריה.</w:t>
      </w:r>
    </w:p>
    <w:p w14:paraId="55848AE7" w14:textId="77777777" w:rsidR="00912FCC" w:rsidRDefault="00912FCC">
      <w:pPr>
        <w:ind w:left="360"/>
        <w:rPr>
          <w:rtl/>
        </w:rPr>
      </w:pPr>
    </w:p>
    <w:p w14:paraId="58D19376" w14:textId="77777777" w:rsidR="00912FCC" w:rsidRDefault="00912FCC" w:rsidP="00912FCC">
      <w:pPr>
        <w:numPr>
          <w:ilvl w:val="0"/>
          <w:numId w:val="3"/>
        </w:numPr>
        <w:ind w:right="0"/>
        <w:rPr>
          <w:rtl/>
        </w:rPr>
      </w:pPr>
      <w:r>
        <w:rPr>
          <w:rFonts w:hint="cs"/>
          <w:rtl/>
        </w:rPr>
        <w:t xml:space="preserve">בחקירתו הנגדית נשמעה מפי הנאשם גרסה חמישית. עתה טען הנאשם כי חיבב את המתלונן מאד,וכי מדובר בנער חמוד שעזר לו רבות (עמ' 87 שורה 16).  נעלמה הטענה כי רצה להפטר ממנו. </w:t>
      </w:r>
      <w:r>
        <w:rPr>
          <w:rFonts w:hint="cs"/>
        </w:rPr>
        <w:t xml:space="preserve"> </w:t>
      </w:r>
      <w:r>
        <w:rPr>
          <w:rFonts w:hint="cs"/>
          <w:rtl/>
        </w:rPr>
        <w:t>לטענת הנאשם, הוא התוודה בעבר בפני המתלונן על נטיותיו המיניות, (עמ' 87 שורה 20).</w:t>
      </w:r>
      <w:r>
        <w:rPr>
          <w:rFonts w:hint="cs"/>
        </w:rPr>
        <w:t xml:space="preserve"> </w:t>
      </w:r>
      <w:r>
        <w:rPr>
          <w:rFonts w:hint="cs"/>
          <w:rtl/>
        </w:rPr>
        <w:t>עם התפתחות החקירה הנגדית,</w:t>
      </w:r>
      <w:r>
        <w:rPr>
          <w:rFonts w:hint="cs"/>
        </w:rPr>
        <w:t xml:space="preserve"> </w:t>
      </w:r>
      <w:r>
        <w:rPr>
          <w:rFonts w:hint="cs"/>
          <w:rtl/>
        </w:rPr>
        <w:t>העלה הנאשם טענה מדהימה וחדשה,</w:t>
      </w:r>
      <w:r>
        <w:rPr>
          <w:rFonts w:hint="cs"/>
        </w:rPr>
        <w:t xml:space="preserve"> </w:t>
      </w:r>
      <w:r>
        <w:rPr>
          <w:rFonts w:hint="cs"/>
          <w:rtl/>
        </w:rPr>
        <w:t>לפיה המתלונן עצמו אמר לו שהוא אינו אוהב נשים,</w:t>
      </w:r>
      <w:r>
        <w:rPr>
          <w:rFonts w:hint="cs"/>
        </w:rPr>
        <w:t xml:space="preserve"> </w:t>
      </w:r>
      <w:r>
        <w:rPr>
          <w:rFonts w:hint="cs"/>
          <w:rtl/>
        </w:rPr>
        <w:t xml:space="preserve">ואף הוא נהג לגעת בנאשם: </w:t>
      </w:r>
      <w:r>
        <w:rPr>
          <w:rFonts w:hint="cs"/>
          <w:b/>
          <w:bCs/>
          <w:rtl/>
        </w:rPr>
        <w:t>"הוא גם כן היה נוגע לי ברגליים ומשחק איתי בידיים"</w:t>
      </w:r>
      <w:r>
        <w:rPr>
          <w:rFonts w:hint="cs"/>
          <w:rtl/>
        </w:rPr>
        <w:t xml:space="preserve"> (עמ' 88 שורה 4).</w:t>
      </w:r>
      <w:r>
        <w:rPr>
          <w:rFonts w:hint="cs"/>
        </w:rPr>
        <w:t xml:space="preserve"> </w:t>
      </w:r>
      <w:r>
        <w:rPr>
          <w:rFonts w:hint="cs"/>
          <w:rtl/>
        </w:rPr>
        <w:t xml:space="preserve">הטענה הוסיפה והתפתחה מבחינה עלילתית כאשר הנאשם טען כי: </w:t>
      </w:r>
      <w:r>
        <w:rPr>
          <w:rFonts w:hint="cs"/>
          <w:b/>
          <w:bCs/>
          <w:rtl/>
        </w:rPr>
        <w:t xml:space="preserve">"הוא גם נגע ברגליים שלי </w:t>
      </w:r>
      <w:r>
        <w:rPr>
          <w:rFonts w:hint="cs"/>
          <w:b/>
          <w:bCs/>
          <w:u w:val="single"/>
          <w:rtl/>
        </w:rPr>
        <w:t>באיבר המין שלי</w:t>
      </w:r>
      <w:r>
        <w:rPr>
          <w:rFonts w:hint="cs"/>
          <w:b/>
          <w:bCs/>
          <w:rtl/>
        </w:rPr>
        <w:t>, וגם אני נגעתי באיבר מינו"</w:t>
      </w:r>
      <w:r>
        <w:rPr>
          <w:rFonts w:hint="cs"/>
          <w:rtl/>
        </w:rPr>
        <w:t xml:space="preserve"> (עמ' 90 שורה 1).</w:t>
      </w:r>
    </w:p>
    <w:p w14:paraId="7B130402" w14:textId="77777777" w:rsidR="00912FCC" w:rsidRDefault="00912FCC">
      <w:pPr>
        <w:rPr>
          <w:rtl/>
        </w:rPr>
      </w:pPr>
    </w:p>
    <w:p w14:paraId="238DC161" w14:textId="77777777" w:rsidR="00912FCC" w:rsidRDefault="00912FCC" w:rsidP="00912FCC">
      <w:pPr>
        <w:numPr>
          <w:ilvl w:val="0"/>
          <w:numId w:val="3"/>
        </w:numPr>
        <w:ind w:right="0"/>
        <w:rPr>
          <w:rFonts w:hint="cs"/>
          <w:rtl/>
        </w:rPr>
      </w:pPr>
      <w:r>
        <w:rPr>
          <w:rFonts w:hint="cs"/>
          <w:rtl/>
        </w:rPr>
        <w:t>דהיינו,</w:t>
      </w:r>
      <w:r>
        <w:rPr>
          <w:rFonts w:hint="cs"/>
        </w:rPr>
        <w:t xml:space="preserve"> </w:t>
      </w:r>
      <w:r>
        <w:rPr>
          <w:rFonts w:hint="cs"/>
          <w:rtl/>
        </w:rPr>
        <w:t>בסוף חקירתו הנגדית של הנאשם, כבר הפך המתלונן לשותף מלא למעשים, והאירוע הפך להדדי לחלוטין.</w:t>
      </w:r>
      <w:r>
        <w:rPr>
          <w:rFonts w:hint="cs"/>
        </w:rPr>
        <w:t xml:space="preserve"> </w:t>
      </w:r>
      <w:r>
        <w:rPr>
          <w:rFonts w:hint="cs"/>
          <w:rtl/>
        </w:rPr>
        <w:t>למותר לציין כי זו הפעם הראשונה שנשמעה גרסה לפיה המתלונן שוחח עם הנאשם על נטיותיו המיניות,</w:t>
      </w:r>
      <w:r>
        <w:rPr>
          <w:rFonts w:hint="cs"/>
        </w:rPr>
        <w:t xml:space="preserve"> </w:t>
      </w:r>
      <w:r>
        <w:rPr>
          <w:rFonts w:hint="cs"/>
          <w:rtl/>
        </w:rPr>
        <w:t>וסיפר לו כי אינו אוהב נשים,</w:t>
      </w:r>
      <w:r>
        <w:rPr>
          <w:rFonts w:hint="cs"/>
        </w:rPr>
        <w:t xml:space="preserve"> </w:t>
      </w:r>
      <w:r>
        <w:rPr>
          <w:rFonts w:hint="cs"/>
          <w:rtl/>
        </w:rPr>
        <w:t>או כי הנאשם התוודה בפני המתלונן על נטיותיו שלו,</w:t>
      </w:r>
      <w:r>
        <w:rPr>
          <w:rFonts w:hint="cs"/>
        </w:rPr>
        <w:t xml:space="preserve"> </w:t>
      </w:r>
      <w:r>
        <w:rPr>
          <w:rFonts w:hint="cs"/>
          <w:rtl/>
        </w:rPr>
        <w:t>או כי המתלונן יזם נגיעות כאלה ואחרות בנאשם,</w:t>
      </w:r>
      <w:r>
        <w:rPr>
          <w:rFonts w:hint="cs"/>
        </w:rPr>
        <w:t xml:space="preserve"> </w:t>
      </w:r>
      <w:r>
        <w:rPr>
          <w:rFonts w:hint="cs"/>
          <w:rtl/>
        </w:rPr>
        <w:t>או כי האירוע כלל נגיעות הדדיות.</w:t>
      </w:r>
      <w:r>
        <w:rPr>
          <w:rFonts w:hint="cs"/>
        </w:rPr>
        <w:t xml:space="preserve"> </w:t>
      </w:r>
      <w:r>
        <w:rPr>
          <w:rFonts w:hint="cs"/>
          <w:rtl/>
        </w:rPr>
        <w:t>הדבר אף לא נרמז בחקירתו הנגדית של המתלונן,</w:t>
      </w:r>
      <w:r>
        <w:rPr>
          <w:rFonts w:hint="cs"/>
        </w:rPr>
        <w:t xml:space="preserve"> </w:t>
      </w:r>
      <w:r>
        <w:rPr>
          <w:rFonts w:hint="cs"/>
          <w:rtl/>
        </w:rPr>
        <w:t>אשר עסקה רבות בנסיונות הסנגור לחלץ מפיו "הודאה" כי יש לו נטיות הומוסקסואליות. נראה לפיכך כי גרסה כבושה ביותר זו, נבדתה כמוצא אחרון לצורך עיבוי טענת ההסכמה.</w:t>
      </w:r>
    </w:p>
    <w:p w14:paraId="10407B6F" w14:textId="77777777" w:rsidR="00912FCC" w:rsidRDefault="00912FCC" w:rsidP="00912FCC">
      <w:pPr>
        <w:numPr>
          <w:ilvl w:val="0"/>
          <w:numId w:val="3"/>
        </w:numPr>
        <w:ind w:right="0"/>
        <w:rPr>
          <w:rtl/>
        </w:rPr>
      </w:pPr>
      <w:r>
        <w:rPr>
          <w:rFonts w:hint="cs"/>
          <w:rtl/>
        </w:rPr>
        <w:t>שלל גרסאותיו של הנאשם בנושא המהותי, נושא ההסכמה, פועלות אף הן לחיזוק גרסת המתלונן.</w:t>
      </w:r>
    </w:p>
    <w:p w14:paraId="14CC18F5" w14:textId="77777777" w:rsidR="00912FCC" w:rsidRDefault="00912FCC">
      <w:pPr>
        <w:rPr>
          <w:rtl/>
        </w:rPr>
      </w:pPr>
    </w:p>
    <w:p w14:paraId="74E63B5A" w14:textId="77777777" w:rsidR="00912FCC" w:rsidRDefault="00912FCC">
      <w:pPr>
        <w:pStyle w:val="Heading5"/>
        <w:rPr>
          <w:rFonts w:hint="cs"/>
          <w:b/>
          <w:bCs/>
          <w:sz w:val="20"/>
          <w:rtl/>
        </w:rPr>
      </w:pPr>
      <w:r>
        <w:rPr>
          <w:rFonts w:hint="cs"/>
          <w:b/>
          <w:bCs/>
          <w:sz w:val="20"/>
          <w:rtl/>
        </w:rPr>
        <w:t>העדר הסכמה</w:t>
      </w:r>
    </w:p>
    <w:p w14:paraId="3F7FEF6B" w14:textId="77777777" w:rsidR="00912FCC" w:rsidRDefault="00912FCC" w:rsidP="00912FCC">
      <w:pPr>
        <w:numPr>
          <w:ilvl w:val="0"/>
          <w:numId w:val="3"/>
        </w:numPr>
        <w:ind w:right="0"/>
        <w:rPr>
          <w:rFonts w:hint="cs"/>
          <w:rtl/>
        </w:rPr>
      </w:pPr>
      <w:r>
        <w:rPr>
          <w:rFonts w:hint="cs"/>
          <w:rtl/>
        </w:rPr>
        <w:t>בחינת גרסאות הנאשם מעלה, כי אלמנט העדר הסכמת המתלונן, מופיע למעשה כבר בגרסאותיו המוקדמות של הנאשם.</w:t>
      </w:r>
      <w:r>
        <w:rPr>
          <w:rFonts w:hint="cs"/>
        </w:rPr>
        <w:t xml:space="preserve"> </w:t>
      </w:r>
      <w:r>
        <w:rPr>
          <w:rFonts w:hint="cs"/>
          <w:rtl/>
        </w:rPr>
        <w:t>אזכיר כי הנאשם טען בתחילה כי הסיבה לנגיעה באיבר מינו של המתלונן, היתה לצורך גירושו מהבית.</w:t>
      </w:r>
      <w:r>
        <w:rPr>
          <w:rFonts w:hint="cs"/>
        </w:rPr>
        <w:t xml:space="preserve"> </w:t>
      </w:r>
      <w:r>
        <w:rPr>
          <w:rFonts w:hint="cs"/>
          <w:rtl/>
        </w:rPr>
        <w:t>באמירה כזו מובלעת ההנחה כי המתלונן לא יחפוץ בנגיעה כזו, ולא יוסיף ויבקר את הנאשם.</w:t>
      </w:r>
      <w:r>
        <w:rPr>
          <w:rFonts w:hint="cs"/>
        </w:rPr>
        <w:t xml:space="preserve"> </w:t>
      </w:r>
      <w:r>
        <w:rPr>
          <w:rFonts w:hint="cs"/>
          <w:rtl/>
        </w:rPr>
        <w:t>בהמשך,</w:t>
      </w:r>
      <w:r>
        <w:rPr>
          <w:rFonts w:hint="cs"/>
        </w:rPr>
        <w:t xml:space="preserve"> </w:t>
      </w:r>
      <w:r>
        <w:rPr>
          <w:rFonts w:hint="cs"/>
          <w:rtl/>
        </w:rPr>
        <w:t>בת/2,</w:t>
      </w:r>
      <w:r>
        <w:rPr>
          <w:rFonts w:hint="cs"/>
        </w:rPr>
        <w:t xml:space="preserve"> </w:t>
      </w:r>
      <w:r>
        <w:rPr>
          <w:rFonts w:hint="cs"/>
          <w:rtl/>
        </w:rPr>
        <w:t>מגדיל הנאשם, ואף טוען כי עשה זאת כדי שהמתלונן יחשוב שהוא הומוסקסואל,</w:t>
      </w:r>
      <w:r>
        <w:rPr>
          <w:rFonts w:hint="cs"/>
        </w:rPr>
        <w:t xml:space="preserve"> </w:t>
      </w:r>
      <w:r>
        <w:rPr>
          <w:rFonts w:hint="cs"/>
          <w:rtl/>
        </w:rPr>
        <w:t>ולא יחזור להציק לו</w:t>
      </w:r>
      <w:r>
        <w:t>.</w:t>
      </w:r>
    </w:p>
    <w:p w14:paraId="2A10C24D" w14:textId="77777777" w:rsidR="00912FCC" w:rsidRDefault="00912FCC">
      <w:pPr>
        <w:ind w:left="360"/>
        <w:rPr>
          <w:rtl/>
        </w:rPr>
      </w:pPr>
    </w:p>
    <w:p w14:paraId="5FFAC310" w14:textId="77777777" w:rsidR="00912FCC" w:rsidRDefault="00912FCC" w:rsidP="00912FCC">
      <w:pPr>
        <w:numPr>
          <w:ilvl w:val="0"/>
          <w:numId w:val="3"/>
        </w:numPr>
        <w:ind w:right="0"/>
        <w:rPr>
          <w:rFonts w:hint="cs"/>
          <w:rtl/>
        </w:rPr>
      </w:pPr>
      <w:r>
        <w:rPr>
          <w:rFonts w:hint="cs"/>
          <w:rtl/>
        </w:rPr>
        <w:t>מכאן,</w:t>
      </w:r>
      <w:r>
        <w:rPr>
          <w:rFonts w:hint="cs"/>
        </w:rPr>
        <w:t xml:space="preserve"> </w:t>
      </w:r>
      <w:r>
        <w:rPr>
          <w:rFonts w:hint="cs"/>
          <w:rtl/>
        </w:rPr>
        <w:t>שכבר מלכתחילה,</w:t>
      </w:r>
      <w:r>
        <w:rPr>
          <w:rFonts w:hint="cs"/>
        </w:rPr>
        <w:t xml:space="preserve"> </w:t>
      </w:r>
      <w:r>
        <w:rPr>
          <w:rFonts w:hint="cs"/>
          <w:rtl/>
        </w:rPr>
        <w:t>למרות שהנאשם טוען כי המתלונן הסכים,</w:t>
      </w:r>
      <w:r>
        <w:rPr>
          <w:rFonts w:hint="cs"/>
        </w:rPr>
        <w:t xml:space="preserve"> </w:t>
      </w:r>
      <w:r>
        <w:rPr>
          <w:rFonts w:hint="cs"/>
          <w:rtl/>
        </w:rPr>
        <w:t>אין טענה זו יכולה לעלות בקנה אחד עם הגרסה, לפיה עשה את מה שעשה כדי להבריח את המתלונן מביתו.</w:t>
      </w:r>
      <w:r>
        <w:rPr>
          <w:rFonts w:hint="cs"/>
        </w:rPr>
        <w:t xml:space="preserve"> </w:t>
      </w:r>
      <w:r>
        <w:rPr>
          <w:rFonts w:hint="cs"/>
          <w:rtl/>
        </w:rPr>
        <w:t>הרי אילו ידע כי המתלונן חפץ בכך,</w:t>
      </w:r>
      <w:r>
        <w:rPr>
          <w:rFonts w:hint="cs"/>
        </w:rPr>
        <w:t xml:space="preserve"> </w:t>
      </w:r>
      <w:r>
        <w:rPr>
          <w:rFonts w:hint="cs"/>
          <w:rtl/>
        </w:rPr>
        <w:t>לא היה במעשה כדי להבריח אותו.</w:t>
      </w:r>
      <w:r>
        <w:rPr>
          <w:rFonts w:hint="cs"/>
        </w:rPr>
        <w:t xml:space="preserve"> </w:t>
      </w:r>
      <w:r>
        <w:rPr>
          <w:rFonts w:hint="cs"/>
          <w:rtl/>
        </w:rPr>
        <w:t xml:space="preserve">כך שהעדר ההסכמה של המתלונן לאקט עולה כבר מתיאורו הראשוני של הנאשם את האירוע. </w:t>
      </w:r>
      <w:r>
        <w:rPr>
          <w:rFonts w:hint="cs"/>
        </w:rPr>
        <w:t xml:space="preserve"> </w:t>
      </w:r>
      <w:r>
        <w:rPr>
          <w:rFonts w:hint="cs"/>
          <w:rtl/>
        </w:rPr>
        <w:t>בהמשך מתחפר הנאשם בגרסאות דימיוניות, כפי שפרטתי לעיל.</w:t>
      </w:r>
    </w:p>
    <w:p w14:paraId="321A1468" w14:textId="77777777" w:rsidR="00912FCC" w:rsidRDefault="00912FCC">
      <w:pPr>
        <w:rPr>
          <w:rtl/>
        </w:rPr>
      </w:pPr>
    </w:p>
    <w:p w14:paraId="2D8D9A39" w14:textId="77777777" w:rsidR="00912FCC" w:rsidRDefault="00912FCC" w:rsidP="00912FCC">
      <w:pPr>
        <w:numPr>
          <w:ilvl w:val="0"/>
          <w:numId w:val="3"/>
        </w:numPr>
        <w:ind w:right="0"/>
        <w:rPr>
          <w:rFonts w:hint="cs"/>
          <w:rtl/>
        </w:rPr>
      </w:pPr>
      <w:r>
        <w:rPr>
          <w:rFonts w:hint="cs"/>
          <w:rtl/>
        </w:rPr>
        <w:t xml:space="preserve">הגדרת </w:t>
      </w:r>
      <w:r>
        <w:t>"</w:t>
      </w:r>
      <w:r>
        <w:rPr>
          <w:rFonts w:hint="cs"/>
          <w:rtl/>
        </w:rPr>
        <w:t>מעשה מגונה</w:t>
      </w:r>
      <w:r>
        <w:t>"</w:t>
      </w:r>
      <w:r>
        <w:rPr>
          <w:rFonts w:hint="cs"/>
          <w:rtl/>
        </w:rPr>
        <w:t xml:space="preserve"> מצויה </w:t>
      </w:r>
      <w:hyperlink r:id="rId23" w:history="1">
        <w:r w:rsidR="00681E84" w:rsidRPr="00681E84">
          <w:rPr>
            <w:color w:val="0000FF"/>
            <w:u w:val="single"/>
            <w:rtl/>
          </w:rPr>
          <w:t>בסעיף 348ו</w:t>
        </w:r>
      </w:hyperlink>
      <w:r>
        <w:rPr>
          <w:rFonts w:hint="cs"/>
          <w:rtl/>
        </w:rPr>
        <w:t xml:space="preserve"> לחוק: "בסימן זה, מעשה מגונה – מעשה לשם גירוי, סיפוק או ביזוי מיניים".</w:t>
      </w:r>
    </w:p>
    <w:p w14:paraId="2C623847" w14:textId="77777777" w:rsidR="00912FCC" w:rsidRDefault="00912FCC">
      <w:pPr>
        <w:rPr>
          <w:rtl/>
        </w:rPr>
      </w:pPr>
    </w:p>
    <w:p w14:paraId="4F15BEC7" w14:textId="77777777" w:rsidR="00912FCC" w:rsidRDefault="00912FCC" w:rsidP="00912FCC">
      <w:pPr>
        <w:numPr>
          <w:ilvl w:val="0"/>
          <w:numId w:val="3"/>
        </w:numPr>
        <w:ind w:right="0"/>
        <w:rPr>
          <w:rFonts w:hint="cs"/>
          <w:rtl/>
        </w:rPr>
      </w:pPr>
      <w:r>
        <w:rPr>
          <w:rFonts w:hint="cs"/>
          <w:rtl/>
        </w:rPr>
        <w:t>לעניין היסוד הפיזי של העבירה,</w:t>
      </w:r>
      <w:r>
        <w:rPr>
          <w:rFonts w:hint="cs"/>
        </w:rPr>
        <w:t xml:space="preserve"> </w:t>
      </w:r>
      <w:r>
        <w:rPr>
          <w:rFonts w:hint="cs"/>
          <w:rtl/>
        </w:rPr>
        <w:t>מדבר הסעיף על ביצוע המעשה המגונה ללא הסכמתו של הקורבן,</w:t>
      </w:r>
      <w:r>
        <w:rPr>
          <w:rFonts w:hint="cs"/>
        </w:rPr>
        <w:t xml:space="preserve"> </w:t>
      </w:r>
      <w:r>
        <w:rPr>
          <w:rFonts w:hint="cs"/>
          <w:rtl/>
        </w:rPr>
        <w:t>אך הספרות והפסיקה קובעות,</w:t>
      </w:r>
      <w:r>
        <w:rPr>
          <w:rFonts w:hint="cs"/>
        </w:rPr>
        <w:t xml:space="preserve"> </w:t>
      </w:r>
      <w:r>
        <w:rPr>
          <w:rFonts w:hint="cs"/>
          <w:rtl/>
        </w:rPr>
        <w:t>כי למושג הסכמה תינתן המשמעות שניתנה לו לעניין עבירת האינוס,</w:t>
      </w:r>
      <w:r>
        <w:rPr>
          <w:rFonts w:hint="cs"/>
        </w:rPr>
        <w:t xml:space="preserve"> </w:t>
      </w:r>
      <w:r>
        <w:rPr>
          <w:rFonts w:hint="cs"/>
          <w:rtl/>
        </w:rPr>
        <w:t>דהיינו</w:t>
      </w:r>
      <w:r>
        <w:t xml:space="preserve">: </w:t>
      </w:r>
      <w:r>
        <w:rPr>
          <w:rFonts w:hint="cs"/>
          <w:rtl/>
        </w:rPr>
        <w:t>הסכמה ממשית,</w:t>
      </w:r>
      <w:r>
        <w:rPr>
          <w:rFonts w:hint="cs"/>
        </w:rPr>
        <w:t xml:space="preserve"> </w:t>
      </w:r>
      <w:r>
        <w:rPr>
          <w:rFonts w:hint="cs"/>
          <w:rtl/>
        </w:rPr>
        <w:t>פוזיטיבית,</w:t>
      </w:r>
      <w:r>
        <w:rPr>
          <w:rFonts w:hint="cs"/>
        </w:rPr>
        <w:t xml:space="preserve"> </w:t>
      </w:r>
      <w:r>
        <w:rPr>
          <w:rFonts w:hint="cs"/>
          <w:rtl/>
        </w:rPr>
        <w:t>להבדיל מהעדר התנגדות,</w:t>
      </w:r>
      <w:r>
        <w:rPr>
          <w:rFonts w:hint="cs"/>
        </w:rPr>
        <w:t xml:space="preserve"> </w:t>
      </w:r>
      <w:r>
        <w:rPr>
          <w:rFonts w:hint="cs"/>
          <w:rtl/>
        </w:rPr>
        <w:t>כאשר די ב</w:t>
      </w:r>
      <w:r>
        <w:t>"</w:t>
      </w:r>
      <w:r>
        <w:rPr>
          <w:rFonts w:hint="cs"/>
          <w:rtl/>
        </w:rPr>
        <w:t>פזיזות"</w:t>
      </w:r>
      <w:r>
        <w:rPr>
          <w:rFonts w:hint="cs"/>
        </w:rPr>
        <w:t xml:space="preserve"> </w:t>
      </w:r>
      <w:r>
        <w:rPr>
          <w:rFonts w:hint="cs"/>
          <w:rtl/>
        </w:rPr>
        <w:t>בהקשר זה, והנאשם נוטל על עצמו את הסיכון שמא נעדר המעשה, הסכמה (ראו: יעקב קדמי,</w:t>
      </w:r>
      <w:r>
        <w:rPr>
          <w:rFonts w:hint="cs"/>
        </w:rPr>
        <w:t xml:space="preserve"> </w:t>
      </w:r>
      <w:r>
        <w:rPr>
          <w:rFonts w:hint="cs"/>
          <w:rtl/>
        </w:rPr>
        <w:t>על הדין בפלילים,</w:t>
      </w:r>
      <w:r>
        <w:rPr>
          <w:rFonts w:hint="cs"/>
        </w:rPr>
        <w:t xml:space="preserve"> </w:t>
      </w:r>
      <w:r>
        <w:rPr>
          <w:rFonts w:hint="cs"/>
          <w:rtl/>
        </w:rPr>
        <w:t>מהדורת תשנ</w:t>
      </w:r>
      <w:r>
        <w:t>"</w:t>
      </w:r>
      <w:r>
        <w:rPr>
          <w:rFonts w:hint="cs"/>
          <w:rtl/>
        </w:rPr>
        <w:t>ה-1995 חלק שני עמ' 784-785).</w:t>
      </w:r>
    </w:p>
    <w:p w14:paraId="1044C0F9" w14:textId="77777777" w:rsidR="00912FCC" w:rsidRDefault="00912FCC">
      <w:pPr>
        <w:rPr>
          <w:rtl/>
        </w:rPr>
      </w:pPr>
    </w:p>
    <w:p w14:paraId="38ABBA6B" w14:textId="77777777" w:rsidR="00912FCC" w:rsidRDefault="00912FCC" w:rsidP="00912FCC">
      <w:pPr>
        <w:numPr>
          <w:ilvl w:val="0"/>
          <w:numId w:val="3"/>
        </w:numPr>
        <w:ind w:right="0"/>
        <w:rPr>
          <w:rFonts w:hint="cs"/>
          <w:rtl/>
        </w:rPr>
      </w:pPr>
      <w:r>
        <w:rPr>
          <w:rFonts w:hint="cs"/>
          <w:rtl/>
        </w:rPr>
        <w:t>לעניין היסוד הנפשי של העבירה,</w:t>
      </w:r>
      <w:r>
        <w:rPr>
          <w:rFonts w:hint="cs"/>
        </w:rPr>
        <w:t xml:space="preserve"> </w:t>
      </w:r>
      <w:r>
        <w:rPr>
          <w:rFonts w:hint="cs"/>
          <w:rtl/>
        </w:rPr>
        <w:t>בהעדר דרישה בסעיף להלך נפש מסויים,</w:t>
      </w:r>
      <w:r>
        <w:rPr>
          <w:rFonts w:hint="cs"/>
        </w:rPr>
        <w:t xml:space="preserve"> </w:t>
      </w:r>
      <w:r>
        <w:rPr>
          <w:rFonts w:hint="cs"/>
          <w:rtl/>
        </w:rPr>
        <w:t xml:space="preserve">רואים עבירה זו כעבירה של כוונה </w:t>
      </w:r>
      <w:r>
        <w:t>"</w:t>
      </w:r>
      <w:r>
        <w:rPr>
          <w:rFonts w:hint="cs"/>
          <w:rtl/>
        </w:rPr>
        <w:t>סתם"</w:t>
      </w:r>
      <w:r>
        <w:rPr>
          <w:rFonts w:hint="cs"/>
        </w:rPr>
        <w:t xml:space="preserve"> </w:t>
      </w:r>
      <w:r>
        <w:rPr>
          <w:rFonts w:hint="cs"/>
          <w:rtl/>
        </w:rPr>
        <w:t xml:space="preserve">ויספיק קיומה של </w:t>
      </w:r>
      <w:r>
        <w:t>"</w:t>
      </w:r>
      <w:r>
        <w:rPr>
          <w:rFonts w:hint="cs"/>
          <w:rtl/>
        </w:rPr>
        <w:t>פזיזות"</w:t>
      </w:r>
      <w:r>
        <w:rPr>
          <w:rFonts w:hint="cs"/>
        </w:rPr>
        <w:t xml:space="preserve"> </w:t>
      </w:r>
      <w:r>
        <w:rPr>
          <w:rFonts w:hint="cs"/>
          <w:rtl/>
        </w:rPr>
        <w:t>כלפי רכיבי היסוד הפיסי -</w:t>
      </w:r>
      <w:r>
        <w:rPr>
          <w:rFonts w:hint="cs"/>
        </w:rPr>
        <w:t xml:space="preserve"> </w:t>
      </w:r>
      <w:r>
        <w:rPr>
          <w:rFonts w:hint="cs"/>
          <w:rtl/>
        </w:rPr>
        <w:t>לצורך הרשעה (שם, בעמ' 785 בסעיף ב). לכן</w:t>
      </w:r>
      <w:r>
        <w:rPr>
          <w:rFonts w:hint="cs"/>
        </w:rPr>
        <w:t xml:space="preserve"> </w:t>
      </w:r>
      <w:r>
        <w:rPr>
          <w:rFonts w:hint="cs"/>
          <w:rtl/>
        </w:rPr>
        <w:t>נאשם לא יוכל ליהנות מן ההגנה של טעות בעובדה בהקשר זה,</w:t>
      </w:r>
      <w:r>
        <w:rPr>
          <w:rFonts w:hint="cs"/>
        </w:rPr>
        <w:t xml:space="preserve"> </w:t>
      </w:r>
      <w:r>
        <w:rPr>
          <w:rFonts w:hint="cs"/>
          <w:rtl/>
        </w:rPr>
        <w:t>אלא אם כן עמדה טעותו במבחן הכפול של כנות וסבירות.</w:t>
      </w:r>
    </w:p>
    <w:p w14:paraId="2F1B69EC" w14:textId="77777777" w:rsidR="00912FCC" w:rsidRDefault="00912FCC">
      <w:pPr>
        <w:rPr>
          <w:rtl/>
        </w:rPr>
      </w:pPr>
    </w:p>
    <w:p w14:paraId="49BB4E69" w14:textId="77777777" w:rsidR="00912FCC" w:rsidRDefault="00912FCC" w:rsidP="00912FCC">
      <w:pPr>
        <w:numPr>
          <w:ilvl w:val="0"/>
          <w:numId w:val="3"/>
        </w:numPr>
        <w:ind w:right="0"/>
        <w:rPr>
          <w:rFonts w:hint="cs"/>
          <w:rtl/>
        </w:rPr>
      </w:pPr>
      <w:r>
        <w:rPr>
          <w:rFonts w:hint="cs"/>
          <w:rtl/>
        </w:rPr>
        <w:t>לעניין העדר הסכמה נקבע ב</w:t>
      </w:r>
      <w:hyperlink r:id="rId24" w:history="1">
        <w:r w:rsidR="00763984" w:rsidRPr="00763984">
          <w:rPr>
            <w:rStyle w:val="Hyperlink"/>
            <w:rFonts w:hint="eastAsia"/>
            <w:rtl/>
          </w:rPr>
          <w:t>ע</w:t>
        </w:r>
        <w:r w:rsidR="00763984" w:rsidRPr="00763984">
          <w:rPr>
            <w:rStyle w:val="Hyperlink"/>
            <w:rtl/>
          </w:rPr>
          <w:t>"פ 5612/92  מדינת ישראל נ. אופיר בארי ואח' (פרשת שמרת) פ"ד מח</w:t>
        </w:r>
      </w:hyperlink>
      <w:r>
        <w:rPr>
          <w:rFonts w:hint="cs"/>
          <w:rtl/>
        </w:rPr>
        <w:t xml:space="preserve"> </w:t>
      </w:r>
      <w:r>
        <w:t xml:space="preserve">(1) 302 </w:t>
      </w:r>
      <w:r>
        <w:rPr>
          <w:rFonts w:hint="cs"/>
          <w:rtl/>
        </w:rPr>
        <w:t xml:space="preserve"> בעמ' 368-369:</w:t>
      </w:r>
    </w:p>
    <w:p w14:paraId="31BBFD85" w14:textId="77777777" w:rsidR="00912FCC" w:rsidRDefault="00912FCC">
      <w:pPr>
        <w:ind w:left="1080"/>
        <w:rPr>
          <w:rFonts w:hint="cs"/>
          <w:b/>
          <w:bCs/>
          <w:rtl/>
        </w:rPr>
      </w:pPr>
      <w:r>
        <w:rPr>
          <w:rFonts w:hint="cs"/>
          <w:b/>
          <w:bCs/>
          <w:rtl/>
        </w:rPr>
        <w:t xml:space="preserve">"כתוצאה מזניחת היסוד של </w:t>
      </w:r>
      <w:r>
        <w:rPr>
          <w:b/>
          <w:bCs/>
        </w:rPr>
        <w:t>"</w:t>
      </w:r>
      <w:r>
        <w:rPr>
          <w:rFonts w:hint="cs"/>
          <w:b/>
          <w:bCs/>
          <w:rtl/>
        </w:rPr>
        <w:t>נגד רצונה",</w:t>
      </w:r>
      <w:r>
        <w:rPr>
          <w:rFonts w:hint="cs"/>
          <w:b/>
          <w:bCs/>
        </w:rPr>
        <w:t xml:space="preserve"> </w:t>
      </w:r>
      <w:r>
        <w:rPr>
          <w:rFonts w:hint="cs"/>
          <w:b/>
          <w:bCs/>
          <w:rtl/>
        </w:rPr>
        <w:t>נעלמה הדרישה הראייתית,</w:t>
      </w:r>
      <w:r>
        <w:rPr>
          <w:rFonts w:hint="cs"/>
          <w:b/>
          <w:bCs/>
        </w:rPr>
        <w:t xml:space="preserve"> </w:t>
      </w:r>
      <w:r>
        <w:rPr>
          <w:rFonts w:hint="cs"/>
          <w:b/>
          <w:bCs/>
          <w:rtl/>
        </w:rPr>
        <w:t>נחלת העבר,</w:t>
      </w:r>
      <w:r>
        <w:rPr>
          <w:rFonts w:hint="cs"/>
          <w:b/>
          <w:bCs/>
        </w:rPr>
        <w:t xml:space="preserve"> </w:t>
      </w:r>
      <w:r>
        <w:rPr>
          <w:rFonts w:hint="cs"/>
          <w:b/>
          <w:bCs/>
          <w:rtl/>
        </w:rPr>
        <w:t>לפיה יש להוכיח התנגדות פיסית אופטימלית של קורבן העבירה</w:t>
      </w:r>
      <w:r>
        <w:rPr>
          <w:b/>
          <w:bCs/>
        </w:rPr>
        <w:t xml:space="preserve">... </w:t>
      </w:r>
      <w:r>
        <w:rPr>
          <w:rFonts w:hint="cs"/>
          <w:b/>
          <w:bCs/>
          <w:rtl/>
        </w:rPr>
        <w:t>יכול גם להיות היעדר הסכמה שאינו כולל התנגדות פיזית סבירה אלא הבעת שלילה מילולית גרידא".</w:t>
      </w:r>
    </w:p>
    <w:p w14:paraId="13F995F6" w14:textId="77777777" w:rsidR="00912FCC" w:rsidRDefault="00912FCC">
      <w:pPr>
        <w:ind w:left="1080"/>
        <w:rPr>
          <w:rFonts w:hint="cs"/>
          <w:b/>
          <w:bCs/>
          <w:rtl/>
        </w:rPr>
      </w:pPr>
    </w:p>
    <w:p w14:paraId="68FAAC25" w14:textId="77777777" w:rsidR="00912FCC" w:rsidRDefault="00912FCC" w:rsidP="00912FCC">
      <w:pPr>
        <w:numPr>
          <w:ilvl w:val="0"/>
          <w:numId w:val="3"/>
        </w:numPr>
        <w:ind w:right="0"/>
        <w:rPr>
          <w:rFonts w:hint="cs"/>
          <w:rtl/>
        </w:rPr>
      </w:pPr>
      <w:r>
        <w:rPr>
          <w:rFonts w:hint="cs"/>
          <w:rtl/>
        </w:rPr>
        <w:t>אין חולק,</w:t>
      </w:r>
      <w:r>
        <w:rPr>
          <w:rFonts w:hint="cs"/>
        </w:rPr>
        <w:t xml:space="preserve"> </w:t>
      </w:r>
      <w:r>
        <w:rPr>
          <w:rFonts w:hint="cs"/>
          <w:rtl/>
        </w:rPr>
        <w:t>והנאשם אינו טוען אחרת,</w:t>
      </w:r>
      <w:r>
        <w:rPr>
          <w:rFonts w:hint="cs"/>
        </w:rPr>
        <w:t xml:space="preserve"> </w:t>
      </w:r>
      <w:r>
        <w:rPr>
          <w:rFonts w:hint="cs"/>
          <w:rtl/>
        </w:rPr>
        <w:t>שלא שאל את המתלונן האם הוא מסכים למעשים.</w:t>
      </w:r>
      <w:r>
        <w:rPr>
          <w:rFonts w:hint="cs"/>
        </w:rPr>
        <w:t xml:space="preserve"> </w:t>
      </w:r>
      <w:r>
        <w:rPr>
          <w:rFonts w:hint="cs"/>
          <w:rtl/>
        </w:rPr>
        <w:t>מניין אם כך הסיק את הסכמתו של המתלונן לאקט?</w:t>
      </w:r>
      <w:r>
        <w:rPr>
          <w:rFonts w:hint="cs"/>
        </w:rPr>
        <w:t xml:space="preserve"> </w:t>
      </w:r>
      <w:r>
        <w:rPr>
          <w:rFonts w:hint="cs"/>
          <w:rtl/>
        </w:rPr>
        <w:t>הנאשם וסנגורו ניסו לטעון כי המתלונן הוא הומוסקסואל,</w:t>
      </w:r>
      <w:r>
        <w:rPr>
          <w:rFonts w:hint="cs"/>
        </w:rPr>
        <w:t xml:space="preserve"> </w:t>
      </w:r>
      <w:r>
        <w:rPr>
          <w:rFonts w:hint="cs"/>
          <w:rtl/>
        </w:rPr>
        <w:t>ולכן,</w:t>
      </w:r>
      <w:r>
        <w:rPr>
          <w:rFonts w:hint="cs"/>
        </w:rPr>
        <w:t xml:space="preserve"> </w:t>
      </w:r>
      <w:r>
        <w:rPr>
          <w:rFonts w:hint="cs"/>
          <w:rtl/>
        </w:rPr>
        <w:t>רצה בכך,</w:t>
      </w:r>
      <w:r>
        <w:rPr>
          <w:rFonts w:hint="cs"/>
        </w:rPr>
        <w:t xml:space="preserve"> </w:t>
      </w:r>
      <w:r>
        <w:rPr>
          <w:rFonts w:hint="cs"/>
          <w:rtl/>
        </w:rPr>
        <w:t>ולחילופין,</w:t>
      </w:r>
      <w:r>
        <w:rPr>
          <w:rFonts w:hint="cs"/>
        </w:rPr>
        <w:t xml:space="preserve"> </w:t>
      </w:r>
      <w:r>
        <w:rPr>
          <w:rFonts w:hint="cs"/>
          <w:rtl/>
        </w:rPr>
        <w:t>כי בהיות המתלונן הומוסקסואל,</w:t>
      </w:r>
      <w:r>
        <w:rPr>
          <w:rFonts w:hint="cs"/>
        </w:rPr>
        <w:t xml:space="preserve"> </w:t>
      </w:r>
      <w:r>
        <w:rPr>
          <w:rFonts w:hint="cs"/>
          <w:rtl/>
        </w:rPr>
        <w:t>טעה הנאשם בכנות וסבירות להאמין כי הוא חפץ בכך.</w:t>
      </w:r>
      <w:r>
        <w:rPr>
          <w:rFonts w:hint="cs"/>
        </w:rPr>
        <w:t xml:space="preserve"> </w:t>
      </w:r>
      <w:r>
        <w:rPr>
          <w:rFonts w:hint="cs"/>
          <w:rtl/>
        </w:rPr>
        <w:t>איני מקבלת  טענות אלה</w:t>
      </w:r>
      <w:r>
        <w:t>.</w:t>
      </w:r>
    </w:p>
    <w:p w14:paraId="73AB06F7" w14:textId="77777777" w:rsidR="00912FCC" w:rsidRDefault="00912FCC">
      <w:pPr>
        <w:ind w:left="360"/>
        <w:rPr>
          <w:rtl/>
        </w:rPr>
      </w:pPr>
    </w:p>
    <w:p w14:paraId="033737C8" w14:textId="77777777" w:rsidR="00912FCC" w:rsidRDefault="00912FCC" w:rsidP="00912FCC">
      <w:pPr>
        <w:numPr>
          <w:ilvl w:val="0"/>
          <w:numId w:val="3"/>
        </w:numPr>
        <w:ind w:right="0"/>
        <w:rPr>
          <w:rFonts w:hint="cs"/>
          <w:rtl/>
        </w:rPr>
      </w:pPr>
      <w:r>
        <w:rPr>
          <w:rFonts w:hint="cs"/>
          <w:rtl/>
        </w:rPr>
        <w:t>עובדתית לא הוכח כי מדובר בנער הומוסקסואל,</w:t>
      </w:r>
      <w:r>
        <w:rPr>
          <w:rFonts w:hint="cs"/>
        </w:rPr>
        <w:t xml:space="preserve"> </w:t>
      </w:r>
      <w:r>
        <w:rPr>
          <w:rFonts w:hint="cs"/>
          <w:rtl/>
        </w:rPr>
        <w:t>וגם אם היה מוכח,</w:t>
      </w:r>
      <w:r>
        <w:rPr>
          <w:rFonts w:hint="cs"/>
        </w:rPr>
        <w:t xml:space="preserve"> </w:t>
      </w:r>
      <w:r>
        <w:rPr>
          <w:rFonts w:hint="cs"/>
          <w:rtl/>
        </w:rPr>
        <w:t>לא יעלה על הדעת להניח הסכמה למגע מיני עם גבר אחר,</w:t>
      </w:r>
      <w:r>
        <w:rPr>
          <w:rFonts w:hint="cs"/>
        </w:rPr>
        <w:t xml:space="preserve"> </w:t>
      </w:r>
      <w:r>
        <w:rPr>
          <w:rFonts w:hint="cs"/>
          <w:rtl/>
        </w:rPr>
        <w:t>רק בשל עובדה זו</w:t>
      </w:r>
      <w:r>
        <w:t xml:space="preserve">. </w:t>
      </w:r>
    </w:p>
    <w:p w14:paraId="7863A57B" w14:textId="77777777" w:rsidR="00912FCC" w:rsidRDefault="00912FCC">
      <w:pPr>
        <w:ind w:left="360"/>
        <w:rPr>
          <w:rtl/>
        </w:rPr>
      </w:pPr>
    </w:p>
    <w:p w14:paraId="21D057E0" w14:textId="77777777" w:rsidR="00912FCC" w:rsidRDefault="00912FCC" w:rsidP="00912FCC">
      <w:pPr>
        <w:numPr>
          <w:ilvl w:val="0"/>
          <w:numId w:val="3"/>
        </w:numPr>
        <w:ind w:right="0"/>
        <w:rPr>
          <w:rFonts w:hint="cs"/>
          <w:rtl/>
        </w:rPr>
      </w:pPr>
      <w:r>
        <w:rPr>
          <w:rFonts w:hint="cs"/>
          <w:rtl/>
        </w:rPr>
        <w:t>ב</w:t>
      </w:r>
      <w:r>
        <w:t>"</w:t>
      </w:r>
      <w:r>
        <w:rPr>
          <w:rFonts w:hint="cs"/>
          <w:rtl/>
        </w:rPr>
        <w:t>כ הנאשם ניסה לטעון, כי מעדותה של העובדת הסוציאלית עולה כי למתלונן היתה בעיה בזהותו המינית,</w:t>
      </w:r>
      <w:r>
        <w:rPr>
          <w:rFonts w:hint="cs"/>
        </w:rPr>
        <w:t xml:space="preserve"> </w:t>
      </w:r>
      <w:r>
        <w:rPr>
          <w:rFonts w:hint="cs"/>
          <w:rtl/>
        </w:rPr>
        <w:t>ומכך להסיק כי המתלונן הוא הומוסקסואל.</w:t>
      </w:r>
      <w:r>
        <w:rPr>
          <w:rFonts w:hint="cs"/>
        </w:rPr>
        <w:t xml:space="preserve"> </w:t>
      </w:r>
      <w:r>
        <w:rPr>
          <w:rFonts w:hint="cs"/>
          <w:rtl/>
        </w:rPr>
        <w:t>איני סבורה כך.</w:t>
      </w:r>
      <w:r>
        <w:rPr>
          <w:rFonts w:hint="cs"/>
        </w:rPr>
        <w:t xml:space="preserve"> </w:t>
      </w:r>
      <w:r>
        <w:rPr>
          <w:rFonts w:hint="cs"/>
          <w:rtl/>
        </w:rPr>
        <w:t>העובדת הסוציאלית העידה, כי בירור לגבי זהות מינית אמור היה להערך כדבר שבשגרה,</w:t>
      </w:r>
      <w:r>
        <w:rPr>
          <w:rFonts w:hint="cs"/>
        </w:rPr>
        <w:t xml:space="preserve"> </w:t>
      </w:r>
      <w:r>
        <w:rPr>
          <w:rFonts w:hint="cs"/>
          <w:rtl/>
        </w:rPr>
        <w:t>נוכח העדר דמות אב בחייו של המתלונן.</w:t>
      </w:r>
      <w:r>
        <w:rPr>
          <w:rFonts w:hint="cs"/>
        </w:rPr>
        <w:t xml:space="preserve"> </w:t>
      </w:r>
      <w:r>
        <w:rPr>
          <w:rFonts w:hint="cs"/>
          <w:rtl/>
        </w:rPr>
        <w:t>אך הנושא טרם עלה,</w:t>
      </w:r>
      <w:r>
        <w:rPr>
          <w:rFonts w:hint="cs"/>
        </w:rPr>
        <w:t xml:space="preserve"> </w:t>
      </w:r>
      <w:r>
        <w:rPr>
          <w:rFonts w:hint="cs"/>
          <w:rtl/>
        </w:rPr>
        <w:t>והיא עצמה לא התרשמה כי מדובר בנער הומוסקסואל</w:t>
      </w:r>
      <w:r>
        <w:t>.</w:t>
      </w:r>
    </w:p>
    <w:p w14:paraId="50C7DE0D" w14:textId="77777777" w:rsidR="00912FCC" w:rsidRDefault="00912FCC">
      <w:pPr>
        <w:ind w:left="360"/>
        <w:rPr>
          <w:rtl/>
        </w:rPr>
      </w:pPr>
    </w:p>
    <w:p w14:paraId="1E9E82F9" w14:textId="77777777" w:rsidR="00912FCC" w:rsidRDefault="00912FCC" w:rsidP="00912FCC">
      <w:pPr>
        <w:numPr>
          <w:ilvl w:val="0"/>
          <w:numId w:val="3"/>
        </w:numPr>
        <w:ind w:right="0"/>
        <w:rPr>
          <w:rFonts w:hint="cs"/>
          <w:rtl/>
        </w:rPr>
      </w:pPr>
      <w:r>
        <w:rPr>
          <w:rFonts w:hint="cs"/>
          <w:rtl/>
        </w:rPr>
        <w:t>אלא שאין זו בעיני הנקודה החשובה,</w:t>
      </w:r>
      <w:r>
        <w:rPr>
          <w:rFonts w:hint="cs"/>
        </w:rPr>
        <w:t xml:space="preserve"> </w:t>
      </w:r>
      <w:r>
        <w:rPr>
          <w:rFonts w:hint="cs"/>
          <w:rtl/>
        </w:rPr>
        <w:t>שכן גם אילו היה המתלונן הומוסקסואל,</w:t>
      </w:r>
      <w:r>
        <w:rPr>
          <w:rFonts w:hint="cs"/>
        </w:rPr>
        <w:t xml:space="preserve"> </w:t>
      </w:r>
      <w:r>
        <w:rPr>
          <w:rFonts w:hint="cs"/>
          <w:rtl/>
        </w:rPr>
        <w:t>לא ניתן להסיק מכך הסכמה מיידית לבצע אקטים מיניים עם הנאשם,</w:t>
      </w:r>
      <w:r>
        <w:rPr>
          <w:rFonts w:hint="cs"/>
        </w:rPr>
        <w:t xml:space="preserve"> </w:t>
      </w:r>
      <w:r>
        <w:rPr>
          <w:rFonts w:hint="cs"/>
          <w:rtl/>
        </w:rPr>
        <w:t>בדיוק כפי שלא ניתן להסיק כך ביחס לנערה הטרוסקסואלית בנסיבות דומות.</w:t>
      </w:r>
      <w:r>
        <w:rPr>
          <w:rFonts w:hint="cs"/>
        </w:rPr>
        <w:t xml:space="preserve"> </w:t>
      </w:r>
      <w:r>
        <w:rPr>
          <w:rFonts w:hint="cs"/>
          <w:rtl/>
        </w:rPr>
        <w:t>לפיכך,</w:t>
      </w:r>
      <w:r>
        <w:rPr>
          <w:rFonts w:hint="cs"/>
        </w:rPr>
        <w:t xml:space="preserve"> </w:t>
      </w:r>
      <w:r>
        <w:rPr>
          <w:rFonts w:hint="cs"/>
          <w:rtl/>
        </w:rPr>
        <w:t>טענת הטעות שהעלה הסנגור,</w:t>
      </w:r>
      <w:r>
        <w:rPr>
          <w:rFonts w:hint="cs"/>
        </w:rPr>
        <w:t xml:space="preserve"> </w:t>
      </w:r>
      <w:r>
        <w:rPr>
          <w:rFonts w:hint="cs"/>
          <w:rtl/>
        </w:rPr>
        <w:t>בגין סיבה זו דינה להדחות</w:t>
      </w:r>
      <w:r>
        <w:t>.</w:t>
      </w:r>
    </w:p>
    <w:p w14:paraId="421353AA" w14:textId="77777777" w:rsidR="00912FCC" w:rsidRDefault="00912FCC">
      <w:pPr>
        <w:ind w:left="360"/>
        <w:rPr>
          <w:rtl/>
        </w:rPr>
      </w:pPr>
    </w:p>
    <w:p w14:paraId="7A7D65FD" w14:textId="77777777" w:rsidR="00912FCC" w:rsidRDefault="00912FCC" w:rsidP="00912FCC">
      <w:pPr>
        <w:numPr>
          <w:ilvl w:val="0"/>
          <w:numId w:val="3"/>
        </w:numPr>
        <w:ind w:right="0"/>
        <w:rPr>
          <w:rFonts w:hint="cs"/>
          <w:rtl/>
        </w:rPr>
      </w:pPr>
      <w:r>
        <w:rPr>
          <w:rFonts w:hint="cs"/>
          <w:rtl/>
        </w:rPr>
        <w:t>יתכן כי הנאשם סבר כי המתלונן הוא הומוסקסואל,</w:t>
      </w:r>
      <w:r>
        <w:rPr>
          <w:rFonts w:hint="cs"/>
        </w:rPr>
        <w:t xml:space="preserve"> </w:t>
      </w:r>
      <w:r>
        <w:rPr>
          <w:rFonts w:hint="cs"/>
          <w:rtl/>
        </w:rPr>
        <w:t>ולכן יזם את המעשה.</w:t>
      </w:r>
      <w:r>
        <w:rPr>
          <w:rFonts w:hint="cs"/>
        </w:rPr>
        <w:t xml:space="preserve"> </w:t>
      </w:r>
      <w:r>
        <w:rPr>
          <w:rFonts w:hint="cs"/>
          <w:rtl/>
        </w:rPr>
        <w:t>יתכן גם שסבר כי בהיותו נער הומוסקסואל יחפוץ בו בכל מקרה.</w:t>
      </w:r>
      <w:r>
        <w:rPr>
          <w:rFonts w:hint="cs"/>
        </w:rPr>
        <w:t xml:space="preserve"> </w:t>
      </w:r>
      <w:r>
        <w:rPr>
          <w:rFonts w:hint="cs"/>
          <w:rtl/>
        </w:rPr>
        <w:t>אלא שאין די בכך כדי להפוך את טעותו,</w:t>
      </w:r>
      <w:r>
        <w:rPr>
          <w:rFonts w:hint="cs"/>
        </w:rPr>
        <w:t xml:space="preserve"> </w:t>
      </w:r>
      <w:r>
        <w:rPr>
          <w:rFonts w:hint="cs"/>
          <w:rtl/>
        </w:rPr>
        <w:t>באם היתה כזו,</w:t>
      </w:r>
      <w:r>
        <w:rPr>
          <w:rFonts w:hint="cs"/>
        </w:rPr>
        <w:t xml:space="preserve"> </w:t>
      </w:r>
      <w:r>
        <w:rPr>
          <w:rFonts w:hint="cs"/>
          <w:rtl/>
        </w:rPr>
        <w:t>לסבירה בנסיבות העניין</w:t>
      </w:r>
      <w:r>
        <w:t>.</w:t>
      </w:r>
    </w:p>
    <w:p w14:paraId="37BE94D2" w14:textId="77777777" w:rsidR="00912FCC" w:rsidRDefault="00912FCC">
      <w:pPr>
        <w:ind w:left="360"/>
        <w:rPr>
          <w:rtl/>
        </w:rPr>
      </w:pPr>
    </w:p>
    <w:p w14:paraId="25600426" w14:textId="77777777" w:rsidR="00912FCC" w:rsidRDefault="00912FCC" w:rsidP="00912FCC">
      <w:pPr>
        <w:numPr>
          <w:ilvl w:val="0"/>
          <w:numId w:val="3"/>
        </w:numPr>
        <w:ind w:right="0"/>
        <w:rPr>
          <w:rFonts w:hint="cs"/>
          <w:rtl/>
        </w:rPr>
      </w:pPr>
      <w:r>
        <w:rPr>
          <w:rFonts w:hint="cs"/>
          <w:rtl/>
        </w:rPr>
        <w:t>אילו רצה הנאשם להראות כי המתלונן הסכים,</w:t>
      </w:r>
      <w:r>
        <w:rPr>
          <w:rFonts w:hint="cs"/>
        </w:rPr>
        <w:t xml:space="preserve"> </w:t>
      </w:r>
      <w:r>
        <w:rPr>
          <w:rFonts w:hint="cs"/>
          <w:rtl/>
        </w:rPr>
        <w:t>היה עליו לפרט כיצד הבין או הניח כי קיימת הסכמה שכזו. הנאשם לא עשה כך,</w:t>
      </w:r>
      <w:r>
        <w:rPr>
          <w:rFonts w:hint="cs"/>
        </w:rPr>
        <w:t xml:space="preserve"> </w:t>
      </w:r>
      <w:r>
        <w:rPr>
          <w:rFonts w:hint="cs"/>
          <w:rtl/>
        </w:rPr>
        <w:t>למעט בגרסתו הכבושה והדמיונית,</w:t>
      </w:r>
      <w:r>
        <w:rPr>
          <w:rFonts w:hint="cs"/>
        </w:rPr>
        <w:t xml:space="preserve"> </w:t>
      </w:r>
      <w:r>
        <w:rPr>
          <w:rFonts w:hint="cs"/>
          <w:rtl/>
        </w:rPr>
        <w:t>שנשמעה בחקירתו הנגדית,</w:t>
      </w:r>
      <w:r>
        <w:rPr>
          <w:rFonts w:hint="cs"/>
        </w:rPr>
        <w:t xml:space="preserve"> </w:t>
      </w:r>
      <w:r>
        <w:rPr>
          <w:rFonts w:hint="cs"/>
          <w:rtl/>
        </w:rPr>
        <w:t>ואותה דחיתי מכל וכל</w:t>
      </w:r>
      <w:r>
        <w:t xml:space="preserve">. </w:t>
      </w:r>
    </w:p>
    <w:p w14:paraId="6F8BE0B2" w14:textId="77777777" w:rsidR="00912FCC" w:rsidRDefault="00912FCC">
      <w:pPr>
        <w:ind w:left="360"/>
        <w:rPr>
          <w:rtl/>
        </w:rPr>
      </w:pPr>
    </w:p>
    <w:p w14:paraId="64380406" w14:textId="77777777" w:rsidR="00912FCC" w:rsidRDefault="00912FCC" w:rsidP="00912FCC">
      <w:pPr>
        <w:numPr>
          <w:ilvl w:val="0"/>
          <w:numId w:val="3"/>
        </w:numPr>
        <w:ind w:right="0"/>
        <w:rPr>
          <w:rFonts w:hint="cs"/>
          <w:rtl/>
        </w:rPr>
      </w:pPr>
      <w:r>
        <w:rPr>
          <w:rFonts w:hint="cs"/>
          <w:rtl/>
        </w:rPr>
        <w:t>טוען ב</w:t>
      </w:r>
      <w:r>
        <w:t>"</w:t>
      </w:r>
      <w:r>
        <w:rPr>
          <w:rFonts w:hint="cs"/>
          <w:rtl/>
        </w:rPr>
        <w:t>כ הנאשם כי חזרת המתלונן לבית הנאשם לאחר האירוע הראשון,</w:t>
      </w:r>
      <w:r>
        <w:rPr>
          <w:rFonts w:hint="cs"/>
        </w:rPr>
        <w:t xml:space="preserve"> </w:t>
      </w:r>
      <w:r>
        <w:rPr>
          <w:rFonts w:hint="cs"/>
          <w:rtl/>
        </w:rPr>
        <w:t>מלמדת על הסכמתו.</w:t>
      </w:r>
      <w:r>
        <w:rPr>
          <w:rFonts w:hint="cs"/>
        </w:rPr>
        <w:t xml:space="preserve"> </w:t>
      </w:r>
      <w:r>
        <w:rPr>
          <w:rFonts w:hint="cs"/>
          <w:rtl/>
        </w:rPr>
        <w:t>גם אופן התנהגותו בדירה,</w:t>
      </w:r>
      <w:r>
        <w:rPr>
          <w:rFonts w:hint="cs"/>
        </w:rPr>
        <w:t xml:space="preserve"> </w:t>
      </w:r>
      <w:r>
        <w:rPr>
          <w:rFonts w:hint="cs"/>
          <w:rtl/>
        </w:rPr>
        <w:t>העובדה שלא קם וביקש ללכת,</w:t>
      </w:r>
      <w:r>
        <w:rPr>
          <w:rFonts w:hint="cs"/>
        </w:rPr>
        <w:t xml:space="preserve"> </w:t>
      </w:r>
      <w:r>
        <w:rPr>
          <w:rFonts w:hint="cs"/>
          <w:rtl/>
        </w:rPr>
        <w:t>אלא לאחר חמש דקות מהמעשה,</w:t>
      </w:r>
      <w:r>
        <w:rPr>
          <w:rFonts w:hint="cs"/>
        </w:rPr>
        <w:t xml:space="preserve"> </w:t>
      </w:r>
      <w:r>
        <w:rPr>
          <w:rFonts w:hint="cs"/>
          <w:rtl/>
        </w:rPr>
        <w:t>מלמדת על כך שלא פחד.</w:t>
      </w:r>
      <w:r>
        <w:rPr>
          <w:rFonts w:hint="cs"/>
        </w:rPr>
        <w:t xml:space="preserve"> </w:t>
      </w:r>
      <w:r>
        <w:rPr>
          <w:rFonts w:hint="cs"/>
          <w:rtl/>
        </w:rPr>
        <w:t>שואל ב</w:t>
      </w:r>
      <w:r>
        <w:t>"</w:t>
      </w:r>
      <w:r>
        <w:rPr>
          <w:rFonts w:hint="cs"/>
          <w:rtl/>
        </w:rPr>
        <w:t>כ הנאשם גם,</w:t>
      </w:r>
      <w:r>
        <w:rPr>
          <w:rFonts w:hint="cs"/>
        </w:rPr>
        <w:t xml:space="preserve"> </w:t>
      </w:r>
      <w:r>
        <w:rPr>
          <w:rFonts w:hint="cs"/>
          <w:rtl/>
        </w:rPr>
        <w:t>מדוע לאחר שהניח הנאשם את ידו על ברכו של המתלונן,</w:t>
      </w:r>
      <w:r>
        <w:rPr>
          <w:rFonts w:hint="cs"/>
        </w:rPr>
        <w:t xml:space="preserve"> </w:t>
      </w:r>
      <w:r>
        <w:rPr>
          <w:rFonts w:hint="cs"/>
          <w:rtl/>
        </w:rPr>
        <w:t>המשיך המתלונן לשבת על הספה, ולא הלך, האם אין בכך ביטוי של הסכמה?</w:t>
      </w:r>
    </w:p>
    <w:p w14:paraId="53FF41A8" w14:textId="77777777" w:rsidR="00912FCC" w:rsidRDefault="00912FCC">
      <w:pPr>
        <w:ind w:left="360"/>
        <w:rPr>
          <w:rtl/>
        </w:rPr>
      </w:pPr>
    </w:p>
    <w:p w14:paraId="02869DF4" w14:textId="77777777" w:rsidR="00912FCC" w:rsidRDefault="00912FCC" w:rsidP="00912FCC">
      <w:pPr>
        <w:numPr>
          <w:ilvl w:val="0"/>
          <w:numId w:val="3"/>
        </w:numPr>
        <w:ind w:right="0"/>
        <w:rPr>
          <w:rFonts w:hint="cs"/>
          <w:rtl/>
        </w:rPr>
      </w:pPr>
      <w:r>
        <w:rPr>
          <w:rFonts w:hint="cs"/>
          <w:rtl/>
        </w:rPr>
        <w:t>איני סבורה כי יש בכך כדי ללמד על הסכמה.</w:t>
      </w:r>
      <w:r>
        <w:rPr>
          <w:rFonts w:hint="cs"/>
        </w:rPr>
        <w:t xml:space="preserve"> </w:t>
      </w:r>
      <w:r>
        <w:rPr>
          <w:rFonts w:hint="cs"/>
          <w:rtl/>
        </w:rPr>
        <w:t>העובדה שאדם משתהה ואינו עוזב מיד את מקום האירוע בו נעשה בו מעשה מיני, אינה יוצאת דופן,</w:t>
      </w:r>
      <w:r>
        <w:rPr>
          <w:rFonts w:hint="cs"/>
        </w:rPr>
        <w:t xml:space="preserve"> </w:t>
      </w:r>
      <w:r>
        <w:rPr>
          <w:rFonts w:hint="cs"/>
          <w:rtl/>
        </w:rPr>
        <w:t>ונובעת מניסיון הקורבן להחזיר לעצמו שליטה על המצב.</w:t>
      </w:r>
      <w:r>
        <w:rPr>
          <w:rFonts w:hint="cs"/>
        </w:rPr>
        <w:t xml:space="preserve"> </w:t>
      </w:r>
      <w:r>
        <w:rPr>
          <w:rFonts w:hint="cs"/>
          <w:rtl/>
        </w:rPr>
        <w:t>כך גם המשך שהייתו של המתלונן בבית,</w:t>
      </w:r>
      <w:r>
        <w:rPr>
          <w:rFonts w:hint="cs"/>
        </w:rPr>
        <w:t xml:space="preserve"> </w:t>
      </w:r>
      <w:r>
        <w:rPr>
          <w:rFonts w:hint="cs"/>
          <w:rtl/>
        </w:rPr>
        <w:t>לאחר שהנאשם הניח את ידו על ברכו,</w:t>
      </w:r>
      <w:r>
        <w:rPr>
          <w:rFonts w:hint="cs"/>
        </w:rPr>
        <w:t xml:space="preserve"> </w:t>
      </w:r>
      <w:r>
        <w:rPr>
          <w:rFonts w:hint="cs"/>
          <w:rtl/>
        </w:rPr>
        <w:t>והוא הוריד אותה ממנה</w:t>
      </w:r>
      <w:r>
        <w:t>.</w:t>
      </w:r>
      <w:r>
        <w:rPr>
          <w:rFonts w:hint="cs"/>
          <w:rtl/>
        </w:rPr>
        <w:t xml:space="preserve"> עצם הורדת היד מברכו, מאותת לנאשם כי אין כאן הסכמה, וכי אינו רשאי להמשיך לעשות דבר, גם אם המתלונן נשאר בבית ולא הלך.</w:t>
      </w:r>
    </w:p>
    <w:p w14:paraId="01665DE8" w14:textId="77777777" w:rsidR="00912FCC" w:rsidRDefault="00912FCC">
      <w:pPr>
        <w:ind w:left="360"/>
        <w:rPr>
          <w:rtl/>
        </w:rPr>
      </w:pPr>
    </w:p>
    <w:p w14:paraId="4F2D2C9A" w14:textId="77777777" w:rsidR="00912FCC" w:rsidRDefault="00912FCC" w:rsidP="00912FCC">
      <w:pPr>
        <w:numPr>
          <w:ilvl w:val="0"/>
          <w:numId w:val="3"/>
        </w:numPr>
        <w:ind w:right="0"/>
        <w:rPr>
          <w:rFonts w:hint="cs"/>
          <w:rtl/>
        </w:rPr>
      </w:pPr>
      <w:r>
        <w:rPr>
          <w:rFonts w:hint="cs"/>
          <w:rtl/>
        </w:rPr>
        <w:t>גם המניע לחזור ולבקר את הנאשם, הוברר, והוא הסם שסיפק הנאשם למתלונן בביקוריו. יש לזכור גם כי בעת הביקור נכחה אשת הנאשם בבית, כך שהחשש מפני שהייה לבד עם הנאשם התפוגג.</w:t>
      </w:r>
    </w:p>
    <w:p w14:paraId="1314FDF0" w14:textId="77777777" w:rsidR="00912FCC" w:rsidRDefault="00912FCC">
      <w:pPr>
        <w:ind w:left="360"/>
        <w:rPr>
          <w:rtl/>
        </w:rPr>
      </w:pPr>
    </w:p>
    <w:p w14:paraId="275E996F" w14:textId="77777777" w:rsidR="00912FCC" w:rsidRDefault="00912FCC" w:rsidP="00912FCC">
      <w:pPr>
        <w:numPr>
          <w:ilvl w:val="0"/>
          <w:numId w:val="3"/>
        </w:numPr>
        <w:ind w:right="0"/>
        <w:rPr>
          <w:rtl/>
        </w:rPr>
      </w:pPr>
      <w:r>
        <w:rPr>
          <w:rFonts w:hint="cs"/>
          <w:rtl/>
        </w:rPr>
        <w:t>אתייחס עתה לטענה נוספת של הסנגור,</w:t>
      </w:r>
      <w:r>
        <w:rPr>
          <w:rFonts w:hint="cs"/>
        </w:rPr>
        <w:t xml:space="preserve"> </w:t>
      </w:r>
      <w:r>
        <w:rPr>
          <w:rFonts w:hint="cs"/>
          <w:rtl/>
        </w:rPr>
        <w:t>לפיה העובדה שהנאשם שאל את המתלונן אם הוא רוצה מציצה,</w:t>
      </w:r>
      <w:r>
        <w:rPr>
          <w:rFonts w:hint="cs"/>
        </w:rPr>
        <w:t xml:space="preserve"> </w:t>
      </w:r>
      <w:r>
        <w:rPr>
          <w:rFonts w:hint="cs"/>
          <w:rtl/>
        </w:rPr>
        <w:t>מלמדת על כך שלא התכוון לעשות שום דבר בכח,</w:t>
      </w:r>
      <w:r>
        <w:rPr>
          <w:rFonts w:hint="cs"/>
        </w:rPr>
        <w:t xml:space="preserve"> </w:t>
      </w:r>
      <w:r>
        <w:rPr>
          <w:rFonts w:hint="cs"/>
          <w:rtl/>
        </w:rPr>
        <w:t>ולכן מוכיחה כי גם המעשה הקודם נעשה בהסכמת המתלונן.</w:t>
      </w:r>
      <w:r>
        <w:rPr>
          <w:rFonts w:hint="cs"/>
        </w:rPr>
        <w:t xml:space="preserve"> </w:t>
      </w:r>
      <w:r>
        <w:rPr>
          <w:rFonts w:hint="cs"/>
          <w:rtl/>
        </w:rPr>
        <w:t>איני מקבלת טענה זו.</w:t>
      </w:r>
      <w:r>
        <w:rPr>
          <w:rFonts w:hint="cs"/>
        </w:rPr>
        <w:t xml:space="preserve"> </w:t>
      </w:r>
      <w:r>
        <w:rPr>
          <w:rFonts w:hint="cs"/>
          <w:rtl/>
        </w:rPr>
        <w:t>למעשה, אם יש בשאלה כדי ללמד על הלך רוחו של הנאשם,</w:t>
      </w:r>
      <w:r>
        <w:rPr>
          <w:rFonts w:hint="cs"/>
        </w:rPr>
        <w:t xml:space="preserve"> </w:t>
      </w:r>
      <w:r>
        <w:rPr>
          <w:rFonts w:hint="cs"/>
          <w:rtl/>
        </w:rPr>
        <w:t>יש בתשובה ללמד על הלך רוחו של המתלונן,</w:t>
      </w:r>
      <w:r>
        <w:rPr>
          <w:rFonts w:hint="cs"/>
        </w:rPr>
        <w:t xml:space="preserve"> </w:t>
      </w:r>
      <w:r>
        <w:rPr>
          <w:rFonts w:hint="cs"/>
          <w:rtl/>
        </w:rPr>
        <w:t>דהיינו,</w:t>
      </w:r>
      <w:r>
        <w:rPr>
          <w:rFonts w:hint="cs"/>
        </w:rPr>
        <w:t xml:space="preserve"> </w:t>
      </w:r>
      <w:r>
        <w:rPr>
          <w:rFonts w:hint="cs"/>
          <w:rtl/>
        </w:rPr>
        <w:t>אי רצון לקשר מיני עם הנאשם</w:t>
      </w:r>
      <w:r>
        <w:t>.</w:t>
      </w:r>
    </w:p>
    <w:p w14:paraId="73310878" w14:textId="77777777" w:rsidR="00912FCC" w:rsidRDefault="00912FCC">
      <w:pPr>
        <w:ind w:left="360"/>
        <w:rPr>
          <w:rtl/>
        </w:rPr>
      </w:pPr>
    </w:p>
    <w:p w14:paraId="3B1ED8EF" w14:textId="77777777" w:rsidR="00912FCC" w:rsidRDefault="00912FCC" w:rsidP="00912FCC">
      <w:pPr>
        <w:numPr>
          <w:ilvl w:val="0"/>
          <w:numId w:val="3"/>
        </w:numPr>
        <w:ind w:right="0"/>
        <w:rPr>
          <w:rFonts w:hint="cs"/>
          <w:rtl/>
        </w:rPr>
      </w:pPr>
      <w:r>
        <w:rPr>
          <w:rFonts w:hint="cs"/>
          <w:rtl/>
        </w:rPr>
        <w:t>יש לברך על כך שהנאשם התעשת והבין כי עליו לשאול בטרם הוא מבצע מעשה מיני באדם אחר, אלא שהיה עליו לשאול את המתלונן,</w:t>
      </w:r>
      <w:r>
        <w:rPr>
          <w:rFonts w:hint="cs"/>
        </w:rPr>
        <w:t xml:space="preserve"> </w:t>
      </w:r>
      <w:r>
        <w:rPr>
          <w:rFonts w:hint="cs"/>
          <w:rtl/>
        </w:rPr>
        <w:t>גם בטרם פתח את מכנסיו,</w:t>
      </w:r>
      <w:r>
        <w:rPr>
          <w:rFonts w:hint="cs"/>
        </w:rPr>
        <w:t xml:space="preserve"> </w:t>
      </w:r>
      <w:r>
        <w:rPr>
          <w:rFonts w:hint="cs"/>
          <w:rtl/>
        </w:rPr>
        <w:t>ונגע בו,</w:t>
      </w:r>
      <w:r>
        <w:rPr>
          <w:rFonts w:hint="cs"/>
        </w:rPr>
        <w:t xml:space="preserve"> </w:t>
      </w:r>
      <w:r>
        <w:rPr>
          <w:rFonts w:hint="cs"/>
          <w:rtl/>
        </w:rPr>
        <w:t>ובהעדר הסכמה מראש,</w:t>
      </w:r>
      <w:r>
        <w:rPr>
          <w:rFonts w:hint="cs"/>
        </w:rPr>
        <w:t xml:space="preserve"> </w:t>
      </w:r>
      <w:r>
        <w:rPr>
          <w:rFonts w:hint="cs"/>
          <w:rtl/>
        </w:rPr>
        <w:t>לקח על עצמו הנאשם את הסיכון כי אין הסכמה שכזו</w:t>
      </w:r>
      <w:r>
        <w:t>.</w:t>
      </w:r>
    </w:p>
    <w:p w14:paraId="29750DAF" w14:textId="77777777" w:rsidR="00912FCC" w:rsidRDefault="00912FCC">
      <w:pPr>
        <w:ind w:left="360"/>
        <w:rPr>
          <w:rtl/>
        </w:rPr>
      </w:pPr>
    </w:p>
    <w:p w14:paraId="0A9AC9A5" w14:textId="77777777" w:rsidR="00912FCC" w:rsidRDefault="00912FCC" w:rsidP="00912FCC">
      <w:pPr>
        <w:numPr>
          <w:ilvl w:val="0"/>
          <w:numId w:val="3"/>
        </w:numPr>
        <w:ind w:right="0"/>
        <w:rPr>
          <w:rFonts w:hint="cs"/>
          <w:rtl/>
        </w:rPr>
      </w:pPr>
      <w:r>
        <w:rPr>
          <w:rFonts w:hint="cs"/>
          <w:rtl/>
        </w:rPr>
        <w:t>מקובלת עלי טענת הנאשם לפיה לא התכוון להכריח את המתלונן בכח לעשות משהו שלא חפץ בו,</w:t>
      </w:r>
      <w:r>
        <w:rPr>
          <w:rFonts w:hint="cs"/>
        </w:rPr>
        <w:t xml:space="preserve"> </w:t>
      </w:r>
      <w:r>
        <w:rPr>
          <w:rFonts w:hint="cs"/>
          <w:rtl/>
        </w:rPr>
        <w:t>ולכן גם אינו מואשם במעשה מגונה בכח.</w:t>
      </w:r>
      <w:r>
        <w:rPr>
          <w:rFonts w:hint="cs"/>
        </w:rPr>
        <w:t xml:space="preserve"> </w:t>
      </w:r>
      <w:r>
        <w:rPr>
          <w:rFonts w:hint="cs"/>
          <w:rtl/>
        </w:rPr>
        <w:t>אלא שגם מעשה מגונה,</w:t>
      </w:r>
      <w:r>
        <w:rPr>
          <w:rFonts w:hint="cs"/>
        </w:rPr>
        <w:t xml:space="preserve"> </w:t>
      </w:r>
      <w:r>
        <w:rPr>
          <w:rFonts w:hint="cs"/>
          <w:rtl/>
        </w:rPr>
        <w:t>שלא בכח,</w:t>
      </w:r>
      <w:r>
        <w:rPr>
          <w:rFonts w:hint="cs"/>
        </w:rPr>
        <w:t xml:space="preserve"> </w:t>
      </w:r>
      <w:r>
        <w:rPr>
          <w:rFonts w:hint="cs"/>
          <w:rtl/>
        </w:rPr>
        <w:t>אך שאינו לרוחו של הצד השני,</w:t>
      </w:r>
      <w:r>
        <w:rPr>
          <w:rFonts w:hint="cs"/>
        </w:rPr>
        <w:t xml:space="preserve"> </w:t>
      </w:r>
      <w:r>
        <w:rPr>
          <w:rFonts w:hint="cs"/>
          <w:rtl/>
        </w:rPr>
        <w:t>הוא מעשה אסור,</w:t>
      </w:r>
      <w:r>
        <w:rPr>
          <w:rFonts w:hint="cs"/>
        </w:rPr>
        <w:t xml:space="preserve"> </w:t>
      </w:r>
      <w:r>
        <w:rPr>
          <w:rFonts w:hint="cs"/>
          <w:rtl/>
        </w:rPr>
        <w:t>ושעה שלא קיבל הנאשם את הסכמתו של המתלונן לנגיעה בגופו,</w:t>
      </w:r>
      <w:r>
        <w:rPr>
          <w:rFonts w:hint="cs"/>
        </w:rPr>
        <w:t xml:space="preserve"> </w:t>
      </w:r>
      <w:r>
        <w:rPr>
          <w:rFonts w:hint="cs"/>
          <w:rtl/>
        </w:rPr>
        <w:t>אסור היה לו לעשות כן.</w:t>
      </w:r>
      <w:r>
        <w:rPr>
          <w:rFonts w:hint="cs"/>
        </w:rPr>
        <w:t xml:space="preserve"> </w:t>
      </w:r>
      <w:r>
        <w:rPr>
          <w:rFonts w:hint="cs"/>
          <w:rtl/>
        </w:rPr>
        <w:t>בהיות המתלונן נער בן 16</w:t>
      </w:r>
      <w:r>
        <w:rPr>
          <w:rFonts w:hint="cs"/>
        </w:rPr>
        <w:t xml:space="preserve"> </w:t>
      </w:r>
      <w:r>
        <w:rPr>
          <w:rFonts w:hint="cs"/>
          <w:rtl/>
        </w:rPr>
        <w:t>ונוכח הפרש הגילאים בין השניים,</w:t>
      </w:r>
      <w:r>
        <w:rPr>
          <w:rFonts w:hint="cs"/>
        </w:rPr>
        <w:t xml:space="preserve"> </w:t>
      </w:r>
      <w:r>
        <w:rPr>
          <w:rFonts w:hint="cs"/>
          <w:rtl/>
        </w:rPr>
        <w:t>חייב היה הנאשם לנהוג משנה זהירות בנושא ההסכמה,</w:t>
      </w:r>
      <w:r>
        <w:rPr>
          <w:rFonts w:hint="cs"/>
        </w:rPr>
        <w:t xml:space="preserve"> </w:t>
      </w:r>
      <w:r>
        <w:rPr>
          <w:rFonts w:hint="cs"/>
          <w:rtl/>
        </w:rPr>
        <w:t>אף יותר משהיה נוהג עם אדם מבוגר</w:t>
      </w:r>
      <w:r>
        <w:t>.</w:t>
      </w:r>
    </w:p>
    <w:p w14:paraId="6F3674F6" w14:textId="77777777" w:rsidR="00912FCC" w:rsidRDefault="00912FCC">
      <w:pPr>
        <w:ind w:left="360"/>
        <w:rPr>
          <w:rtl/>
        </w:rPr>
      </w:pPr>
    </w:p>
    <w:p w14:paraId="17320026" w14:textId="77777777" w:rsidR="00912FCC" w:rsidRDefault="00912FCC" w:rsidP="00912FCC">
      <w:pPr>
        <w:numPr>
          <w:ilvl w:val="0"/>
          <w:numId w:val="3"/>
        </w:numPr>
        <w:ind w:right="0"/>
        <w:rPr>
          <w:rFonts w:hint="cs"/>
          <w:rtl/>
        </w:rPr>
      </w:pPr>
      <w:r>
        <w:rPr>
          <w:rFonts w:hint="cs"/>
          <w:rtl/>
        </w:rPr>
        <w:t>אשר על כן,</w:t>
      </w:r>
      <w:r>
        <w:rPr>
          <w:rFonts w:hint="cs"/>
        </w:rPr>
        <w:t xml:space="preserve"> </w:t>
      </w:r>
      <w:r>
        <w:rPr>
          <w:rFonts w:hint="cs"/>
          <w:rtl/>
        </w:rPr>
        <w:t>קבעתי כי אני מעדיפה את גרסתו של המתלונן על גרסת הנאשם,</w:t>
      </w:r>
      <w:r>
        <w:rPr>
          <w:rFonts w:hint="cs"/>
        </w:rPr>
        <w:t xml:space="preserve"> </w:t>
      </w:r>
      <w:r>
        <w:rPr>
          <w:rFonts w:hint="cs"/>
          <w:rtl/>
        </w:rPr>
        <w:t>בכל הנוגע להעדר הסכמת המתלונן לנגיעות בו.</w:t>
      </w:r>
      <w:r>
        <w:rPr>
          <w:rFonts w:hint="cs"/>
        </w:rPr>
        <w:t xml:space="preserve"> </w:t>
      </w:r>
      <w:r>
        <w:rPr>
          <w:rFonts w:hint="cs"/>
          <w:rtl/>
        </w:rPr>
        <w:t>אני דוחה הן את גרסתו המאוחרת של הנאשם,</w:t>
      </w:r>
      <w:r>
        <w:rPr>
          <w:rFonts w:hint="cs"/>
        </w:rPr>
        <w:t xml:space="preserve"> </w:t>
      </w:r>
      <w:r>
        <w:rPr>
          <w:rFonts w:hint="cs"/>
          <w:rtl/>
        </w:rPr>
        <w:t>לפיה המתלונן השתתף באופן פעיל במעשה המיני,</w:t>
      </w:r>
      <w:r>
        <w:rPr>
          <w:rFonts w:hint="cs"/>
        </w:rPr>
        <w:t xml:space="preserve"> </w:t>
      </w:r>
      <w:r>
        <w:rPr>
          <w:rFonts w:hint="cs"/>
          <w:rtl/>
        </w:rPr>
        <w:t>בהיותה גרסה כה כבושה,</w:t>
      </w:r>
      <w:r>
        <w:rPr>
          <w:rFonts w:hint="cs"/>
        </w:rPr>
        <w:t xml:space="preserve"> </w:t>
      </w:r>
      <w:r>
        <w:rPr>
          <w:rFonts w:hint="cs"/>
          <w:rtl/>
        </w:rPr>
        <w:t>עד כי ברור כי הומצאה למטרה אחת בלבד.</w:t>
      </w:r>
    </w:p>
    <w:p w14:paraId="743C722A" w14:textId="77777777" w:rsidR="00912FCC" w:rsidRDefault="00912FCC">
      <w:pPr>
        <w:ind w:left="360"/>
        <w:rPr>
          <w:rtl/>
        </w:rPr>
      </w:pPr>
    </w:p>
    <w:p w14:paraId="4DF4B695" w14:textId="77777777" w:rsidR="00912FCC" w:rsidRDefault="00912FCC" w:rsidP="00912FCC">
      <w:pPr>
        <w:numPr>
          <w:ilvl w:val="0"/>
          <w:numId w:val="3"/>
        </w:numPr>
        <w:ind w:right="0"/>
        <w:rPr>
          <w:rFonts w:hint="cs"/>
          <w:rtl/>
        </w:rPr>
      </w:pPr>
      <w:r>
        <w:rPr>
          <w:rFonts w:hint="cs"/>
          <w:rtl/>
        </w:rPr>
        <w:t>אני קובעת כי המתלונן לא הסכים למעשה,</w:t>
      </w:r>
      <w:r>
        <w:rPr>
          <w:rFonts w:hint="cs"/>
        </w:rPr>
        <w:t xml:space="preserve"> </w:t>
      </w:r>
      <w:r>
        <w:rPr>
          <w:rFonts w:hint="cs"/>
          <w:rtl/>
        </w:rPr>
        <w:t>וכי לא היתה לנאשם כל סיבה להאמין כי המתלונן מסכים לכך.</w:t>
      </w:r>
      <w:r>
        <w:rPr>
          <w:rFonts w:hint="cs"/>
        </w:rPr>
        <w:t xml:space="preserve"> </w:t>
      </w:r>
      <w:r>
        <w:rPr>
          <w:rFonts w:hint="cs"/>
          <w:rtl/>
        </w:rPr>
        <w:t xml:space="preserve">נהפוך הוא, כאשר הוריד המתלונן את ידו של הנאשם מברכו, היה על הנאשם לדעת כי המתלונן מסרב לכל מגע. </w:t>
      </w:r>
    </w:p>
    <w:p w14:paraId="400D5FC0" w14:textId="77777777" w:rsidR="00912FCC" w:rsidRDefault="00912FCC">
      <w:pPr>
        <w:rPr>
          <w:rtl/>
        </w:rPr>
      </w:pPr>
    </w:p>
    <w:p w14:paraId="5C1F189F" w14:textId="77777777" w:rsidR="00912FCC" w:rsidRDefault="00912FCC" w:rsidP="00912FCC">
      <w:pPr>
        <w:numPr>
          <w:ilvl w:val="0"/>
          <w:numId w:val="3"/>
        </w:numPr>
        <w:ind w:right="0"/>
        <w:rPr>
          <w:rFonts w:hint="cs"/>
          <w:rtl/>
        </w:rPr>
      </w:pPr>
      <w:r>
        <w:rPr>
          <w:rFonts w:hint="cs"/>
          <w:rtl/>
        </w:rPr>
        <w:t>לפיכך,</w:t>
      </w:r>
      <w:r>
        <w:rPr>
          <w:rFonts w:hint="cs"/>
        </w:rPr>
        <w:t xml:space="preserve"> </w:t>
      </w:r>
      <w:r>
        <w:rPr>
          <w:rFonts w:hint="cs"/>
          <w:rtl/>
        </w:rPr>
        <w:t xml:space="preserve"> בגין האירוע השני, אני מרשיעה אותו בעבירה של מעשה מגונה, כמיוחס לו בכתב האישום.  אני מזכה אותו מחמת הספק מביצוע המעשה המגונה נשוא האירוע הראשון,</w:t>
      </w:r>
      <w:r>
        <w:rPr>
          <w:rFonts w:hint="cs"/>
        </w:rPr>
        <w:t xml:space="preserve"> </w:t>
      </w:r>
      <w:r>
        <w:rPr>
          <w:rFonts w:hint="cs"/>
          <w:rtl/>
        </w:rPr>
        <w:t xml:space="preserve">ומרשיעה אותו בעבירה של אספקת סם מסוכן לקטין לפי </w:t>
      </w:r>
      <w:hyperlink r:id="rId25" w:history="1">
        <w:r w:rsidR="00681E84" w:rsidRPr="00681E84">
          <w:rPr>
            <w:rStyle w:val="Hyperlink"/>
            <w:rFonts w:hint="eastAsia"/>
            <w:rtl/>
          </w:rPr>
          <w:t>סעיף</w:t>
        </w:r>
        <w:r w:rsidR="00681E84" w:rsidRPr="00681E84">
          <w:rPr>
            <w:rStyle w:val="Hyperlink"/>
            <w:rtl/>
          </w:rPr>
          <w:t xml:space="preserve"> 21  (א) (1)</w:t>
        </w:r>
      </w:hyperlink>
      <w:r>
        <w:rPr>
          <w:rFonts w:hint="cs"/>
          <w:rtl/>
        </w:rPr>
        <w:t xml:space="preserve"> לפקודת הסמים.</w:t>
      </w:r>
    </w:p>
    <w:p w14:paraId="30007DBB" w14:textId="77777777" w:rsidR="00912FCC" w:rsidRDefault="00912FCC">
      <w:pPr>
        <w:ind w:left="360" w:firstLine="360"/>
        <w:rPr>
          <w:u w:val="single"/>
          <w:rtl/>
        </w:rPr>
      </w:pPr>
    </w:p>
    <w:p w14:paraId="1DE42CFA" w14:textId="77777777" w:rsidR="00912FCC" w:rsidRDefault="00912FCC">
      <w:pPr>
        <w:ind w:left="360" w:firstLine="360"/>
        <w:rPr>
          <w:rFonts w:hint="cs"/>
          <w:u w:val="single"/>
          <w:rtl/>
        </w:rPr>
      </w:pPr>
      <w:r>
        <w:rPr>
          <w:rFonts w:hint="cs"/>
          <w:u w:val="single"/>
          <w:rtl/>
        </w:rPr>
        <w:t>העבירות כלפי הקטין א</w:t>
      </w:r>
      <w:r>
        <w:rPr>
          <w:u w:val="single"/>
        </w:rPr>
        <w:t>.</w:t>
      </w:r>
      <w:r>
        <w:rPr>
          <w:rFonts w:hint="cs"/>
          <w:u w:val="single"/>
          <w:rtl/>
        </w:rPr>
        <w:t>א</w:t>
      </w:r>
    </w:p>
    <w:p w14:paraId="559E3595" w14:textId="77777777" w:rsidR="00912FCC" w:rsidRDefault="00912FCC" w:rsidP="00912FCC">
      <w:pPr>
        <w:numPr>
          <w:ilvl w:val="0"/>
          <w:numId w:val="3"/>
        </w:numPr>
        <w:ind w:right="0"/>
        <w:rPr>
          <w:rtl/>
        </w:rPr>
      </w:pPr>
      <w:r>
        <w:rPr>
          <w:rFonts w:hint="cs"/>
          <w:rtl/>
        </w:rPr>
        <w:t>הנאשם מואשם בנגיעה בברכו של הקטין,</w:t>
      </w:r>
      <w:r>
        <w:rPr>
          <w:rFonts w:hint="cs"/>
        </w:rPr>
        <w:t xml:space="preserve"> </w:t>
      </w:r>
      <w:r>
        <w:rPr>
          <w:rFonts w:hint="cs"/>
          <w:rtl/>
        </w:rPr>
        <w:t>ואמירה: "לא בא לך לזיין איזה בחורה"?</w:t>
      </w:r>
    </w:p>
    <w:p w14:paraId="317A68E6" w14:textId="77777777" w:rsidR="00912FCC" w:rsidRDefault="00912FCC">
      <w:pPr>
        <w:ind w:left="360"/>
        <w:rPr>
          <w:rtl/>
        </w:rPr>
      </w:pPr>
    </w:p>
    <w:p w14:paraId="40171C3E" w14:textId="77777777" w:rsidR="00912FCC" w:rsidRDefault="00912FCC" w:rsidP="00912FCC">
      <w:pPr>
        <w:numPr>
          <w:ilvl w:val="0"/>
          <w:numId w:val="3"/>
        </w:numPr>
        <w:ind w:right="0"/>
        <w:rPr>
          <w:rFonts w:hint="cs"/>
          <w:rtl/>
        </w:rPr>
      </w:pPr>
      <w:r>
        <w:rPr>
          <w:rFonts w:hint="cs"/>
          <w:rtl/>
        </w:rPr>
        <w:t>הנאשם כפר באמירה המיוחסת לו,</w:t>
      </w:r>
      <w:r>
        <w:rPr>
          <w:rFonts w:hint="cs"/>
        </w:rPr>
        <w:t xml:space="preserve"> </w:t>
      </w:r>
      <w:r>
        <w:rPr>
          <w:rFonts w:hint="cs"/>
          <w:rtl/>
        </w:rPr>
        <w:t>וטען כי טפח על ברכו של הקטין,</w:t>
      </w:r>
      <w:r>
        <w:rPr>
          <w:rFonts w:hint="cs"/>
        </w:rPr>
        <w:t xml:space="preserve"> </w:t>
      </w:r>
      <w:r>
        <w:rPr>
          <w:rFonts w:hint="cs"/>
          <w:rtl/>
        </w:rPr>
        <w:t>ולא לשם גירוי סיפוק או ביזוי מיניים.</w:t>
      </w:r>
    </w:p>
    <w:p w14:paraId="51A34473" w14:textId="77777777" w:rsidR="00912FCC" w:rsidRDefault="00912FCC">
      <w:pPr>
        <w:ind w:left="360"/>
        <w:rPr>
          <w:rtl/>
        </w:rPr>
      </w:pPr>
    </w:p>
    <w:p w14:paraId="7F85C604" w14:textId="77777777" w:rsidR="00912FCC" w:rsidRDefault="00912FCC" w:rsidP="00912FCC">
      <w:pPr>
        <w:numPr>
          <w:ilvl w:val="0"/>
          <w:numId w:val="3"/>
        </w:numPr>
        <w:ind w:right="0"/>
        <w:rPr>
          <w:rFonts w:hint="cs"/>
          <w:rtl/>
        </w:rPr>
      </w:pPr>
      <w:r>
        <w:rPr>
          <w:rFonts w:hint="cs"/>
          <w:rtl/>
        </w:rPr>
        <w:t>הקטין א</w:t>
      </w:r>
      <w:r>
        <w:t>.</w:t>
      </w:r>
      <w:r>
        <w:rPr>
          <w:rFonts w:hint="cs"/>
          <w:rtl/>
        </w:rPr>
        <w:t>א הוכרז כעד עויין,</w:t>
      </w:r>
      <w:r>
        <w:rPr>
          <w:rFonts w:hint="cs"/>
        </w:rPr>
        <w:t xml:space="preserve"> </w:t>
      </w:r>
      <w:r>
        <w:rPr>
          <w:rFonts w:hint="cs"/>
          <w:rtl/>
        </w:rPr>
        <w:t>נחקר בחקירה נגדית,</w:t>
      </w:r>
      <w:r>
        <w:rPr>
          <w:rFonts w:hint="cs"/>
        </w:rPr>
        <w:t xml:space="preserve"> </w:t>
      </w:r>
      <w:r>
        <w:rPr>
          <w:rFonts w:hint="cs"/>
          <w:rtl/>
        </w:rPr>
        <w:t>והודעתו במשטרה הוגשה בהסכמה.</w:t>
      </w:r>
      <w:r>
        <w:rPr>
          <w:rFonts w:hint="cs"/>
        </w:rPr>
        <w:t xml:space="preserve"> </w:t>
      </w:r>
      <w:r>
        <w:rPr>
          <w:rFonts w:hint="cs"/>
          <w:rtl/>
        </w:rPr>
        <w:t>בחקירתו הנגדית עמד על כך שהנאשם רק טפח על ברכו,</w:t>
      </w:r>
      <w:r>
        <w:rPr>
          <w:rFonts w:hint="cs"/>
        </w:rPr>
        <w:t xml:space="preserve"> </w:t>
      </w:r>
      <w:r>
        <w:rPr>
          <w:rFonts w:hint="cs"/>
          <w:rtl/>
        </w:rPr>
        <w:t>ולא אמר את הדברים המיוחסים לו.</w:t>
      </w:r>
    </w:p>
    <w:p w14:paraId="4A0A8A47" w14:textId="77777777" w:rsidR="00912FCC" w:rsidRDefault="00912FCC">
      <w:pPr>
        <w:ind w:left="360"/>
        <w:rPr>
          <w:rtl/>
        </w:rPr>
      </w:pPr>
    </w:p>
    <w:p w14:paraId="1167A554" w14:textId="77777777" w:rsidR="00912FCC" w:rsidRDefault="00912FCC" w:rsidP="00912FCC">
      <w:pPr>
        <w:numPr>
          <w:ilvl w:val="0"/>
          <w:numId w:val="3"/>
        </w:numPr>
        <w:ind w:right="0"/>
        <w:rPr>
          <w:rFonts w:hint="cs"/>
          <w:rtl/>
        </w:rPr>
      </w:pPr>
      <w:r>
        <w:rPr>
          <w:rFonts w:hint="cs"/>
          <w:rtl/>
        </w:rPr>
        <w:t>הנאשם לא עומת עם טענה זו במהלך חקירותיו במשטרה,</w:t>
      </w:r>
      <w:r>
        <w:rPr>
          <w:rFonts w:hint="cs"/>
        </w:rPr>
        <w:t xml:space="preserve"> </w:t>
      </w:r>
      <w:r>
        <w:rPr>
          <w:rFonts w:hint="cs"/>
          <w:rtl/>
        </w:rPr>
        <w:t>למעט נושא הנגיעה באופן כללי,</w:t>
      </w:r>
      <w:r>
        <w:rPr>
          <w:rFonts w:hint="cs"/>
        </w:rPr>
        <w:t xml:space="preserve"> </w:t>
      </w:r>
      <w:r>
        <w:rPr>
          <w:rFonts w:hint="cs"/>
          <w:rtl/>
        </w:rPr>
        <w:t>ולא בעניין האמירה,</w:t>
      </w:r>
      <w:r>
        <w:rPr>
          <w:rFonts w:hint="cs"/>
        </w:rPr>
        <w:t xml:space="preserve"> </w:t>
      </w:r>
      <w:r>
        <w:rPr>
          <w:rFonts w:hint="cs"/>
          <w:rtl/>
        </w:rPr>
        <w:t>ואף לא נחקר בעניין זה בחקירה נגדית,</w:t>
      </w:r>
      <w:r>
        <w:rPr>
          <w:rFonts w:hint="cs"/>
        </w:rPr>
        <w:t xml:space="preserve"> </w:t>
      </w:r>
      <w:r>
        <w:rPr>
          <w:rFonts w:hint="cs"/>
          <w:rtl/>
        </w:rPr>
        <w:t>ולכן אין כל חיזוק לאותה אמירה המיוחסת לו.</w:t>
      </w:r>
    </w:p>
    <w:p w14:paraId="503E51B2" w14:textId="77777777" w:rsidR="00912FCC" w:rsidRDefault="00912FCC">
      <w:pPr>
        <w:ind w:left="360"/>
        <w:rPr>
          <w:rtl/>
        </w:rPr>
      </w:pPr>
    </w:p>
    <w:p w14:paraId="01D0ECC3" w14:textId="77777777" w:rsidR="00912FCC" w:rsidRDefault="00912FCC" w:rsidP="00912FCC">
      <w:pPr>
        <w:numPr>
          <w:ilvl w:val="0"/>
          <w:numId w:val="3"/>
        </w:numPr>
        <w:ind w:right="0"/>
        <w:rPr>
          <w:rFonts w:hint="cs"/>
          <w:rtl/>
        </w:rPr>
      </w:pPr>
      <w:r>
        <w:rPr>
          <w:rFonts w:hint="cs"/>
          <w:rtl/>
        </w:rPr>
        <w:t>מעבר לכך הטפיחה כשלעצמה אינה מצביעה בהכרח על רקע מיני.</w:t>
      </w:r>
    </w:p>
    <w:p w14:paraId="4717B92D" w14:textId="77777777" w:rsidR="00912FCC" w:rsidRDefault="00912FCC">
      <w:pPr>
        <w:ind w:left="360"/>
        <w:rPr>
          <w:rtl/>
        </w:rPr>
      </w:pPr>
    </w:p>
    <w:p w14:paraId="7427C000" w14:textId="77777777" w:rsidR="00912FCC" w:rsidRDefault="00912FCC" w:rsidP="00912FCC">
      <w:pPr>
        <w:numPr>
          <w:ilvl w:val="0"/>
          <w:numId w:val="3"/>
        </w:numPr>
        <w:ind w:right="0"/>
        <w:rPr>
          <w:rFonts w:hint="cs"/>
          <w:rtl/>
        </w:rPr>
      </w:pPr>
      <w:r>
        <w:rPr>
          <w:rFonts w:hint="cs"/>
          <w:rtl/>
        </w:rPr>
        <w:t>אשר על כן אני מזכה את הנאשם מעבירה זו</w:t>
      </w:r>
      <w:r>
        <w:t>.</w:t>
      </w:r>
    </w:p>
    <w:p w14:paraId="33FDA9E0" w14:textId="77777777" w:rsidR="00912FCC" w:rsidRDefault="00912FCC">
      <w:pPr>
        <w:ind w:left="360" w:firstLine="360"/>
        <w:rPr>
          <w:rFonts w:hint="cs"/>
          <w:rtl/>
        </w:rPr>
      </w:pPr>
    </w:p>
    <w:p w14:paraId="256AC32E" w14:textId="77777777" w:rsidR="00912FCC" w:rsidRDefault="00912FCC">
      <w:pPr>
        <w:ind w:left="360" w:firstLine="360"/>
        <w:rPr>
          <w:rFonts w:hint="cs"/>
          <w:u w:val="single"/>
          <w:rtl/>
        </w:rPr>
      </w:pPr>
      <w:r>
        <w:rPr>
          <w:rFonts w:hint="cs"/>
          <w:u w:val="single"/>
          <w:rtl/>
        </w:rPr>
        <w:t>העבירות כלפי הקטין מ</w:t>
      </w:r>
      <w:r>
        <w:rPr>
          <w:u w:val="single"/>
        </w:rPr>
        <w:t>.</w:t>
      </w:r>
      <w:r>
        <w:rPr>
          <w:rFonts w:hint="cs"/>
          <w:u w:val="single"/>
          <w:rtl/>
        </w:rPr>
        <w:t>מ</w:t>
      </w:r>
    </w:p>
    <w:p w14:paraId="0BCE7629" w14:textId="77777777" w:rsidR="00912FCC" w:rsidRDefault="00912FCC" w:rsidP="00912FCC">
      <w:pPr>
        <w:numPr>
          <w:ilvl w:val="0"/>
          <w:numId w:val="3"/>
        </w:numPr>
        <w:ind w:right="0"/>
        <w:rPr>
          <w:rtl/>
        </w:rPr>
      </w:pPr>
      <w:r>
        <w:rPr>
          <w:rFonts w:hint="cs"/>
          <w:rtl/>
        </w:rPr>
        <w:t>הנאשם הואשם בכך ששבועיים לפני ה- 9/11/05</w:t>
      </w:r>
      <w:r>
        <w:rPr>
          <w:rFonts w:hint="cs"/>
        </w:rPr>
        <w:t xml:space="preserve"> </w:t>
      </w:r>
      <w:r>
        <w:rPr>
          <w:rFonts w:hint="cs"/>
          <w:rtl/>
        </w:rPr>
        <w:t>סיפק למ</w:t>
      </w:r>
      <w:r>
        <w:t>.</w:t>
      </w:r>
      <w:r>
        <w:rPr>
          <w:rFonts w:hint="cs"/>
          <w:rtl/>
        </w:rPr>
        <w:t>מ, קטין יליד 1988,</w:t>
      </w:r>
      <w:r>
        <w:rPr>
          <w:rFonts w:hint="cs"/>
        </w:rPr>
        <w:t xml:space="preserve"> </w:t>
      </w:r>
      <w:r>
        <w:rPr>
          <w:rFonts w:hint="cs"/>
          <w:rtl/>
        </w:rPr>
        <w:t>סם מסוג קאנבוס לשימוש עצמי ועישן עימו את הסם.</w:t>
      </w:r>
    </w:p>
    <w:p w14:paraId="0A97AA16" w14:textId="77777777" w:rsidR="00912FCC" w:rsidRDefault="00912FCC">
      <w:pPr>
        <w:ind w:left="360"/>
        <w:rPr>
          <w:rtl/>
        </w:rPr>
      </w:pPr>
    </w:p>
    <w:p w14:paraId="7764C164" w14:textId="77777777" w:rsidR="00912FCC" w:rsidRDefault="00912FCC" w:rsidP="00912FCC">
      <w:pPr>
        <w:numPr>
          <w:ilvl w:val="0"/>
          <w:numId w:val="3"/>
        </w:numPr>
        <w:ind w:right="0"/>
        <w:rPr>
          <w:rFonts w:hint="cs"/>
          <w:rtl/>
        </w:rPr>
      </w:pPr>
      <w:r>
        <w:rPr>
          <w:rFonts w:hint="cs"/>
          <w:rtl/>
        </w:rPr>
        <w:t>הנאשם הודה כי עישן סם מסוג קאנבוס עם הקטין,</w:t>
      </w:r>
      <w:r>
        <w:rPr>
          <w:rFonts w:hint="cs"/>
        </w:rPr>
        <w:t xml:space="preserve"> </w:t>
      </w:r>
      <w:r>
        <w:rPr>
          <w:rFonts w:hint="cs"/>
          <w:rtl/>
        </w:rPr>
        <w:t>אך כפר בכך שסיפק לקטין את הסם,</w:t>
      </w:r>
      <w:r>
        <w:rPr>
          <w:rFonts w:hint="cs"/>
        </w:rPr>
        <w:t xml:space="preserve"> </w:t>
      </w:r>
      <w:r>
        <w:rPr>
          <w:rFonts w:hint="cs"/>
          <w:rtl/>
        </w:rPr>
        <w:t>וטען כי הסם הובא על ידי הקטין.</w:t>
      </w:r>
    </w:p>
    <w:p w14:paraId="6F5C0A64" w14:textId="77777777" w:rsidR="00912FCC" w:rsidRDefault="00912FCC">
      <w:pPr>
        <w:ind w:left="360"/>
        <w:rPr>
          <w:rtl/>
        </w:rPr>
      </w:pPr>
    </w:p>
    <w:p w14:paraId="3907A247" w14:textId="77777777" w:rsidR="00912FCC" w:rsidRDefault="00912FCC" w:rsidP="00912FCC">
      <w:pPr>
        <w:numPr>
          <w:ilvl w:val="0"/>
          <w:numId w:val="3"/>
        </w:numPr>
        <w:ind w:right="0"/>
        <w:rPr>
          <w:rFonts w:hint="cs"/>
          <w:rtl/>
        </w:rPr>
      </w:pPr>
      <w:r>
        <w:rPr>
          <w:rFonts w:hint="cs"/>
          <w:rtl/>
        </w:rPr>
        <w:t>גם בחקירתו במשטרה, ת/2, הודה הנאשם בשימוש המשותף עם הקטין,</w:t>
      </w:r>
      <w:r>
        <w:rPr>
          <w:rFonts w:hint="cs"/>
        </w:rPr>
        <w:t xml:space="preserve"> </w:t>
      </w:r>
      <w:r>
        <w:rPr>
          <w:rFonts w:hint="cs"/>
          <w:rtl/>
        </w:rPr>
        <w:t>שלא בביתו,</w:t>
      </w:r>
      <w:r>
        <w:rPr>
          <w:rFonts w:hint="cs"/>
        </w:rPr>
        <w:t xml:space="preserve"> </w:t>
      </w:r>
      <w:r>
        <w:rPr>
          <w:rFonts w:hint="cs"/>
          <w:rtl/>
        </w:rPr>
        <w:t>אך כפר בהספקה,</w:t>
      </w:r>
      <w:r>
        <w:rPr>
          <w:rFonts w:hint="cs"/>
        </w:rPr>
        <w:t xml:space="preserve"> </w:t>
      </w:r>
      <w:r>
        <w:rPr>
          <w:rFonts w:hint="cs"/>
          <w:rtl/>
        </w:rPr>
        <w:t>וטען כי הקטין הביא את הסם עימו.</w:t>
      </w:r>
    </w:p>
    <w:p w14:paraId="74E952AF" w14:textId="77777777" w:rsidR="00912FCC" w:rsidRDefault="00912FCC">
      <w:pPr>
        <w:rPr>
          <w:rtl/>
        </w:rPr>
      </w:pPr>
    </w:p>
    <w:p w14:paraId="3615FC0F" w14:textId="77777777" w:rsidR="00912FCC" w:rsidRDefault="00912FCC">
      <w:pPr>
        <w:ind w:left="360"/>
        <w:rPr>
          <w:rFonts w:hint="cs"/>
          <w:rtl/>
        </w:rPr>
      </w:pPr>
    </w:p>
    <w:p w14:paraId="0473A84A" w14:textId="77777777" w:rsidR="00912FCC" w:rsidRDefault="00912FCC" w:rsidP="00912FCC">
      <w:pPr>
        <w:numPr>
          <w:ilvl w:val="0"/>
          <w:numId w:val="3"/>
        </w:numPr>
        <w:ind w:right="0"/>
        <w:rPr>
          <w:rtl/>
        </w:rPr>
      </w:pPr>
      <w:r>
        <w:rPr>
          <w:rFonts w:hint="cs"/>
          <w:rtl/>
        </w:rPr>
        <w:t>הודעתו של הקטין הוגשה בהסכמה.</w:t>
      </w:r>
      <w:r>
        <w:rPr>
          <w:rFonts w:hint="cs"/>
        </w:rPr>
        <w:t xml:space="preserve"> </w:t>
      </w:r>
      <w:r>
        <w:rPr>
          <w:rFonts w:hint="cs"/>
          <w:rtl/>
        </w:rPr>
        <w:t>בהודעתו ת/11 מאשר הקטין כי עישן סמים עם הנאשם בביתו של נאשם,</w:t>
      </w:r>
      <w:r>
        <w:rPr>
          <w:rFonts w:hint="cs"/>
        </w:rPr>
        <w:t xml:space="preserve"> </w:t>
      </w:r>
      <w:r>
        <w:rPr>
          <w:rFonts w:hint="cs"/>
          <w:rtl/>
        </w:rPr>
        <w:t>פעם אחת.</w:t>
      </w:r>
      <w:r>
        <w:rPr>
          <w:rFonts w:hint="cs"/>
        </w:rPr>
        <w:t xml:space="preserve"> </w:t>
      </w:r>
      <w:r>
        <w:rPr>
          <w:rFonts w:hint="cs"/>
          <w:rtl/>
        </w:rPr>
        <w:t>הקטין לא זכר מי סיפק את הסמים,</w:t>
      </w:r>
      <w:r>
        <w:rPr>
          <w:rFonts w:hint="cs"/>
        </w:rPr>
        <w:t xml:space="preserve"> </w:t>
      </w:r>
      <w:r>
        <w:rPr>
          <w:rFonts w:hint="cs"/>
          <w:rtl/>
        </w:rPr>
        <w:t>או באילו סמים מדובר.</w:t>
      </w:r>
    </w:p>
    <w:p w14:paraId="640BD461" w14:textId="77777777" w:rsidR="00912FCC" w:rsidRDefault="00912FCC">
      <w:pPr>
        <w:ind w:left="360"/>
        <w:rPr>
          <w:rtl/>
        </w:rPr>
      </w:pPr>
    </w:p>
    <w:p w14:paraId="34DF819A" w14:textId="77777777" w:rsidR="00912FCC" w:rsidRDefault="00912FCC" w:rsidP="00912FCC">
      <w:pPr>
        <w:numPr>
          <w:ilvl w:val="0"/>
          <w:numId w:val="3"/>
        </w:numPr>
        <w:ind w:right="0"/>
        <w:rPr>
          <w:rFonts w:hint="cs"/>
          <w:rtl/>
        </w:rPr>
      </w:pPr>
      <w:r>
        <w:rPr>
          <w:rFonts w:hint="cs"/>
          <w:rtl/>
        </w:rPr>
        <w:t>הנאשם לא נחקר בעניין זה בבית המשפט לא בחקירה ראשית,</w:t>
      </w:r>
      <w:r>
        <w:rPr>
          <w:rFonts w:hint="cs"/>
        </w:rPr>
        <w:t xml:space="preserve"> </w:t>
      </w:r>
      <w:r>
        <w:rPr>
          <w:rFonts w:hint="cs"/>
          <w:rtl/>
        </w:rPr>
        <w:t>ולא בחקירה נגדית</w:t>
      </w:r>
      <w:r>
        <w:t>.</w:t>
      </w:r>
    </w:p>
    <w:p w14:paraId="7D7BCE27" w14:textId="77777777" w:rsidR="00912FCC" w:rsidRDefault="00912FCC">
      <w:pPr>
        <w:ind w:left="360"/>
        <w:rPr>
          <w:rtl/>
        </w:rPr>
      </w:pPr>
    </w:p>
    <w:p w14:paraId="11A0ACE0" w14:textId="77777777" w:rsidR="00912FCC" w:rsidRDefault="00912FCC" w:rsidP="00912FCC">
      <w:pPr>
        <w:numPr>
          <w:ilvl w:val="0"/>
          <w:numId w:val="3"/>
        </w:numPr>
        <w:ind w:right="0"/>
        <w:rPr>
          <w:rFonts w:hint="cs"/>
          <w:rtl/>
        </w:rPr>
      </w:pPr>
      <w:r>
        <w:rPr>
          <w:rFonts w:hint="cs"/>
          <w:rtl/>
        </w:rPr>
        <w:t>בהעדר כל ראיה לפיה הנאשם סיפק לקטין את הסם,</w:t>
      </w:r>
      <w:r>
        <w:rPr>
          <w:rFonts w:hint="cs"/>
        </w:rPr>
        <w:t xml:space="preserve"> </w:t>
      </w:r>
      <w:r>
        <w:rPr>
          <w:rFonts w:hint="cs"/>
          <w:rtl/>
        </w:rPr>
        <w:t>או שידל אותו להשתמש בו,</w:t>
      </w:r>
      <w:r>
        <w:rPr>
          <w:rFonts w:hint="cs"/>
        </w:rPr>
        <w:t xml:space="preserve"> </w:t>
      </w:r>
      <w:r>
        <w:rPr>
          <w:rFonts w:hint="cs"/>
          <w:rtl/>
        </w:rPr>
        <w:t xml:space="preserve">אין להרשיעו בעבירה לפי </w:t>
      </w:r>
      <w:hyperlink r:id="rId26" w:history="1">
        <w:r w:rsidR="00681E84" w:rsidRPr="00681E84">
          <w:rPr>
            <w:rStyle w:val="Hyperlink"/>
            <w:rFonts w:hint="eastAsia"/>
            <w:rtl/>
          </w:rPr>
          <w:t>סעיף</w:t>
        </w:r>
        <w:r w:rsidR="00681E84" w:rsidRPr="00681E84">
          <w:rPr>
            <w:rStyle w:val="Hyperlink"/>
            <w:rtl/>
          </w:rPr>
          <w:t xml:space="preserve"> 21</w:t>
        </w:r>
      </w:hyperlink>
      <w:r>
        <w:rPr>
          <w:rFonts w:hint="cs"/>
        </w:rPr>
        <w:t xml:space="preserve"> </w:t>
      </w:r>
      <w:r>
        <w:rPr>
          <w:rFonts w:hint="cs"/>
          <w:rtl/>
        </w:rPr>
        <w:t>לפקודת הסמים,</w:t>
      </w:r>
      <w:r>
        <w:rPr>
          <w:rFonts w:hint="cs"/>
        </w:rPr>
        <w:t xml:space="preserve"> </w:t>
      </w:r>
      <w:r>
        <w:rPr>
          <w:rFonts w:hint="cs"/>
          <w:rtl/>
        </w:rPr>
        <w:t xml:space="preserve">אלא רק בעבירה לפי </w:t>
      </w:r>
      <w:hyperlink r:id="rId27" w:history="1">
        <w:r w:rsidR="00681E84" w:rsidRPr="00681E84">
          <w:rPr>
            <w:color w:val="0000FF"/>
            <w:u w:val="single"/>
            <w:rtl/>
          </w:rPr>
          <w:t>סעיף 7 (א)(ג)</w:t>
        </w:r>
      </w:hyperlink>
      <w:r>
        <w:rPr>
          <w:rFonts w:hint="cs"/>
          <w:rtl/>
        </w:rPr>
        <w:t xml:space="preserve"> סיפא לפקודה,</w:t>
      </w:r>
      <w:r>
        <w:rPr>
          <w:rFonts w:hint="cs"/>
        </w:rPr>
        <w:t xml:space="preserve"> </w:t>
      </w:r>
      <w:r>
        <w:rPr>
          <w:rFonts w:hint="cs"/>
          <w:rtl/>
        </w:rPr>
        <w:t>וזאת על יסוד הודאתו.</w:t>
      </w:r>
    </w:p>
    <w:p w14:paraId="5C14C6D8" w14:textId="77777777" w:rsidR="00912FCC" w:rsidRDefault="00912FCC">
      <w:pPr>
        <w:ind w:left="360" w:firstLine="360"/>
        <w:rPr>
          <w:u w:val="single"/>
          <w:rtl/>
        </w:rPr>
      </w:pPr>
    </w:p>
    <w:p w14:paraId="241D3286" w14:textId="77777777" w:rsidR="00912FCC" w:rsidRDefault="00912FCC">
      <w:pPr>
        <w:ind w:left="360" w:firstLine="360"/>
        <w:rPr>
          <w:rFonts w:hint="cs"/>
          <w:u w:val="single"/>
          <w:rtl/>
        </w:rPr>
      </w:pPr>
      <w:r>
        <w:rPr>
          <w:rFonts w:hint="cs"/>
          <w:u w:val="single"/>
          <w:rtl/>
        </w:rPr>
        <w:t>עבירות הסמים ביחס לקטינים א</w:t>
      </w:r>
      <w:r>
        <w:rPr>
          <w:u w:val="single"/>
        </w:rPr>
        <w:t>.</w:t>
      </w:r>
      <w:r>
        <w:rPr>
          <w:rFonts w:hint="cs"/>
          <w:u w:val="single"/>
          <w:rtl/>
        </w:rPr>
        <w:t>א ו</w:t>
      </w:r>
      <w:r>
        <w:rPr>
          <w:u w:val="single"/>
        </w:rPr>
        <w:t>-</w:t>
      </w:r>
      <w:r>
        <w:rPr>
          <w:rFonts w:hint="cs"/>
          <w:u w:val="single"/>
          <w:rtl/>
        </w:rPr>
        <w:t>ו</w:t>
      </w:r>
      <w:r>
        <w:rPr>
          <w:u w:val="single"/>
        </w:rPr>
        <w:t>.</w:t>
      </w:r>
      <w:r>
        <w:rPr>
          <w:rFonts w:hint="cs"/>
          <w:u w:val="single"/>
          <w:rtl/>
        </w:rPr>
        <w:t>ד</w:t>
      </w:r>
    </w:p>
    <w:p w14:paraId="0F28014B" w14:textId="77777777" w:rsidR="00912FCC" w:rsidRDefault="00912FCC" w:rsidP="00912FCC">
      <w:pPr>
        <w:numPr>
          <w:ilvl w:val="0"/>
          <w:numId w:val="3"/>
        </w:numPr>
        <w:ind w:right="0"/>
        <w:rPr>
          <w:rtl/>
        </w:rPr>
      </w:pPr>
      <w:r>
        <w:rPr>
          <w:rFonts w:hint="cs"/>
          <w:rtl/>
        </w:rPr>
        <w:t>כתב האישום מייחס לנאשם 10 הזדמנויות במהלך החודשים 8/05-11/05 בהן סיפק לקטינים ילידי 1989 ו – 1990,</w:t>
      </w:r>
      <w:r>
        <w:rPr>
          <w:rFonts w:hint="cs"/>
        </w:rPr>
        <w:t xml:space="preserve"> </w:t>
      </w:r>
      <w:r>
        <w:rPr>
          <w:rFonts w:hint="cs"/>
          <w:rtl/>
        </w:rPr>
        <w:t>סם מסוג קאנבוס לשימוש עצמי,</w:t>
      </w:r>
      <w:r>
        <w:rPr>
          <w:rFonts w:hint="cs"/>
        </w:rPr>
        <w:t xml:space="preserve"> </w:t>
      </w:r>
      <w:r>
        <w:rPr>
          <w:rFonts w:hint="cs"/>
          <w:rtl/>
        </w:rPr>
        <w:t>ועישן עימם את הסם באמצעות באנג.</w:t>
      </w:r>
    </w:p>
    <w:p w14:paraId="0CC66015" w14:textId="77777777" w:rsidR="00912FCC" w:rsidRDefault="00912FCC">
      <w:pPr>
        <w:ind w:left="360"/>
        <w:rPr>
          <w:rtl/>
        </w:rPr>
      </w:pPr>
    </w:p>
    <w:p w14:paraId="3160C432" w14:textId="77777777" w:rsidR="00912FCC" w:rsidRDefault="00912FCC" w:rsidP="00912FCC">
      <w:pPr>
        <w:numPr>
          <w:ilvl w:val="0"/>
          <w:numId w:val="3"/>
        </w:numPr>
        <w:ind w:right="0"/>
        <w:rPr>
          <w:rFonts w:hint="cs"/>
          <w:rtl/>
        </w:rPr>
      </w:pPr>
      <w:r>
        <w:rPr>
          <w:rFonts w:hint="cs"/>
          <w:rtl/>
        </w:rPr>
        <w:t>הנאשם הודה כי עישן פעם אחת סם מסוג קאנבוס עם הקטינים הנ</w:t>
      </w:r>
      <w:r>
        <w:t>"</w:t>
      </w:r>
      <w:r>
        <w:rPr>
          <w:rFonts w:hint="cs"/>
          <w:rtl/>
        </w:rPr>
        <w:t>ל אך כפר בכך שסיפק לקטינים את הסם.</w:t>
      </w:r>
    </w:p>
    <w:p w14:paraId="68537F57" w14:textId="77777777" w:rsidR="00912FCC" w:rsidRDefault="00912FCC">
      <w:pPr>
        <w:rPr>
          <w:rtl/>
        </w:rPr>
      </w:pPr>
    </w:p>
    <w:p w14:paraId="664909E4" w14:textId="77777777" w:rsidR="00912FCC" w:rsidRDefault="00912FCC" w:rsidP="00912FCC">
      <w:pPr>
        <w:numPr>
          <w:ilvl w:val="0"/>
          <w:numId w:val="3"/>
        </w:numPr>
        <w:ind w:right="0"/>
        <w:rPr>
          <w:rFonts w:hint="cs"/>
          <w:b/>
          <w:bCs/>
          <w:rtl/>
        </w:rPr>
      </w:pPr>
      <w:r>
        <w:rPr>
          <w:rFonts w:hint="cs"/>
          <w:rtl/>
        </w:rPr>
        <w:t xml:space="preserve">בחקירתו במשטרה ת/1 הודה הנאשם כי  בהזדמנות אחת כאשר עבר דירה, והקטינים עזרו לו, נתן להם לעשן סמים איתו, בתמורה לעזרתם. לדבריו: </w:t>
      </w:r>
      <w:r>
        <w:rPr>
          <w:rFonts w:hint="cs"/>
          <w:b/>
          <w:bCs/>
          <w:rtl/>
        </w:rPr>
        <w:t>"...בפעם הראשונה שנכנסתי עם הציוד לבית והם עזרו לי להעביר את הציוד ולכן נתתי להם לעשן גראס כי אני עישנתי..."</w:t>
      </w:r>
      <w:r>
        <w:rPr>
          <w:rFonts w:hint="cs"/>
          <w:rtl/>
        </w:rPr>
        <w:t xml:space="preserve"> ובהמשך: </w:t>
      </w:r>
      <w:r>
        <w:rPr>
          <w:rFonts w:hint="cs"/>
          <w:b/>
          <w:bCs/>
          <w:rtl/>
        </w:rPr>
        <w:t>"אני לא הצעתי לנערים שעזרו לי להעביר את הדירה לעשן סמים. אלא עישנתי בעצמי והם ביקשו ואני נתתי להם לעשן מתוך רצון טוב ותגמול כי אין לי כסף לתת להם".</w:t>
      </w:r>
    </w:p>
    <w:p w14:paraId="1B0D4F24" w14:textId="77777777" w:rsidR="00912FCC" w:rsidRDefault="00912FCC" w:rsidP="00912FCC">
      <w:pPr>
        <w:numPr>
          <w:ilvl w:val="0"/>
          <w:numId w:val="3"/>
        </w:numPr>
        <w:ind w:right="0"/>
        <w:rPr>
          <w:rtl/>
        </w:rPr>
      </w:pPr>
      <w:r>
        <w:rPr>
          <w:rFonts w:hint="cs"/>
          <w:rtl/>
        </w:rPr>
        <w:t>בהודעות הקטינים א.א וו.ד, הם מספרים כי עישנו סמים אצל הנאשם וכי הנאשם הוא זה שסיפק את הסם.</w:t>
      </w:r>
    </w:p>
    <w:p w14:paraId="68A1CD5A" w14:textId="77777777" w:rsidR="00912FCC" w:rsidRDefault="00912FCC">
      <w:pPr>
        <w:rPr>
          <w:rtl/>
        </w:rPr>
      </w:pPr>
    </w:p>
    <w:p w14:paraId="224FD528" w14:textId="77777777" w:rsidR="00912FCC" w:rsidRDefault="00912FCC" w:rsidP="00912FCC">
      <w:pPr>
        <w:numPr>
          <w:ilvl w:val="0"/>
          <w:numId w:val="3"/>
        </w:numPr>
        <w:ind w:right="0"/>
        <w:rPr>
          <w:rFonts w:hint="cs"/>
          <w:rtl/>
        </w:rPr>
      </w:pPr>
      <w:r>
        <w:rPr>
          <w:rFonts w:hint="cs"/>
          <w:rtl/>
        </w:rPr>
        <w:t>בחקירתם בבית המשפט כפרו הקטינים בכך שהנאשם סיפק את הסם, וטענו כי אינם זוכרים מי סיפק את הסם. הקטינים הוכרזו עדים עויינים, הודעותיהם הוגשו כראיה. אציין כי שני הקטינים לא הותירו רושם מהימן על בית המשפט, ולא מסרו הסבר סביר, מדוע אמרו את מה שאמרו לגבי הנאשם שסיפק להם את הסמים, והסתבכו בשקרים.</w:t>
      </w:r>
    </w:p>
    <w:p w14:paraId="6BB122BD" w14:textId="77777777" w:rsidR="00912FCC" w:rsidRDefault="00912FCC">
      <w:pPr>
        <w:rPr>
          <w:rtl/>
        </w:rPr>
      </w:pPr>
    </w:p>
    <w:p w14:paraId="058EAA3E" w14:textId="77777777" w:rsidR="00912FCC" w:rsidRDefault="00912FCC" w:rsidP="00912FCC">
      <w:pPr>
        <w:numPr>
          <w:ilvl w:val="0"/>
          <w:numId w:val="3"/>
        </w:numPr>
        <w:ind w:right="0"/>
        <w:rPr>
          <w:rFonts w:hint="cs"/>
          <w:rtl/>
        </w:rPr>
      </w:pPr>
      <w:r>
        <w:rPr>
          <w:rFonts w:hint="cs"/>
          <w:rtl/>
        </w:rPr>
        <w:t>הנאשם עצמו אף הוא לא מסר כל הסבר מדוע אמר בהודייתו כי סיפק את הסם לקטינים, וחזר בו מאמירה זו. ההודעות כולן הוגשו בהסכמה, והנאשם לא  הסתייג מאמירה זו.</w:t>
      </w:r>
    </w:p>
    <w:p w14:paraId="4D25D07C" w14:textId="77777777" w:rsidR="00912FCC" w:rsidRDefault="00912FCC">
      <w:pPr>
        <w:rPr>
          <w:rtl/>
        </w:rPr>
      </w:pPr>
    </w:p>
    <w:p w14:paraId="3EBBF538" w14:textId="77777777" w:rsidR="00912FCC" w:rsidRDefault="00912FCC" w:rsidP="00912FCC">
      <w:pPr>
        <w:numPr>
          <w:ilvl w:val="0"/>
          <w:numId w:val="3"/>
        </w:numPr>
        <w:ind w:right="0"/>
        <w:rPr>
          <w:rFonts w:hint="cs"/>
          <w:rtl/>
        </w:rPr>
      </w:pPr>
      <w:r>
        <w:rPr>
          <w:rFonts w:hint="cs"/>
          <w:rtl/>
        </w:rPr>
        <w:t>נוכח הודיית החוץ של הנאשם, הנתמכת בשתי הודעות של הקטינים, קמה תשתית ראייתית מספקת להרשיע את הנאשם בעבירה אחת של הספקת סם לקטין, לפי</w:t>
      </w:r>
      <w:hyperlink r:id="rId28" w:history="1">
        <w:r w:rsidR="00681E84" w:rsidRPr="00681E84">
          <w:rPr>
            <w:color w:val="0000FF"/>
            <w:u w:val="single"/>
            <w:rtl/>
          </w:rPr>
          <w:t xml:space="preserve"> סעיף 21 (א) (1)</w:t>
        </w:r>
      </w:hyperlink>
      <w:r>
        <w:rPr>
          <w:rFonts w:hint="cs"/>
          <w:rtl/>
        </w:rPr>
        <w:t xml:space="preserve"> לפקודת הסמים.</w:t>
      </w:r>
    </w:p>
    <w:p w14:paraId="4BBB4CD2" w14:textId="77777777" w:rsidR="00912FCC" w:rsidRDefault="00912FCC">
      <w:pPr>
        <w:ind w:left="360"/>
        <w:rPr>
          <w:rtl/>
        </w:rPr>
      </w:pPr>
    </w:p>
    <w:p w14:paraId="6B7EE835" w14:textId="77777777" w:rsidR="00912FCC" w:rsidRDefault="00912FCC">
      <w:pPr>
        <w:pStyle w:val="Heading5"/>
        <w:rPr>
          <w:rFonts w:hint="cs"/>
          <w:b/>
          <w:bCs/>
          <w:sz w:val="20"/>
          <w:rtl/>
        </w:rPr>
      </w:pPr>
      <w:r>
        <w:rPr>
          <w:rFonts w:hint="cs"/>
          <w:b/>
          <w:bCs/>
          <w:sz w:val="20"/>
          <w:rtl/>
        </w:rPr>
        <w:t>החזקת כלים</w:t>
      </w:r>
    </w:p>
    <w:p w14:paraId="7E9F23E0" w14:textId="77777777" w:rsidR="00912FCC" w:rsidRDefault="00912FCC" w:rsidP="00912FCC">
      <w:pPr>
        <w:numPr>
          <w:ilvl w:val="0"/>
          <w:numId w:val="3"/>
        </w:numPr>
        <w:ind w:right="0"/>
        <w:rPr>
          <w:rFonts w:hint="cs"/>
          <w:sz w:val="26"/>
          <w:rtl/>
        </w:rPr>
      </w:pPr>
      <w:r>
        <w:rPr>
          <w:rFonts w:hint="cs"/>
          <w:rtl/>
        </w:rPr>
        <w:t>הנאשם הודה בעבירה של החזקת הכלים ועל כן אני מרשיעה אותו בעבירה זו.</w:t>
      </w:r>
    </w:p>
    <w:p w14:paraId="3A30347F" w14:textId="77777777" w:rsidR="00912FCC" w:rsidRDefault="00912FCC">
      <w:pPr>
        <w:ind w:left="360"/>
        <w:rPr>
          <w:sz w:val="26"/>
          <w:rtl/>
        </w:rPr>
      </w:pPr>
    </w:p>
    <w:p w14:paraId="665ACA2B" w14:textId="77777777" w:rsidR="00912FCC" w:rsidRDefault="00912FCC">
      <w:pPr>
        <w:pStyle w:val="Heading8"/>
        <w:rPr>
          <w:rtl/>
        </w:rPr>
      </w:pPr>
      <w:r>
        <w:rPr>
          <w:rFonts w:hint="cs"/>
          <w:rtl/>
        </w:rPr>
        <w:t>סיכום</w:t>
      </w:r>
    </w:p>
    <w:p w14:paraId="440AD240" w14:textId="77777777" w:rsidR="00912FCC" w:rsidRDefault="00912FCC" w:rsidP="00912FCC">
      <w:pPr>
        <w:numPr>
          <w:ilvl w:val="0"/>
          <w:numId w:val="3"/>
        </w:numPr>
        <w:ind w:right="0"/>
        <w:rPr>
          <w:sz w:val="26"/>
          <w:rtl/>
        </w:rPr>
      </w:pPr>
      <w:r>
        <w:rPr>
          <w:rFonts w:hint="cs"/>
          <w:rtl/>
        </w:rPr>
        <w:t xml:space="preserve">אשר על כן אני מרשיעה את הנאשם בעבירות של מעשה מגונה לפי </w:t>
      </w:r>
      <w:hyperlink r:id="rId29" w:history="1">
        <w:r w:rsidR="00681E84" w:rsidRPr="00681E84">
          <w:rPr>
            <w:color w:val="0000FF"/>
            <w:u w:val="single"/>
            <w:rtl/>
          </w:rPr>
          <w:t>סעיף 384(ג)</w:t>
        </w:r>
      </w:hyperlink>
      <w:r>
        <w:rPr>
          <w:rFonts w:hint="cs"/>
          <w:rtl/>
        </w:rPr>
        <w:t xml:space="preserve"> לחוק, </w:t>
      </w:r>
      <w:r>
        <w:rPr>
          <w:rFonts w:hint="cs"/>
          <w:sz w:val="26"/>
          <w:rtl/>
        </w:rPr>
        <w:t xml:space="preserve">החזקת סם מסוכן לצריכה עצמית לפי </w:t>
      </w:r>
      <w:hyperlink r:id="rId30" w:history="1">
        <w:r w:rsidR="00681E84" w:rsidRPr="00681E84">
          <w:rPr>
            <w:color w:val="0000FF"/>
            <w:sz w:val="26"/>
            <w:u w:val="single"/>
            <w:rtl/>
          </w:rPr>
          <w:t>סעיף 7 א (ג)</w:t>
        </w:r>
      </w:hyperlink>
      <w:r>
        <w:rPr>
          <w:rFonts w:hint="cs"/>
          <w:sz w:val="26"/>
          <w:rtl/>
        </w:rPr>
        <w:t xml:space="preserve"> סיפא לפקודת הסמים, הדחת קטין לסם מסוכן לפי </w:t>
      </w:r>
      <w:hyperlink r:id="rId31" w:history="1">
        <w:r w:rsidR="00681E84" w:rsidRPr="00681E84">
          <w:rPr>
            <w:color w:val="0000FF"/>
            <w:sz w:val="26"/>
            <w:u w:val="single"/>
            <w:rtl/>
          </w:rPr>
          <w:t>סעיף 21(א)(1)</w:t>
        </w:r>
      </w:hyperlink>
      <w:r>
        <w:rPr>
          <w:rFonts w:hint="cs"/>
          <w:sz w:val="26"/>
          <w:rtl/>
        </w:rPr>
        <w:t xml:space="preserve"> לפקודת הסמים (</w:t>
      </w:r>
      <w:r>
        <w:rPr>
          <w:sz w:val="26"/>
        </w:rPr>
        <w:t>X</w:t>
      </w:r>
      <w:r>
        <w:rPr>
          <w:rFonts w:hint="cs"/>
          <w:sz w:val="26"/>
          <w:rtl/>
        </w:rPr>
        <w:t xml:space="preserve">2), והחזקת כלים לעישון סמים, לפי </w:t>
      </w:r>
      <w:hyperlink r:id="rId32" w:history="1">
        <w:r w:rsidR="00681E84" w:rsidRPr="00681E84">
          <w:rPr>
            <w:color w:val="0000FF"/>
            <w:sz w:val="26"/>
            <w:u w:val="single"/>
            <w:rtl/>
          </w:rPr>
          <w:t>סעיף 10</w:t>
        </w:r>
      </w:hyperlink>
      <w:r>
        <w:rPr>
          <w:rFonts w:hint="cs"/>
          <w:sz w:val="26"/>
          <w:rtl/>
        </w:rPr>
        <w:t xml:space="preserve"> סיפא לפקודת הסמים.</w:t>
      </w:r>
    </w:p>
    <w:p w14:paraId="6E30BA0A" w14:textId="77777777" w:rsidR="00912FCC" w:rsidRDefault="00912FCC">
      <w:pPr>
        <w:ind w:left="360"/>
        <w:rPr>
          <w:sz w:val="26"/>
          <w:rtl/>
        </w:rPr>
      </w:pPr>
    </w:p>
    <w:p w14:paraId="5E5DF4D6" w14:textId="77777777" w:rsidR="00912FCC" w:rsidRDefault="00912FCC" w:rsidP="00912FCC">
      <w:pPr>
        <w:numPr>
          <w:ilvl w:val="0"/>
          <w:numId w:val="3"/>
        </w:numPr>
        <w:ind w:right="0"/>
        <w:rPr>
          <w:rtl/>
        </w:rPr>
      </w:pPr>
      <w:r>
        <w:t xml:space="preserve"> </w:t>
      </w:r>
      <w:r>
        <w:rPr>
          <w:rFonts w:hint="cs"/>
          <w:rtl/>
        </w:rPr>
        <w:t>אני מזכה את הנאשם מיתר העבירות בהן הואשם.</w:t>
      </w:r>
    </w:p>
    <w:p w14:paraId="5586A276" w14:textId="77777777" w:rsidR="00912FCC" w:rsidRDefault="00912FCC">
      <w:pPr>
        <w:rPr>
          <w:rFonts w:hint="cs"/>
          <w:b/>
          <w:bCs/>
          <w:color w:val="000000"/>
          <w:sz w:val="26"/>
          <w:rtl/>
        </w:rPr>
      </w:pPr>
    </w:p>
    <w:p w14:paraId="29137836" w14:textId="77777777" w:rsidR="00912FCC" w:rsidRDefault="00912FCC">
      <w:pPr>
        <w:rPr>
          <w:rFonts w:hint="cs"/>
          <w:b/>
          <w:bCs/>
          <w:color w:val="000000"/>
          <w:sz w:val="26"/>
          <w:rtl/>
        </w:rPr>
      </w:pPr>
      <w:r>
        <w:rPr>
          <w:rFonts w:hint="cs"/>
          <w:b/>
          <w:bCs/>
          <w:color w:val="000000"/>
          <w:sz w:val="26"/>
          <w:rtl/>
        </w:rPr>
        <w:t>ניתנה היום י"ג בתמוז, תשס"ו (9 ביולי 2006) במעמד הצדדים.</w:t>
      </w:r>
    </w:p>
    <w:p w14:paraId="6AF7864F" w14:textId="77777777" w:rsidR="00912FCC" w:rsidRDefault="00912FCC">
      <w:pPr>
        <w:rPr>
          <w:rFonts w:hint="cs"/>
          <w:rtl/>
        </w:rPr>
      </w:pPr>
      <w:r>
        <w:rPr>
          <w:rFonts w:hint="cs"/>
          <w:rtl/>
        </w:rPr>
        <w:t xml:space="preserve">                                                                                                                   </w:t>
      </w:r>
    </w:p>
    <w:tbl>
      <w:tblPr>
        <w:tblW w:w="0" w:type="auto"/>
        <w:tblInd w:w="6153" w:type="dxa"/>
        <w:tblBorders>
          <w:bottom w:val="single" w:sz="4" w:space="0" w:color="auto"/>
        </w:tblBorders>
        <w:tblLook w:val="0000" w:firstRow="0" w:lastRow="0" w:firstColumn="0" w:lastColumn="0" w:noHBand="0" w:noVBand="0"/>
      </w:tblPr>
      <w:tblGrid>
        <w:gridCol w:w="2376"/>
      </w:tblGrid>
      <w:tr w:rsidR="00912FCC" w14:paraId="0D502A5F" w14:textId="77777777">
        <w:tc>
          <w:tcPr>
            <w:tcW w:w="2376" w:type="dxa"/>
            <w:tcBorders>
              <w:top w:val="single" w:sz="4" w:space="0" w:color="auto"/>
              <w:left w:val="nil"/>
              <w:bottom w:val="nil"/>
              <w:right w:val="nil"/>
            </w:tcBorders>
          </w:tcPr>
          <w:p w14:paraId="34E8649C" w14:textId="77777777" w:rsidR="00912FCC" w:rsidRDefault="00912FCC">
            <w:pPr>
              <w:jc w:val="right"/>
              <w:rPr>
                <w:b/>
                <w:bCs/>
                <w:sz w:val="26"/>
              </w:rPr>
            </w:pPr>
            <w:r>
              <w:rPr>
                <w:rFonts w:hint="cs"/>
                <w:b/>
                <w:bCs/>
                <w:sz w:val="26"/>
                <w:rtl/>
              </w:rPr>
              <w:t xml:space="preserve">טלי חיימוביץ, שופטת  </w:t>
            </w:r>
          </w:p>
          <w:p w14:paraId="52687B54" w14:textId="77777777" w:rsidR="00912FCC" w:rsidRDefault="00912FCC">
            <w:pPr>
              <w:rPr>
                <w:b/>
                <w:bCs/>
                <w:sz w:val="26"/>
              </w:rPr>
            </w:pPr>
            <w:r>
              <w:rPr>
                <w:rFonts w:hint="cs"/>
                <w:b/>
                <w:bCs/>
                <w:sz w:val="26"/>
                <w:rtl/>
              </w:rPr>
              <w:t xml:space="preserve">         סגנית נשיא </w:t>
            </w:r>
          </w:p>
        </w:tc>
      </w:tr>
    </w:tbl>
    <w:p w14:paraId="577644B8" w14:textId="77777777" w:rsidR="00912FCC" w:rsidRDefault="00912FCC">
      <w:pPr>
        <w:jc w:val="left"/>
        <w:rPr>
          <w:rFonts w:hint="cs"/>
          <w:b/>
          <w:bCs/>
          <w:sz w:val="26"/>
          <w:rtl/>
        </w:rPr>
      </w:pPr>
    </w:p>
    <w:p w14:paraId="6F37283F" w14:textId="77777777" w:rsidR="00912FCC" w:rsidRDefault="00912FCC">
      <w:pPr>
        <w:jc w:val="left"/>
        <w:rPr>
          <w:rFonts w:hint="cs"/>
          <w:b/>
          <w:bCs/>
          <w:sz w:val="26"/>
          <w:u w:val="single"/>
          <w:rtl/>
        </w:rPr>
      </w:pPr>
      <w:r>
        <w:rPr>
          <w:rFonts w:hint="cs"/>
          <w:b/>
          <w:bCs/>
          <w:sz w:val="26"/>
          <w:u w:val="single"/>
          <w:rtl/>
        </w:rPr>
        <w:t>ב"כ המאשימה:</w:t>
      </w:r>
    </w:p>
    <w:p w14:paraId="320FFE2F" w14:textId="77777777" w:rsidR="00912FCC" w:rsidRDefault="00912FCC">
      <w:pPr>
        <w:jc w:val="left"/>
        <w:rPr>
          <w:rFonts w:hint="cs"/>
          <w:sz w:val="26"/>
          <w:rtl/>
        </w:rPr>
      </w:pPr>
      <w:r>
        <w:rPr>
          <w:rFonts w:hint="cs"/>
          <w:sz w:val="26"/>
          <w:rtl/>
        </w:rPr>
        <w:t xml:space="preserve">בהסכמת חברי אבקש לדחות את הטיעונים לעונש. </w:t>
      </w:r>
    </w:p>
    <w:p w14:paraId="2A97304F" w14:textId="77777777" w:rsidR="00912FCC" w:rsidRDefault="00912FCC">
      <w:pPr>
        <w:jc w:val="left"/>
        <w:rPr>
          <w:rFonts w:hint="cs"/>
          <w:color w:val="FFFFFF"/>
          <w:sz w:val="2"/>
          <w:szCs w:val="2"/>
          <w:rtl/>
        </w:rPr>
      </w:pPr>
    </w:p>
    <w:p w14:paraId="05251B5F" w14:textId="77777777" w:rsidR="00912FCC" w:rsidRDefault="00912FCC">
      <w:pPr>
        <w:jc w:val="left"/>
        <w:rPr>
          <w:color w:val="FFFFFF"/>
          <w:sz w:val="2"/>
          <w:szCs w:val="2"/>
          <w:rtl/>
        </w:rPr>
      </w:pPr>
      <w:r>
        <w:rPr>
          <w:color w:val="FFFFFF"/>
          <w:sz w:val="2"/>
          <w:szCs w:val="2"/>
          <w:rtl/>
        </w:rPr>
        <w:t>5129371</w:t>
      </w:r>
    </w:p>
    <w:p w14:paraId="7B97C8BA" w14:textId="77777777" w:rsidR="00912FCC" w:rsidRDefault="00912FCC">
      <w:pPr>
        <w:jc w:val="left"/>
        <w:rPr>
          <w:rFonts w:hint="cs"/>
          <w:sz w:val="26"/>
          <w:rtl/>
        </w:rPr>
      </w:pPr>
      <w:r>
        <w:rPr>
          <w:color w:val="FFFFFF"/>
          <w:sz w:val="2"/>
          <w:szCs w:val="2"/>
          <w:rtl/>
        </w:rPr>
        <w:t>54678313</w:t>
      </w:r>
    </w:p>
    <w:p w14:paraId="08FC70C6" w14:textId="77777777" w:rsidR="00912FCC" w:rsidRDefault="00912FCC">
      <w:pPr>
        <w:pStyle w:val="Title"/>
        <w:spacing w:line="360" w:lineRule="auto"/>
        <w:rPr>
          <w:rFonts w:hint="cs"/>
          <w:color w:val="000000"/>
          <w:szCs w:val="32"/>
          <w:u w:val="single"/>
          <w:rtl/>
        </w:rPr>
      </w:pPr>
      <w:bookmarkStart w:id="14" w:name="Decision1"/>
      <w:r>
        <w:rPr>
          <w:rFonts w:hint="cs"/>
          <w:color w:val="000000"/>
          <w:szCs w:val="32"/>
          <w:u w:val="single"/>
          <w:rtl/>
        </w:rPr>
        <w:t>החלטה</w:t>
      </w:r>
    </w:p>
    <w:p w14:paraId="577F104E" w14:textId="77777777" w:rsidR="00912FCC" w:rsidRDefault="00912FCC">
      <w:pPr>
        <w:rPr>
          <w:rFonts w:hint="cs"/>
          <w:sz w:val="26"/>
          <w:rtl/>
        </w:rPr>
      </w:pPr>
      <w:r>
        <w:rPr>
          <w:rFonts w:hint="cs"/>
          <w:sz w:val="26"/>
          <w:rtl/>
        </w:rPr>
        <w:t>נדחה לטיעון לעונש לתאריך 11.7.06 בשעה 14:00.</w:t>
      </w:r>
    </w:p>
    <w:p w14:paraId="40A158E7" w14:textId="77777777" w:rsidR="00912FCC" w:rsidRDefault="00912FCC">
      <w:pPr>
        <w:rPr>
          <w:rFonts w:hint="cs"/>
          <w:sz w:val="26"/>
          <w:rtl/>
        </w:rPr>
      </w:pPr>
      <w:r>
        <w:rPr>
          <w:rFonts w:hint="cs"/>
          <w:sz w:val="26"/>
          <w:rtl/>
        </w:rPr>
        <w:t>הנאשם יובא באמצעות ליווי לכיש / שב"ס.</w:t>
      </w:r>
    </w:p>
    <w:p w14:paraId="08DC6439" w14:textId="77777777" w:rsidR="00912FCC" w:rsidRDefault="00912FCC">
      <w:pPr>
        <w:keepNext/>
        <w:jc w:val="left"/>
        <w:rPr>
          <w:rFonts w:hAnsi="David"/>
          <w:color w:val="000000"/>
          <w:sz w:val="22"/>
          <w:szCs w:val="22"/>
          <w:rtl/>
        </w:rPr>
      </w:pPr>
    </w:p>
    <w:p w14:paraId="09FD8B11" w14:textId="77777777" w:rsidR="00912FCC" w:rsidRDefault="00912FCC">
      <w:pPr>
        <w:keepNext/>
        <w:jc w:val="left"/>
        <w:rPr>
          <w:rFonts w:hAnsi="David"/>
          <w:color w:val="000000"/>
          <w:sz w:val="22"/>
          <w:szCs w:val="22"/>
          <w:rtl/>
        </w:rPr>
      </w:pPr>
      <w:r>
        <w:rPr>
          <w:rFonts w:hAnsi="David"/>
          <w:color w:val="000000"/>
          <w:sz w:val="22"/>
          <w:szCs w:val="22"/>
          <w:rtl/>
        </w:rPr>
        <w:t>כבוד    טלי חיימוביץ 54678313-1161/05</w:t>
      </w:r>
    </w:p>
    <w:p w14:paraId="5ECCD308" w14:textId="77777777" w:rsidR="00912FCC" w:rsidRDefault="00912FCC">
      <w:pPr>
        <w:rPr>
          <w:rFonts w:hint="cs"/>
          <w:b/>
          <w:bCs/>
          <w:color w:val="000080"/>
          <w:sz w:val="26"/>
          <w:rtl/>
        </w:rPr>
      </w:pPr>
      <w:r>
        <w:rPr>
          <w:b/>
          <w:bCs/>
          <w:sz w:val="26"/>
          <w:rtl/>
        </w:rPr>
        <w:t xml:space="preserve">ניתן היום י"ג בתמוז, תשס"ו (9 ביולי 2006) במעמד הנוכחים. </w:t>
      </w:r>
    </w:p>
    <w:tbl>
      <w:tblPr>
        <w:tblW w:w="0" w:type="auto"/>
        <w:tblInd w:w="6153" w:type="dxa"/>
        <w:tblBorders>
          <w:bottom w:val="single" w:sz="4" w:space="0" w:color="auto"/>
        </w:tblBorders>
        <w:tblLook w:val="0000" w:firstRow="0" w:lastRow="0" w:firstColumn="0" w:lastColumn="0" w:noHBand="0" w:noVBand="0"/>
      </w:tblPr>
      <w:tblGrid>
        <w:gridCol w:w="2376"/>
      </w:tblGrid>
      <w:tr w:rsidR="00912FCC" w14:paraId="1DD9A417" w14:textId="77777777">
        <w:tc>
          <w:tcPr>
            <w:tcW w:w="2376" w:type="dxa"/>
            <w:tcBorders>
              <w:top w:val="single" w:sz="4" w:space="0" w:color="auto"/>
              <w:left w:val="nil"/>
              <w:bottom w:val="nil"/>
              <w:right w:val="nil"/>
            </w:tcBorders>
          </w:tcPr>
          <w:p w14:paraId="72C8BB29" w14:textId="77777777" w:rsidR="00912FCC" w:rsidRDefault="00912FCC">
            <w:pPr>
              <w:jc w:val="right"/>
              <w:rPr>
                <w:b/>
                <w:bCs/>
                <w:sz w:val="26"/>
              </w:rPr>
            </w:pPr>
            <w:r>
              <w:rPr>
                <w:rFonts w:hint="cs"/>
                <w:b/>
                <w:bCs/>
                <w:sz w:val="26"/>
                <w:rtl/>
              </w:rPr>
              <w:t xml:space="preserve">טלי חיימוביץ, שופטת  </w:t>
            </w:r>
          </w:p>
          <w:p w14:paraId="19C10B42" w14:textId="77777777" w:rsidR="00912FCC" w:rsidRDefault="00912FCC">
            <w:pPr>
              <w:rPr>
                <w:b/>
                <w:bCs/>
                <w:sz w:val="26"/>
              </w:rPr>
            </w:pPr>
            <w:r>
              <w:rPr>
                <w:rFonts w:hint="cs"/>
                <w:b/>
                <w:bCs/>
                <w:sz w:val="26"/>
                <w:rtl/>
              </w:rPr>
              <w:t xml:space="preserve">         סגנית נשיא </w:t>
            </w:r>
          </w:p>
        </w:tc>
      </w:tr>
    </w:tbl>
    <w:bookmarkEnd w:id="14"/>
    <w:p w14:paraId="4178DA47" w14:textId="77777777" w:rsidR="00912FCC" w:rsidRDefault="00912FCC">
      <w:pPr>
        <w:jc w:val="left"/>
        <w:rPr>
          <w:rFonts w:hint="cs"/>
          <w:rtl/>
        </w:rPr>
      </w:pPr>
      <w:r>
        <w:rPr>
          <w:color w:val="000000"/>
          <w:rtl/>
        </w:rPr>
        <w:t>נוסח מסמך זה כפוף לשינויי ניסוח ועריכה</w:t>
      </w:r>
    </w:p>
    <w:sectPr w:rsidR="00912FCC">
      <w:headerReference w:type="even" r:id="rId33"/>
      <w:headerReference w:type="default" r:id="rId34"/>
      <w:footerReference w:type="even" r:id="rId35"/>
      <w:footerReference w:type="default" r:id="rId36"/>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95AE" w14:textId="77777777" w:rsidR="00A53B05" w:rsidRDefault="00A53B05">
      <w:r>
        <w:separator/>
      </w:r>
    </w:p>
  </w:endnote>
  <w:endnote w:type="continuationSeparator" w:id="0">
    <w:p w14:paraId="77368286" w14:textId="77777777" w:rsidR="00A53B05" w:rsidRDefault="00A53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6359" w14:textId="77777777" w:rsidR="00A53B05" w:rsidRDefault="00A53B0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15</w:t>
    </w:r>
    <w:r>
      <w:rPr>
        <w:rFonts w:hAnsi="FrankRuehl" w:cs="FrankRuehl"/>
        <w:sz w:val="24"/>
        <w:rtl/>
      </w:rPr>
      <w:fldChar w:fldCharType="end"/>
    </w:r>
  </w:p>
  <w:p w14:paraId="118A1AE3" w14:textId="77777777" w:rsidR="00A53B05" w:rsidRDefault="00A53B0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A3629DD" w14:textId="77777777" w:rsidR="00A53B05" w:rsidRDefault="00A53B0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Z:\-00000-ps-final-0000000\2006\07\2006-07-09 - 746 ----\01\OutDoc\s05001161-481.doc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FE48" w14:textId="77777777" w:rsidR="00A53B05" w:rsidRDefault="00A53B0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5355A">
      <w:rPr>
        <w:rFonts w:hAnsi="FrankRuehl" w:cs="FrankRuehl"/>
        <w:noProof/>
        <w:sz w:val="24"/>
        <w:rtl/>
      </w:rPr>
      <w:t>1</w:t>
    </w:r>
    <w:r>
      <w:rPr>
        <w:rFonts w:hAnsi="FrankRuehl" w:cs="FrankRuehl"/>
        <w:sz w:val="24"/>
        <w:rtl/>
      </w:rPr>
      <w:fldChar w:fldCharType="end"/>
    </w:r>
  </w:p>
  <w:p w14:paraId="6459E4F9" w14:textId="77777777" w:rsidR="00A53B05" w:rsidRDefault="00A53B0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B215F9" w14:textId="77777777" w:rsidR="00A53B05" w:rsidRDefault="00A53B0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Z:\-00000-ps-final-0000000\2006\07\2006-07-09 - 746 ----\01\OutDoc\s05001161-481.doc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A9A0D" w14:textId="77777777" w:rsidR="00A53B05" w:rsidRDefault="00A53B05">
      <w:r>
        <w:separator/>
      </w:r>
    </w:p>
  </w:footnote>
  <w:footnote w:type="continuationSeparator" w:id="0">
    <w:p w14:paraId="2959EC8F" w14:textId="77777777" w:rsidR="00A53B05" w:rsidRDefault="00A53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1DC7" w14:textId="77777777" w:rsidR="00A53B05" w:rsidRDefault="00A53B0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(ק"ג) 1161/05</w:t>
    </w:r>
    <w:r>
      <w:rPr>
        <w:rFonts w:hAnsi="David"/>
        <w:color w:val="000000"/>
        <w:sz w:val="22"/>
        <w:szCs w:val="22"/>
        <w:rtl/>
      </w:rPr>
      <w:tab/>
      <w:t xml:space="preserve"> מדינת ישראל נ' נקש גולן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F209" w14:textId="77777777" w:rsidR="00A53B05" w:rsidRDefault="00A53B0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(ק"ג) 1161/05</w:t>
    </w:r>
    <w:r>
      <w:rPr>
        <w:rFonts w:hAnsi="David"/>
        <w:color w:val="000000"/>
        <w:sz w:val="22"/>
        <w:szCs w:val="22"/>
        <w:rtl/>
      </w:rPr>
      <w:tab/>
      <w:t xml:space="preserve"> מדינת ישראל נ' נקש גולן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62A1F"/>
    <w:multiLevelType w:val="hybridMultilevel"/>
    <w:tmpl w:val="48C29586"/>
    <w:lvl w:ilvl="0" w:tplc="040D000F">
      <w:start w:val="1"/>
      <w:numFmt w:val="decimal"/>
      <w:lvlText w:val="%1."/>
      <w:lvlJc w:val="left"/>
      <w:pPr>
        <w:tabs>
          <w:tab w:val="num" w:pos="720"/>
        </w:tabs>
        <w:ind w:left="720" w:right="720" w:hanging="360"/>
      </w:pPr>
    </w:lvl>
    <w:lvl w:ilvl="1" w:tplc="A4FCE194">
      <w:start w:val="1"/>
      <w:numFmt w:val="hebrew1"/>
      <w:lvlText w:val="%2."/>
      <w:lvlJc w:val="left"/>
      <w:pPr>
        <w:tabs>
          <w:tab w:val="num" w:pos="1440"/>
        </w:tabs>
        <w:ind w:left="1440" w:right="1440" w:hanging="360"/>
      </w:pPr>
    </w:lvl>
    <w:lvl w:ilvl="2" w:tplc="040D001B">
      <w:start w:val="1"/>
      <w:numFmt w:val="lowerRoman"/>
      <w:lvlText w:val="%3."/>
      <w:lvlJc w:val="right"/>
      <w:pPr>
        <w:tabs>
          <w:tab w:val="num" w:pos="2160"/>
        </w:tabs>
        <w:ind w:left="2160" w:right="2160" w:hanging="18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4D9B6B03"/>
    <w:multiLevelType w:val="hybridMultilevel"/>
    <w:tmpl w:val="234A1A9A"/>
    <w:lvl w:ilvl="0" w:tplc="A912BA32">
      <w:start w:val="1"/>
      <w:numFmt w:val="bullet"/>
      <w:pStyle w:val="a"/>
      <w:lvlText w:val="ת"/>
      <w:lvlJc w:val="left"/>
      <w:pPr>
        <w:tabs>
          <w:tab w:val="num" w:pos="737"/>
        </w:tabs>
        <w:ind w:left="737" w:right="737" w:hanging="737"/>
      </w:pPr>
      <w:rPr>
        <w:bCs w:val="0"/>
        <w:iCs w:val="0"/>
        <w:szCs w:val="24"/>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2" w15:restartNumberingAfterBreak="0">
    <w:nsid w:val="7E3057AC"/>
    <w:multiLevelType w:val="hybridMultilevel"/>
    <w:tmpl w:val="31CA908A"/>
    <w:lvl w:ilvl="0" w:tplc="79BE12EE">
      <w:start w:val="1"/>
      <w:numFmt w:val="bullet"/>
      <w:pStyle w:val="a0"/>
      <w:lvlText w:val="ש"/>
      <w:lvlJc w:val="left"/>
      <w:pPr>
        <w:tabs>
          <w:tab w:val="num" w:pos="737"/>
        </w:tabs>
        <w:ind w:left="737" w:right="737" w:hanging="737"/>
      </w:pPr>
      <w:rPr>
        <w:bCs/>
        <w:iCs w:val="0"/>
        <w:szCs w:val="22"/>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num w:numId="1" w16cid:durableId="212896118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532189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3038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912FCC"/>
    <w:rsid w:val="00152611"/>
    <w:rsid w:val="005168C6"/>
    <w:rsid w:val="00643A47"/>
    <w:rsid w:val="00681E84"/>
    <w:rsid w:val="0074776F"/>
    <w:rsid w:val="00763984"/>
    <w:rsid w:val="0085355A"/>
    <w:rsid w:val="00912FCC"/>
    <w:rsid w:val="009F6128"/>
    <w:rsid w:val="00A53B05"/>
    <w:rsid w:val="00D439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FF5759"/>
  <w15:chartTrackingRefBased/>
  <w15:docId w15:val="{E31B52E2-0065-4E52-AEA7-07C5199B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1080" w:firstLine="360"/>
      <w:outlineLvl w:val="3"/>
    </w:pPr>
    <w:rPr>
      <w:sz w:val="26"/>
      <w:u w:val="single"/>
    </w:rPr>
  </w:style>
  <w:style w:type="paragraph" w:styleId="Heading5">
    <w:name w:val="heading 5"/>
    <w:basedOn w:val="Normal"/>
    <w:next w:val="Normal"/>
    <w:qFormat/>
    <w:pPr>
      <w:keepNext/>
      <w:ind w:left="360" w:firstLine="360"/>
      <w:outlineLvl w:val="4"/>
    </w:pPr>
    <w:rPr>
      <w:sz w:val="26"/>
      <w:u w:val="single"/>
    </w:rPr>
  </w:style>
  <w:style w:type="paragraph" w:styleId="Heading6">
    <w:name w:val="heading 6"/>
    <w:basedOn w:val="Normal"/>
    <w:next w:val="Normal"/>
    <w:qFormat/>
    <w:pPr>
      <w:keepNext/>
      <w:ind w:left="1080"/>
      <w:outlineLvl w:val="5"/>
    </w:pPr>
    <w:rPr>
      <w:sz w:val="26"/>
      <w:u w:val="single"/>
    </w:rPr>
  </w:style>
  <w:style w:type="paragraph" w:styleId="Heading7">
    <w:name w:val="heading 7"/>
    <w:basedOn w:val="Normal"/>
    <w:next w:val="Normal"/>
    <w:qFormat/>
    <w:pPr>
      <w:keepNext/>
      <w:ind w:left="360" w:firstLine="360"/>
      <w:outlineLvl w:val="6"/>
    </w:pPr>
    <w:rPr>
      <w:b/>
      <w:bCs/>
      <w:u w:val="single"/>
    </w:rPr>
  </w:style>
  <w:style w:type="paragraph" w:styleId="Heading8">
    <w:name w:val="heading 8"/>
    <w:basedOn w:val="Normal"/>
    <w:next w:val="Normal"/>
    <w:qFormat/>
    <w:pPr>
      <w:keepNext/>
      <w:ind w:left="360" w:firstLine="360"/>
      <w:outlineLvl w:val="7"/>
    </w:pPr>
    <w:rPr>
      <w:b/>
      <w:bCs/>
      <w:sz w:val="26"/>
      <w:u w:val="single"/>
    </w:rPr>
  </w:style>
  <w:style w:type="paragraph" w:styleId="Heading9">
    <w:name w:val="heading 9"/>
    <w:basedOn w:val="Normal"/>
    <w:next w:val="Normal"/>
    <w:qFormat/>
    <w:pPr>
      <w:keepNext/>
      <w:ind w:left="360"/>
      <w:jc w:val="center"/>
      <w:outlineLvl w:val="8"/>
    </w:pPr>
    <w:rPr>
      <w:b/>
      <w:bCs/>
      <w:sz w:val="32"/>
      <w:szCs w:val="3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color w:val="FF0000"/>
      <w:sz w:val="44"/>
      <w:szCs w:val="44"/>
    </w:rPr>
  </w:style>
  <w:style w:type="paragraph" w:customStyle="1" w:styleId="1">
    <w:name w:val="רגיל1"/>
    <w:pPr>
      <w:bidi/>
      <w:snapToGrid w:val="0"/>
    </w:pPr>
    <w:rPr>
      <w:rFonts w:cs="David"/>
      <w:szCs w:val="24"/>
    </w:rPr>
  </w:style>
  <w:style w:type="paragraph" w:customStyle="1" w:styleId="a1">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2">
    <w:name w:val="החלטה"/>
    <w:basedOn w:val="1"/>
    <w:pPr>
      <w:suppressLineNumbers/>
    </w:pPr>
    <w:rPr>
      <w:bCs/>
    </w:rPr>
  </w:style>
  <w:style w:type="paragraph" w:customStyle="1" w:styleId="a3">
    <w:name w:val="חקירה"/>
    <w:basedOn w:val="1"/>
    <w:pPr>
      <w:suppressLineNumbers/>
    </w:pPr>
  </w:style>
  <w:style w:type="paragraph" w:customStyle="1" w:styleId="a">
    <w:name w:val="תשובה"/>
    <w:basedOn w:val="Normal"/>
    <w:next w:val="a0"/>
    <w:autoRedefine/>
    <w:pPr>
      <w:numPr>
        <w:numId w:val="2"/>
      </w:numPr>
      <w:ind w:right="0"/>
    </w:pPr>
  </w:style>
  <w:style w:type="paragraph" w:customStyle="1" w:styleId="a0">
    <w:name w:val="שאלה"/>
    <w:basedOn w:val="Normal"/>
    <w:next w:val="a"/>
    <w:autoRedefine/>
    <w:pPr>
      <w:numPr>
        <w:numId w:val="1"/>
      </w:numPr>
      <w:ind w:right="0"/>
    </w:pPr>
    <w:rPr>
      <w:bCs/>
      <w:szCs w:val="22"/>
    </w:rPr>
  </w:style>
  <w:style w:type="character" w:styleId="PageNumber">
    <w:name w:val="page number"/>
    <w:rPr>
      <w:rFonts w:cs="David"/>
    </w:rPr>
  </w:style>
  <w:style w:type="character" w:styleId="Hyperlink">
    <w:name w:val="Hyperlink"/>
    <w:rsid w:val="00763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c"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21" TargetMode="External"/><Relationship Id="rId21" Type="http://schemas.openxmlformats.org/officeDocument/2006/relationships/hyperlink" Target="http://www.nevo.co.il/law/4216/7a.c"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4216/7.a.c" TargetMode="External"/><Relationship Id="rId17" Type="http://schemas.openxmlformats.org/officeDocument/2006/relationships/hyperlink" Target="http://www.nevo.co.il/law/70301/348.c" TargetMode="External"/><Relationship Id="rId25" Type="http://schemas.openxmlformats.org/officeDocument/2006/relationships/hyperlink" Target="http://www.nevo.co.il/law/4216/21.a.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21.a.1" TargetMode="External"/><Relationship Id="rId20" Type="http://schemas.openxmlformats.org/officeDocument/2006/relationships/hyperlink" Target="http://www.nevo.co.il/law/4216" TargetMode="External"/><Relationship Id="rId29" Type="http://schemas.openxmlformats.org/officeDocument/2006/relationships/hyperlink" Target="http://www.nevo.co.il/law/70301/384.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6024185" TargetMode="External"/><Relationship Id="rId32" Type="http://schemas.openxmlformats.org/officeDocument/2006/relationships/hyperlink" Target="http://www.nevo.co.il/law/4216/1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21" TargetMode="External"/><Relationship Id="rId23" Type="http://schemas.openxmlformats.org/officeDocument/2006/relationships/hyperlink" Target="http://www.nevo.co.il/law/70301/348f" TargetMode="External"/><Relationship Id="rId28" Type="http://schemas.openxmlformats.org/officeDocument/2006/relationships/hyperlink" Target="http://www.nevo.co.il/law/4216/21.a.1" TargetMode="External"/><Relationship Id="rId36" Type="http://schemas.openxmlformats.org/officeDocument/2006/relationships/footer" Target="footer2.xml"/><Relationship Id="rId10" Type="http://schemas.openxmlformats.org/officeDocument/2006/relationships/hyperlink" Target="http://www.nevo.co.il/law/70301/384.c" TargetMode="External"/><Relationship Id="rId19" Type="http://schemas.openxmlformats.org/officeDocument/2006/relationships/hyperlink" Target="http://www.nevo.co.il/law/4216/21.a.1" TargetMode="External"/><Relationship Id="rId31" Type="http://schemas.openxmlformats.org/officeDocument/2006/relationships/hyperlink" Target="http://www.nevo.co.il/law/4216/21.a.1" TargetMode="External"/><Relationship Id="rId4" Type="http://schemas.openxmlformats.org/officeDocument/2006/relationships/webSettings" Target="webSettings.xml"/><Relationship Id="rId9" Type="http://schemas.openxmlformats.org/officeDocument/2006/relationships/hyperlink" Target="http://www.nevo.co.il/law/70301/348f" TargetMode="External"/><Relationship Id="rId14" Type="http://schemas.openxmlformats.org/officeDocument/2006/relationships/hyperlink" Target="http://www.nevo.co.il/law/4216/10" TargetMode="External"/><Relationship Id="rId22" Type="http://schemas.openxmlformats.org/officeDocument/2006/relationships/hyperlink" Target="http://www.nevo.co.il/law/4216/10" TargetMode="External"/><Relationship Id="rId27" Type="http://schemas.openxmlformats.org/officeDocument/2006/relationships/hyperlink" Target="http://www.nevo.co.il/law/4216/7.a.c" TargetMode="External"/><Relationship Id="rId30" Type="http://schemas.openxmlformats.org/officeDocument/2006/relationships/hyperlink" Target="http://www.nevo.co.il/law/4216/7a.c" TargetMode="External"/><Relationship Id="rId35" Type="http://schemas.openxmlformats.org/officeDocument/2006/relationships/footer" Target="footer1.xml"/><Relationship Id="rId8" Type="http://schemas.openxmlformats.org/officeDocument/2006/relationships/hyperlink" Target="http://www.nevo.co.il/law/70301/348.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3202</Words>
  <Characters>18258</Characters>
  <Application>Microsoft Office Word</Application>
  <DocSecurity>0</DocSecurity>
  <Lines>152</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21418</CharactersWithSpaces>
  <SharedDoc>false</SharedDoc>
  <HLinks>
    <vt:vector size="156" baseType="variant">
      <vt:variant>
        <vt:i4>5177418</vt:i4>
      </vt:variant>
      <vt:variant>
        <vt:i4>75</vt:i4>
      </vt:variant>
      <vt:variant>
        <vt:i4>0</vt:i4>
      </vt:variant>
      <vt:variant>
        <vt:i4>5</vt:i4>
      </vt:variant>
      <vt:variant>
        <vt:lpwstr>http://www.nevo.co.il/law/4216/10</vt:lpwstr>
      </vt:variant>
      <vt:variant>
        <vt:lpwstr/>
      </vt:variant>
      <vt:variant>
        <vt:i4>4980762</vt:i4>
      </vt:variant>
      <vt:variant>
        <vt:i4>72</vt:i4>
      </vt:variant>
      <vt:variant>
        <vt:i4>0</vt:i4>
      </vt:variant>
      <vt:variant>
        <vt:i4>5</vt:i4>
      </vt:variant>
      <vt:variant>
        <vt:lpwstr>http://www.nevo.co.il/law/4216/21.a.1</vt:lpwstr>
      </vt:variant>
      <vt:variant>
        <vt:lpwstr/>
      </vt:variant>
      <vt:variant>
        <vt:i4>6750251</vt:i4>
      </vt:variant>
      <vt:variant>
        <vt:i4>69</vt:i4>
      </vt:variant>
      <vt:variant>
        <vt:i4>0</vt:i4>
      </vt:variant>
      <vt:variant>
        <vt:i4>5</vt:i4>
      </vt:variant>
      <vt:variant>
        <vt:lpwstr>http://www.nevo.co.il/law/4216/7a.c</vt:lpwstr>
      </vt:variant>
      <vt:variant>
        <vt:lpwstr/>
      </vt:variant>
      <vt:variant>
        <vt:i4>4390994</vt:i4>
      </vt:variant>
      <vt:variant>
        <vt:i4>66</vt:i4>
      </vt:variant>
      <vt:variant>
        <vt:i4>0</vt:i4>
      </vt:variant>
      <vt:variant>
        <vt:i4>5</vt:i4>
      </vt:variant>
      <vt:variant>
        <vt:lpwstr>http://www.nevo.co.il/law/70301/384.c</vt:lpwstr>
      </vt:variant>
      <vt:variant>
        <vt:lpwstr/>
      </vt:variant>
      <vt:variant>
        <vt:i4>4980762</vt:i4>
      </vt:variant>
      <vt:variant>
        <vt:i4>63</vt:i4>
      </vt:variant>
      <vt:variant>
        <vt:i4>0</vt:i4>
      </vt:variant>
      <vt:variant>
        <vt:i4>5</vt:i4>
      </vt:variant>
      <vt:variant>
        <vt:lpwstr>http://www.nevo.co.il/law/4216/21.a.1</vt:lpwstr>
      </vt:variant>
      <vt:variant>
        <vt:lpwstr/>
      </vt:variant>
      <vt:variant>
        <vt:i4>4915274</vt:i4>
      </vt:variant>
      <vt:variant>
        <vt:i4>60</vt:i4>
      </vt:variant>
      <vt:variant>
        <vt:i4>0</vt:i4>
      </vt:variant>
      <vt:variant>
        <vt:i4>5</vt:i4>
      </vt:variant>
      <vt:variant>
        <vt:lpwstr>http://www.nevo.co.il/law/4216/7.a.c</vt:lpwstr>
      </vt:variant>
      <vt:variant>
        <vt:lpwstr/>
      </vt:variant>
      <vt:variant>
        <vt:i4>4980810</vt:i4>
      </vt:variant>
      <vt:variant>
        <vt:i4>57</vt:i4>
      </vt:variant>
      <vt:variant>
        <vt:i4>0</vt:i4>
      </vt:variant>
      <vt:variant>
        <vt:i4>5</vt:i4>
      </vt:variant>
      <vt:variant>
        <vt:lpwstr>http://www.nevo.co.il/law/4216/21</vt:lpwstr>
      </vt:variant>
      <vt:variant>
        <vt:lpwstr/>
      </vt:variant>
      <vt:variant>
        <vt:i4>4980762</vt:i4>
      </vt:variant>
      <vt:variant>
        <vt:i4>54</vt:i4>
      </vt:variant>
      <vt:variant>
        <vt:i4>0</vt:i4>
      </vt:variant>
      <vt:variant>
        <vt:i4>5</vt:i4>
      </vt:variant>
      <vt:variant>
        <vt:lpwstr>http://www.nevo.co.il/law/4216/21.a.1</vt:lpwstr>
      </vt:variant>
      <vt:variant>
        <vt:lpwstr/>
      </vt:variant>
      <vt:variant>
        <vt:i4>3145848</vt:i4>
      </vt:variant>
      <vt:variant>
        <vt:i4>51</vt:i4>
      </vt:variant>
      <vt:variant>
        <vt:i4>0</vt:i4>
      </vt:variant>
      <vt:variant>
        <vt:i4>5</vt:i4>
      </vt:variant>
      <vt:variant>
        <vt:lpwstr>http://www.nevo.co.il/case/6024185</vt:lpwstr>
      </vt:variant>
      <vt:variant>
        <vt:lpwstr/>
      </vt:variant>
      <vt:variant>
        <vt:i4>458846</vt:i4>
      </vt:variant>
      <vt:variant>
        <vt:i4>48</vt:i4>
      </vt:variant>
      <vt:variant>
        <vt:i4>0</vt:i4>
      </vt:variant>
      <vt:variant>
        <vt:i4>5</vt:i4>
      </vt:variant>
      <vt:variant>
        <vt:lpwstr>http://www.nevo.co.il/law/70301/348f</vt:lpwstr>
      </vt:variant>
      <vt:variant>
        <vt:lpwstr/>
      </vt:variant>
      <vt:variant>
        <vt:i4>5177418</vt:i4>
      </vt:variant>
      <vt:variant>
        <vt:i4>45</vt:i4>
      </vt:variant>
      <vt:variant>
        <vt:i4>0</vt:i4>
      </vt:variant>
      <vt:variant>
        <vt:i4>5</vt:i4>
      </vt:variant>
      <vt:variant>
        <vt:lpwstr>http://www.nevo.co.il/law/4216/10</vt:lpwstr>
      </vt:variant>
      <vt:variant>
        <vt:lpwstr/>
      </vt:variant>
      <vt:variant>
        <vt:i4>6750251</vt:i4>
      </vt:variant>
      <vt:variant>
        <vt:i4>42</vt:i4>
      </vt:variant>
      <vt:variant>
        <vt:i4>0</vt:i4>
      </vt:variant>
      <vt:variant>
        <vt:i4>5</vt:i4>
      </vt:variant>
      <vt:variant>
        <vt:lpwstr>http://www.nevo.co.il/law/4216/7a.c</vt:lpwstr>
      </vt:variant>
      <vt:variant>
        <vt:lpwstr/>
      </vt:variant>
      <vt:variant>
        <vt:i4>8257637</vt:i4>
      </vt:variant>
      <vt:variant>
        <vt:i4>39</vt:i4>
      </vt:variant>
      <vt:variant>
        <vt:i4>0</vt:i4>
      </vt:variant>
      <vt:variant>
        <vt:i4>5</vt:i4>
      </vt:variant>
      <vt:variant>
        <vt:lpwstr>http://www.nevo.co.il/law/4216</vt:lpwstr>
      </vt:variant>
      <vt:variant>
        <vt:lpwstr/>
      </vt:variant>
      <vt:variant>
        <vt:i4>4980762</vt:i4>
      </vt:variant>
      <vt:variant>
        <vt:i4>36</vt:i4>
      </vt:variant>
      <vt:variant>
        <vt:i4>0</vt:i4>
      </vt:variant>
      <vt:variant>
        <vt:i4>5</vt:i4>
      </vt:variant>
      <vt:variant>
        <vt:lpwstr>http://www.nevo.co.il/law/4216/21.a.1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4980762</vt:i4>
      </vt:variant>
      <vt:variant>
        <vt:i4>27</vt:i4>
      </vt:variant>
      <vt:variant>
        <vt:i4>0</vt:i4>
      </vt:variant>
      <vt:variant>
        <vt:i4>5</vt:i4>
      </vt:variant>
      <vt:variant>
        <vt:lpwstr>http://www.nevo.co.il/law/4216/21.a.1</vt:lpwstr>
      </vt:variant>
      <vt:variant>
        <vt:lpwstr/>
      </vt:variant>
      <vt:variant>
        <vt:i4>4980810</vt:i4>
      </vt:variant>
      <vt:variant>
        <vt:i4>24</vt:i4>
      </vt:variant>
      <vt:variant>
        <vt:i4>0</vt:i4>
      </vt:variant>
      <vt:variant>
        <vt:i4>5</vt:i4>
      </vt:variant>
      <vt:variant>
        <vt:lpwstr>http://www.nevo.co.il/law/4216/21</vt:lpwstr>
      </vt:variant>
      <vt:variant>
        <vt:lpwstr/>
      </vt:variant>
      <vt:variant>
        <vt:i4>5177418</vt:i4>
      </vt:variant>
      <vt:variant>
        <vt:i4>21</vt:i4>
      </vt:variant>
      <vt:variant>
        <vt:i4>0</vt:i4>
      </vt:variant>
      <vt:variant>
        <vt:i4>5</vt:i4>
      </vt:variant>
      <vt:variant>
        <vt:lpwstr>http://www.nevo.co.il/law/4216/10</vt:lpwstr>
      </vt:variant>
      <vt:variant>
        <vt:lpwstr/>
      </vt:variant>
      <vt:variant>
        <vt:i4>6750251</vt:i4>
      </vt:variant>
      <vt:variant>
        <vt:i4>18</vt:i4>
      </vt:variant>
      <vt:variant>
        <vt:i4>0</vt:i4>
      </vt:variant>
      <vt:variant>
        <vt:i4>5</vt:i4>
      </vt:variant>
      <vt:variant>
        <vt:lpwstr>http://www.nevo.co.il/law/4216/7a.c</vt:lpwstr>
      </vt:variant>
      <vt:variant>
        <vt:lpwstr/>
      </vt:variant>
      <vt:variant>
        <vt:i4>4915274</vt:i4>
      </vt:variant>
      <vt:variant>
        <vt:i4>15</vt:i4>
      </vt:variant>
      <vt:variant>
        <vt:i4>0</vt:i4>
      </vt:variant>
      <vt:variant>
        <vt:i4>5</vt:i4>
      </vt:variant>
      <vt:variant>
        <vt:lpwstr>http://www.nevo.co.il/law/4216/7.a.c</vt:lpwstr>
      </vt:variant>
      <vt:variant>
        <vt:lpwstr/>
      </vt:variant>
      <vt:variant>
        <vt:i4>8257637</vt:i4>
      </vt:variant>
      <vt:variant>
        <vt:i4>12</vt:i4>
      </vt:variant>
      <vt:variant>
        <vt:i4>0</vt:i4>
      </vt:variant>
      <vt:variant>
        <vt:i4>5</vt:i4>
      </vt:variant>
      <vt:variant>
        <vt:lpwstr>http://www.nevo.co.il/law/4216</vt:lpwstr>
      </vt:variant>
      <vt:variant>
        <vt:lpwstr/>
      </vt:variant>
      <vt:variant>
        <vt:i4>4390994</vt:i4>
      </vt:variant>
      <vt:variant>
        <vt:i4>9</vt:i4>
      </vt:variant>
      <vt:variant>
        <vt:i4>0</vt:i4>
      </vt:variant>
      <vt:variant>
        <vt:i4>5</vt:i4>
      </vt:variant>
      <vt:variant>
        <vt:lpwstr>http://www.nevo.co.il/law/70301/384.c</vt:lpwstr>
      </vt:variant>
      <vt:variant>
        <vt:lpwstr/>
      </vt:variant>
      <vt:variant>
        <vt:i4>458846</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2006-07-09T14:01:00Z</cp:lastPrinted>
  <dcterms:created xsi:type="dcterms:W3CDTF">2022-05-24T10:23:00Z</dcterms:created>
  <dcterms:modified xsi:type="dcterms:W3CDTF">2022-05-24T10:23:00Z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1161</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נקש גולן</vt:lpwstr>
  </property>
  <property fmtid="{D5CDD505-2E9C-101B-9397-08002B2CF9AE}" pid="9" name="LAWYER">
    <vt:lpwstr>טל שוהם;אורינוב תומר;תומר אורינוב</vt:lpwstr>
  </property>
  <property fmtid="{D5CDD505-2E9C-101B-9397-08002B2CF9AE}" pid="10" name="JUDGE">
    <vt:lpwstr>טלי חיימוביץ</vt:lpwstr>
  </property>
  <property fmtid="{D5CDD505-2E9C-101B-9397-08002B2CF9AE}" pid="11" name="CITY">
    <vt:lpwstr>ק"ג</vt:lpwstr>
  </property>
  <property fmtid="{D5CDD505-2E9C-101B-9397-08002B2CF9AE}" pid="12" name="DATE">
    <vt:lpwstr>20060709</vt:lpwstr>
  </property>
  <property fmtid="{D5CDD505-2E9C-101B-9397-08002B2CF9AE}" pid="13" name="WORDNUMPAGES">
    <vt:lpwstr>15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6024185</vt:lpwstr>
  </property>
  <property fmtid="{D5CDD505-2E9C-101B-9397-08002B2CF9AE}" pid="32" name="LAWLISTTMP1">
    <vt:lpwstr>70301/348.c;348f;384.c</vt:lpwstr>
  </property>
  <property fmtid="{D5CDD505-2E9C-101B-9397-08002B2CF9AE}" pid="33" name="LAWLISTTMP2">
    <vt:lpwstr>4216/021.a.1:4;007a.c:2;010:2;021;007.a.c</vt:lpwstr>
  </property>
</Properties>
</file>