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F4A9" w14:textId="77777777" w:rsidR="003E76AA" w:rsidRDefault="003E76AA">
      <w:pPr>
        <w:jc w:val="center"/>
        <w:rPr>
          <w:rFonts w:hint="cs"/>
          <w:b/>
          <w:bCs/>
          <w:szCs w:val="32"/>
          <w:rtl/>
        </w:rPr>
      </w:pPr>
      <w:bookmarkStart w:id="0" w:name="LastJudge"/>
      <w:r>
        <w:rPr>
          <w:rFonts w:hint="cs"/>
          <w:b/>
          <w:bCs/>
          <w:szCs w:val="32"/>
          <w:rtl/>
        </w:rPr>
        <w:t>בתי המשפט</w:t>
      </w:r>
    </w:p>
    <w:p w14:paraId="176AE564" w14:textId="77777777" w:rsidR="003E76AA" w:rsidRDefault="003E76AA">
      <w:pPr>
        <w:jc w:val="center"/>
        <w:rPr>
          <w:rFonts w:hint="cs"/>
          <w:sz w:val="16"/>
          <w:szCs w:val="16"/>
          <w:rtl/>
        </w:rPr>
      </w:pPr>
      <w:r>
        <w:rPr>
          <w:rFonts w:hint="cs"/>
          <w:sz w:val="16"/>
          <w:szCs w:val="1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6"/>
        <w:gridCol w:w="4636"/>
        <w:gridCol w:w="992"/>
        <w:gridCol w:w="2235"/>
      </w:tblGrid>
      <w:tr w:rsidR="003E76AA" w14:paraId="7A5E7876"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7AEEF9AD" w14:textId="77777777" w:rsidR="003E76AA" w:rsidRDefault="003E76AA">
            <w:pPr>
              <w:spacing w:line="240" w:lineRule="auto"/>
              <w:rPr>
                <w:b/>
                <w:bCs/>
                <w:sz w:val="32"/>
                <w:szCs w:val="32"/>
              </w:rPr>
            </w:pPr>
            <w:r>
              <w:rPr>
                <w:rFonts w:hint="cs"/>
                <w:b/>
                <w:bCs/>
                <w:sz w:val="32"/>
                <w:szCs w:val="32"/>
                <w:rtl/>
              </w:rPr>
              <w:t>בית משפט השלום ירושלים</w:t>
            </w:r>
          </w:p>
        </w:tc>
        <w:tc>
          <w:tcPr>
            <w:tcW w:w="3227" w:type="dxa"/>
            <w:gridSpan w:val="2"/>
            <w:tcBorders>
              <w:top w:val="single" w:sz="4" w:space="0" w:color="auto"/>
              <w:left w:val="single" w:sz="4" w:space="0" w:color="auto"/>
              <w:bottom w:val="single" w:sz="4" w:space="0" w:color="auto"/>
              <w:right w:val="single" w:sz="4" w:space="0" w:color="auto"/>
            </w:tcBorders>
          </w:tcPr>
          <w:p w14:paraId="3CED6592" w14:textId="77777777" w:rsidR="003E76AA" w:rsidRDefault="003E76AA">
            <w:pPr>
              <w:spacing w:line="240" w:lineRule="auto"/>
              <w:rPr>
                <w:b/>
                <w:bCs/>
                <w:sz w:val="28"/>
                <w:szCs w:val="28"/>
              </w:rPr>
            </w:pPr>
            <w:r>
              <w:rPr>
                <w:rFonts w:hint="cs"/>
                <w:b/>
                <w:bCs/>
                <w:sz w:val="28"/>
                <w:szCs w:val="28"/>
                <w:rtl/>
              </w:rPr>
              <w:t>פ  001554/05</w:t>
            </w:r>
          </w:p>
        </w:tc>
      </w:tr>
      <w:tr w:rsidR="003E76AA" w14:paraId="1EDA80C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54052B0" w14:textId="77777777" w:rsidR="003E76AA" w:rsidRDefault="003E76AA">
            <w:pPr>
              <w:bidi w:val="0"/>
              <w:spacing w:line="240" w:lineRule="auto"/>
              <w:jc w:val="left"/>
              <w:rPr>
                <w:b/>
                <w:bCs/>
                <w:sz w:val="32"/>
                <w:szCs w:val="32"/>
              </w:rPr>
            </w:pPr>
          </w:p>
        </w:tc>
        <w:tc>
          <w:tcPr>
            <w:tcW w:w="3227" w:type="dxa"/>
            <w:gridSpan w:val="2"/>
            <w:tcBorders>
              <w:top w:val="single" w:sz="4" w:space="0" w:color="auto"/>
              <w:left w:val="single" w:sz="4" w:space="0" w:color="auto"/>
              <w:bottom w:val="single" w:sz="4" w:space="0" w:color="auto"/>
              <w:right w:val="single" w:sz="4" w:space="0" w:color="auto"/>
            </w:tcBorders>
          </w:tcPr>
          <w:p w14:paraId="5FB0DB50" w14:textId="77777777" w:rsidR="003E76AA" w:rsidRDefault="003E76AA">
            <w:pPr>
              <w:spacing w:line="240" w:lineRule="auto"/>
              <w:rPr>
                <w:b/>
                <w:bCs/>
                <w:sz w:val="28"/>
                <w:szCs w:val="28"/>
              </w:rPr>
            </w:pPr>
          </w:p>
        </w:tc>
      </w:tr>
      <w:tr w:rsidR="003E76AA" w14:paraId="41CEA325" w14:textId="77777777">
        <w:trPr>
          <w:trHeight w:val="286"/>
        </w:trPr>
        <w:tc>
          <w:tcPr>
            <w:tcW w:w="666" w:type="dxa"/>
            <w:tcBorders>
              <w:top w:val="single" w:sz="4" w:space="0" w:color="auto"/>
              <w:left w:val="single" w:sz="4" w:space="0" w:color="auto"/>
              <w:bottom w:val="single" w:sz="4" w:space="0" w:color="auto"/>
              <w:right w:val="single" w:sz="4" w:space="0" w:color="auto"/>
            </w:tcBorders>
          </w:tcPr>
          <w:p w14:paraId="3F8C122A" w14:textId="77777777" w:rsidR="003E76AA" w:rsidRDefault="003E76AA">
            <w:pPr>
              <w:spacing w:line="240" w:lineRule="auto"/>
              <w:rPr>
                <w:b/>
                <w:bCs/>
                <w:sz w:val="26"/>
              </w:rPr>
            </w:pPr>
            <w:r>
              <w:rPr>
                <w:rFonts w:hint="cs"/>
                <w:b/>
                <w:bCs/>
                <w:sz w:val="26"/>
                <w:rtl/>
              </w:rPr>
              <w:t>לפני</w:t>
            </w:r>
          </w:p>
        </w:tc>
        <w:tc>
          <w:tcPr>
            <w:tcW w:w="4636" w:type="dxa"/>
            <w:tcBorders>
              <w:top w:val="single" w:sz="4" w:space="0" w:color="auto"/>
              <w:left w:val="single" w:sz="4" w:space="0" w:color="auto"/>
              <w:bottom w:val="single" w:sz="4" w:space="0" w:color="auto"/>
              <w:right w:val="single" w:sz="4" w:space="0" w:color="auto"/>
            </w:tcBorders>
          </w:tcPr>
          <w:p w14:paraId="7BA198FD" w14:textId="77777777" w:rsidR="003E76AA" w:rsidRDefault="003E76AA">
            <w:pPr>
              <w:spacing w:line="240" w:lineRule="auto"/>
              <w:rPr>
                <w:b/>
                <w:bCs/>
                <w:sz w:val="26"/>
              </w:rPr>
            </w:pPr>
            <w:r>
              <w:rPr>
                <w:rFonts w:hint="cs"/>
                <w:b/>
                <w:bCs/>
                <w:sz w:val="26"/>
                <w:rtl/>
              </w:rPr>
              <w:t>כב' השופט יחזקאל ברקלי</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17729E9" w14:textId="77777777" w:rsidR="003E76AA" w:rsidRDefault="003E76AA">
            <w:pPr>
              <w:spacing w:line="240" w:lineRule="auto"/>
              <w:rPr>
                <w:b/>
                <w:bCs/>
                <w:sz w:val="26"/>
              </w:rPr>
            </w:pPr>
          </w:p>
        </w:tc>
        <w:tc>
          <w:tcPr>
            <w:tcW w:w="2235" w:type="dxa"/>
            <w:tcBorders>
              <w:top w:val="single" w:sz="4" w:space="0" w:color="auto"/>
              <w:left w:val="single" w:sz="4" w:space="0" w:color="auto"/>
              <w:bottom w:val="single" w:sz="4" w:space="0" w:color="auto"/>
              <w:right w:val="single" w:sz="4" w:space="0" w:color="auto"/>
            </w:tcBorders>
          </w:tcPr>
          <w:p w14:paraId="538F76D5" w14:textId="77777777" w:rsidR="003E76AA" w:rsidRDefault="003E76AA">
            <w:pPr>
              <w:spacing w:line="240" w:lineRule="auto"/>
              <w:rPr>
                <w:b/>
                <w:bCs/>
                <w:sz w:val="26"/>
              </w:rPr>
            </w:pPr>
            <w:r>
              <w:rPr>
                <w:rFonts w:hint="cs"/>
                <w:b/>
                <w:bCs/>
                <w:sz w:val="26"/>
                <w:rtl/>
              </w:rPr>
              <w:t>27/12/2006</w:t>
            </w:r>
          </w:p>
        </w:tc>
      </w:tr>
    </w:tbl>
    <w:p w14:paraId="2F55989C" w14:textId="77777777" w:rsidR="003E76AA" w:rsidRDefault="003E76AA">
      <w:pPr>
        <w:pStyle w:val="Header"/>
        <w:jc w:val="left"/>
        <w:rPr>
          <w:rFonts w:hint="cs"/>
          <w:szCs w:val="20"/>
          <w:rtl/>
        </w:rPr>
      </w:pPr>
    </w:p>
    <w:p w14:paraId="01CC6E2B" w14:textId="77777777" w:rsidR="003E76AA" w:rsidRDefault="003E76AA">
      <w:pPr>
        <w:spacing w:line="240" w:lineRule="auto"/>
        <w:rPr>
          <w:rFonts w:hint="cs"/>
          <w:b/>
          <w:b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3E76AA" w14:paraId="37322D8B" w14:textId="77777777">
        <w:tc>
          <w:tcPr>
            <w:tcW w:w="1362" w:type="dxa"/>
          </w:tcPr>
          <w:p w14:paraId="1AAB24C4" w14:textId="77777777" w:rsidR="003E76AA" w:rsidRDefault="003E76AA">
            <w:pPr>
              <w:spacing w:line="240" w:lineRule="auto"/>
              <w:rPr>
                <w:b/>
                <w:bCs/>
                <w:sz w:val="28"/>
                <w:szCs w:val="28"/>
              </w:rPr>
            </w:pPr>
            <w:bookmarkStart w:id="1" w:name="FirstAppellant"/>
            <w:r>
              <w:rPr>
                <w:rFonts w:hint="cs"/>
                <w:b/>
                <w:bCs/>
                <w:sz w:val="28"/>
                <w:szCs w:val="28"/>
                <w:rtl/>
              </w:rPr>
              <w:t>בעניין:</w:t>
            </w:r>
          </w:p>
        </w:tc>
        <w:tc>
          <w:tcPr>
            <w:tcW w:w="4820" w:type="dxa"/>
          </w:tcPr>
          <w:p w14:paraId="32AE2F13" w14:textId="77777777" w:rsidR="003E76AA" w:rsidRDefault="003E76AA">
            <w:pPr>
              <w:spacing w:line="240" w:lineRule="auto"/>
              <w:rPr>
                <w:b/>
                <w:bCs/>
                <w:sz w:val="28"/>
                <w:szCs w:val="28"/>
              </w:rPr>
            </w:pPr>
            <w:r>
              <w:rPr>
                <w:rFonts w:hint="cs"/>
                <w:b/>
                <w:bCs/>
                <w:sz w:val="28"/>
                <w:szCs w:val="28"/>
                <w:rtl/>
              </w:rPr>
              <w:t>מדינת ישראל</w:t>
            </w:r>
          </w:p>
        </w:tc>
        <w:tc>
          <w:tcPr>
            <w:tcW w:w="2409" w:type="dxa"/>
          </w:tcPr>
          <w:p w14:paraId="5F50BB66" w14:textId="77777777" w:rsidR="003E76AA" w:rsidRDefault="003E76AA">
            <w:pPr>
              <w:spacing w:line="240" w:lineRule="auto"/>
              <w:rPr>
                <w:b/>
                <w:bCs/>
                <w:sz w:val="28"/>
                <w:szCs w:val="28"/>
              </w:rPr>
            </w:pPr>
          </w:p>
        </w:tc>
      </w:tr>
      <w:bookmarkEnd w:id="1"/>
      <w:tr w:rsidR="003E76AA" w14:paraId="0A5E7CD1" w14:textId="77777777">
        <w:tc>
          <w:tcPr>
            <w:tcW w:w="1362" w:type="dxa"/>
          </w:tcPr>
          <w:p w14:paraId="1B0A0025" w14:textId="77777777" w:rsidR="003E76AA" w:rsidRDefault="003E76AA">
            <w:pPr>
              <w:spacing w:line="240" w:lineRule="auto"/>
              <w:rPr>
                <w:b/>
                <w:bCs/>
                <w:sz w:val="28"/>
                <w:szCs w:val="28"/>
              </w:rPr>
            </w:pPr>
          </w:p>
        </w:tc>
        <w:tc>
          <w:tcPr>
            <w:tcW w:w="4820" w:type="dxa"/>
          </w:tcPr>
          <w:p w14:paraId="69B44C54" w14:textId="77777777" w:rsidR="003E76AA" w:rsidRDefault="003E76AA">
            <w:pPr>
              <w:spacing w:line="240" w:lineRule="auto"/>
              <w:rPr>
                <w:b/>
                <w:bCs/>
                <w:sz w:val="28"/>
                <w:szCs w:val="28"/>
              </w:rPr>
            </w:pPr>
            <w:r>
              <w:rPr>
                <w:rFonts w:hint="cs"/>
                <w:b/>
                <w:bCs/>
                <w:sz w:val="28"/>
                <w:szCs w:val="28"/>
                <w:rtl/>
              </w:rPr>
              <w:t>(לשכת תביעות  ירושלים)</w:t>
            </w:r>
            <w:bookmarkStart w:id="2" w:name="שם_א"/>
            <w:bookmarkEnd w:id="2"/>
            <w:r>
              <w:rPr>
                <w:rFonts w:hint="cs"/>
                <w:b/>
                <w:bCs/>
                <w:sz w:val="28"/>
                <w:szCs w:val="28"/>
                <w:rtl/>
              </w:rPr>
              <w:t xml:space="preserve"> פלילי</w:t>
            </w:r>
          </w:p>
        </w:tc>
        <w:tc>
          <w:tcPr>
            <w:tcW w:w="2409" w:type="dxa"/>
          </w:tcPr>
          <w:p w14:paraId="44E117E5" w14:textId="77777777" w:rsidR="003E76AA" w:rsidRDefault="003E76AA">
            <w:pPr>
              <w:spacing w:line="240" w:lineRule="auto"/>
              <w:rPr>
                <w:b/>
                <w:bCs/>
                <w:sz w:val="28"/>
                <w:szCs w:val="28"/>
              </w:rPr>
            </w:pPr>
            <w:r>
              <w:rPr>
                <w:rFonts w:hint="cs"/>
                <w:b/>
                <w:bCs/>
                <w:sz w:val="28"/>
                <w:szCs w:val="28"/>
                <w:rtl/>
              </w:rPr>
              <w:t>המאשימה</w:t>
            </w:r>
          </w:p>
        </w:tc>
      </w:tr>
      <w:tr w:rsidR="003E76AA" w14:paraId="752578EA" w14:textId="77777777">
        <w:tc>
          <w:tcPr>
            <w:tcW w:w="1362" w:type="dxa"/>
          </w:tcPr>
          <w:p w14:paraId="65E7227C" w14:textId="77777777" w:rsidR="003E76AA" w:rsidRDefault="003E76AA">
            <w:pPr>
              <w:spacing w:line="240" w:lineRule="auto"/>
              <w:rPr>
                <w:b/>
                <w:bCs/>
                <w:sz w:val="28"/>
                <w:szCs w:val="28"/>
              </w:rPr>
            </w:pPr>
          </w:p>
        </w:tc>
        <w:tc>
          <w:tcPr>
            <w:tcW w:w="4820" w:type="dxa"/>
          </w:tcPr>
          <w:p w14:paraId="6F22D09A" w14:textId="77777777" w:rsidR="003E76AA" w:rsidRDefault="003E76AA">
            <w:pPr>
              <w:spacing w:line="240" w:lineRule="auto"/>
              <w:jc w:val="center"/>
              <w:rPr>
                <w:b/>
                <w:bCs/>
                <w:sz w:val="28"/>
                <w:szCs w:val="28"/>
              </w:rPr>
            </w:pPr>
            <w:r>
              <w:rPr>
                <w:rFonts w:hint="cs"/>
                <w:b/>
                <w:bCs/>
                <w:sz w:val="28"/>
                <w:szCs w:val="28"/>
                <w:rtl/>
              </w:rPr>
              <w:t>נ ג ד</w:t>
            </w:r>
          </w:p>
        </w:tc>
        <w:tc>
          <w:tcPr>
            <w:tcW w:w="2409" w:type="dxa"/>
          </w:tcPr>
          <w:p w14:paraId="25A990D1" w14:textId="77777777" w:rsidR="003E76AA" w:rsidRDefault="003E76AA">
            <w:pPr>
              <w:spacing w:line="240" w:lineRule="auto"/>
              <w:rPr>
                <w:b/>
                <w:bCs/>
                <w:sz w:val="28"/>
                <w:szCs w:val="28"/>
              </w:rPr>
            </w:pPr>
          </w:p>
        </w:tc>
      </w:tr>
      <w:tr w:rsidR="003E76AA" w14:paraId="175A3DB2" w14:textId="77777777">
        <w:tc>
          <w:tcPr>
            <w:tcW w:w="1362" w:type="dxa"/>
          </w:tcPr>
          <w:p w14:paraId="399CA4CA" w14:textId="77777777" w:rsidR="003E76AA" w:rsidRDefault="003E76AA">
            <w:pPr>
              <w:spacing w:line="240" w:lineRule="auto"/>
              <w:rPr>
                <w:b/>
                <w:bCs/>
                <w:sz w:val="28"/>
                <w:szCs w:val="28"/>
              </w:rPr>
            </w:pPr>
            <w:bookmarkStart w:id="3" w:name="שם_ב" w:colFirst="1" w:colLast="1"/>
          </w:p>
        </w:tc>
        <w:tc>
          <w:tcPr>
            <w:tcW w:w="4820" w:type="dxa"/>
          </w:tcPr>
          <w:p w14:paraId="496AB5EB" w14:textId="77777777" w:rsidR="003E76AA" w:rsidRDefault="003E76AA">
            <w:pPr>
              <w:spacing w:line="240" w:lineRule="auto"/>
              <w:rPr>
                <w:b/>
                <w:bCs/>
                <w:sz w:val="28"/>
                <w:szCs w:val="28"/>
              </w:rPr>
            </w:pPr>
            <w:r>
              <w:rPr>
                <w:rFonts w:hint="cs"/>
                <w:b/>
                <w:bCs/>
                <w:sz w:val="28"/>
                <w:szCs w:val="28"/>
                <w:rtl/>
              </w:rPr>
              <w:t>אבו אלולאיה מוסא</w:t>
            </w:r>
          </w:p>
        </w:tc>
        <w:tc>
          <w:tcPr>
            <w:tcW w:w="2409" w:type="dxa"/>
          </w:tcPr>
          <w:p w14:paraId="1DD1DEBA" w14:textId="77777777" w:rsidR="003E76AA" w:rsidRDefault="003E76AA">
            <w:pPr>
              <w:spacing w:line="240" w:lineRule="auto"/>
              <w:rPr>
                <w:b/>
                <w:bCs/>
                <w:sz w:val="28"/>
                <w:szCs w:val="28"/>
              </w:rPr>
            </w:pPr>
          </w:p>
        </w:tc>
      </w:tr>
      <w:bookmarkEnd w:id="3"/>
      <w:tr w:rsidR="003E76AA" w14:paraId="6067BE3E" w14:textId="77777777">
        <w:tc>
          <w:tcPr>
            <w:tcW w:w="1362" w:type="dxa"/>
          </w:tcPr>
          <w:p w14:paraId="7BFD8B02" w14:textId="77777777" w:rsidR="003E76AA" w:rsidRDefault="003E76AA">
            <w:pPr>
              <w:spacing w:line="240" w:lineRule="auto"/>
              <w:rPr>
                <w:b/>
                <w:bCs/>
                <w:sz w:val="28"/>
                <w:szCs w:val="28"/>
              </w:rPr>
            </w:pPr>
          </w:p>
        </w:tc>
        <w:tc>
          <w:tcPr>
            <w:tcW w:w="4820" w:type="dxa"/>
          </w:tcPr>
          <w:p w14:paraId="48CAD884" w14:textId="77777777" w:rsidR="003E76AA" w:rsidRDefault="003E76AA">
            <w:pPr>
              <w:pStyle w:val="Heading4"/>
              <w:rPr>
                <w:sz w:val="28"/>
                <w:szCs w:val="28"/>
              </w:rPr>
            </w:pPr>
            <w:r>
              <w:rPr>
                <w:rFonts w:hint="cs"/>
                <w:sz w:val="28"/>
                <w:szCs w:val="28"/>
                <w:rtl/>
              </w:rPr>
              <w:t xml:space="preserve"> </w:t>
            </w:r>
          </w:p>
        </w:tc>
        <w:tc>
          <w:tcPr>
            <w:tcW w:w="2409" w:type="dxa"/>
          </w:tcPr>
          <w:p w14:paraId="28E1257C" w14:textId="77777777" w:rsidR="003E76AA" w:rsidRDefault="003E76AA">
            <w:pPr>
              <w:spacing w:line="240" w:lineRule="auto"/>
              <w:rPr>
                <w:b/>
                <w:bCs/>
                <w:sz w:val="28"/>
                <w:szCs w:val="28"/>
              </w:rPr>
            </w:pPr>
            <w:r>
              <w:rPr>
                <w:rFonts w:hint="cs"/>
                <w:b/>
                <w:bCs/>
                <w:sz w:val="28"/>
                <w:szCs w:val="28"/>
                <w:rtl/>
              </w:rPr>
              <w:t>הנאשם</w:t>
            </w:r>
          </w:p>
        </w:tc>
      </w:tr>
    </w:tbl>
    <w:p w14:paraId="06FA3335" w14:textId="77777777" w:rsidR="003E76AA" w:rsidRDefault="003E76AA">
      <w:pPr>
        <w:spacing w:line="240" w:lineRule="auto"/>
        <w:rPr>
          <w:rFonts w:hint="cs"/>
          <w:b/>
          <w:bCs/>
          <w:sz w:val="28"/>
          <w:szCs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3E76AA" w14:paraId="516A5010" w14:textId="77777777">
        <w:tc>
          <w:tcPr>
            <w:tcW w:w="1332" w:type="dxa"/>
          </w:tcPr>
          <w:p w14:paraId="478B3432" w14:textId="77777777" w:rsidR="003E76AA" w:rsidRDefault="003E76AA">
            <w:pPr>
              <w:spacing w:line="240" w:lineRule="auto"/>
              <w:rPr>
                <w:b/>
                <w:bCs/>
                <w:sz w:val="28"/>
                <w:szCs w:val="28"/>
              </w:rPr>
            </w:pPr>
            <w:bookmarkStart w:id="4" w:name="FirstLawyer"/>
            <w:r>
              <w:rPr>
                <w:rFonts w:hint="cs"/>
                <w:b/>
                <w:bCs/>
                <w:sz w:val="28"/>
                <w:szCs w:val="28"/>
                <w:rtl/>
              </w:rPr>
              <w:t>נוכחים:</w:t>
            </w:r>
          </w:p>
        </w:tc>
        <w:tc>
          <w:tcPr>
            <w:tcW w:w="7230" w:type="dxa"/>
          </w:tcPr>
          <w:p w14:paraId="425E47FE" w14:textId="77777777" w:rsidR="003E76AA" w:rsidRDefault="003E76AA">
            <w:pPr>
              <w:spacing w:line="240" w:lineRule="auto"/>
              <w:rPr>
                <w:b/>
                <w:bCs/>
                <w:sz w:val="28"/>
                <w:szCs w:val="28"/>
              </w:rPr>
            </w:pPr>
            <w:r>
              <w:rPr>
                <w:rFonts w:hint="cs"/>
                <w:b/>
                <w:bCs/>
                <w:sz w:val="28"/>
                <w:szCs w:val="28"/>
                <w:rtl/>
              </w:rPr>
              <w:t>ב"כ המאשימה עו"ד דוניה נסאר</w:t>
            </w:r>
          </w:p>
          <w:p w14:paraId="35FCAF58" w14:textId="77777777" w:rsidR="003E76AA" w:rsidRDefault="003E76AA">
            <w:pPr>
              <w:spacing w:line="240" w:lineRule="auto"/>
              <w:rPr>
                <w:rFonts w:hint="cs"/>
                <w:b/>
                <w:bCs/>
                <w:sz w:val="28"/>
                <w:szCs w:val="28"/>
                <w:rtl/>
              </w:rPr>
            </w:pPr>
            <w:r>
              <w:rPr>
                <w:rFonts w:hint="cs"/>
                <w:b/>
                <w:bCs/>
                <w:sz w:val="28"/>
                <w:szCs w:val="28"/>
                <w:rtl/>
              </w:rPr>
              <w:t>הנאשם וב"כ עו"ד ג'דעון מרואן</w:t>
            </w:r>
          </w:p>
          <w:p w14:paraId="39DF952A" w14:textId="77777777" w:rsidR="003E76AA" w:rsidRDefault="003E76AA">
            <w:pPr>
              <w:spacing w:line="240" w:lineRule="auto"/>
              <w:rPr>
                <w:b/>
                <w:bCs/>
                <w:sz w:val="28"/>
                <w:szCs w:val="28"/>
              </w:rPr>
            </w:pPr>
            <w:r>
              <w:rPr>
                <w:rFonts w:hint="cs"/>
                <w:b/>
                <w:bCs/>
                <w:sz w:val="28"/>
                <w:szCs w:val="28"/>
                <w:rtl/>
              </w:rPr>
              <w:t>מתורגמנית בית המשפט - תמרה</w:t>
            </w:r>
          </w:p>
        </w:tc>
      </w:tr>
    </w:tbl>
    <w:p w14:paraId="768E4D8D" w14:textId="77777777" w:rsidR="00141AEF" w:rsidRDefault="00141AEF">
      <w:pPr>
        <w:rPr>
          <w:sz w:val="28"/>
          <w:szCs w:val="28"/>
          <w:rtl/>
        </w:rPr>
      </w:pPr>
      <w:bookmarkStart w:id="5" w:name="צד_ג"/>
      <w:bookmarkStart w:id="6" w:name="LawTable"/>
      <w:bookmarkEnd w:id="4"/>
      <w:bookmarkEnd w:id="5"/>
      <w:bookmarkEnd w:id="6"/>
    </w:p>
    <w:p w14:paraId="4C420EF6" w14:textId="77777777" w:rsidR="00141AEF" w:rsidRPr="00141AEF" w:rsidRDefault="00141AEF" w:rsidP="00141AEF">
      <w:pPr>
        <w:spacing w:after="120" w:line="240" w:lineRule="exact"/>
        <w:ind w:left="283" w:hanging="283"/>
        <w:rPr>
          <w:rFonts w:ascii="FrankRuehl" w:hAnsi="FrankRuehl" w:cs="FrankRuehl"/>
          <w:sz w:val="24"/>
          <w:szCs w:val="24"/>
          <w:rtl/>
        </w:rPr>
      </w:pPr>
    </w:p>
    <w:p w14:paraId="1D44CD35" w14:textId="77777777" w:rsidR="00141AEF" w:rsidRPr="00141AEF" w:rsidRDefault="00141AEF" w:rsidP="00141AEF">
      <w:pPr>
        <w:spacing w:after="120" w:line="240" w:lineRule="exact"/>
        <w:ind w:left="283" w:hanging="283"/>
        <w:rPr>
          <w:rFonts w:ascii="FrankRuehl" w:hAnsi="FrankRuehl" w:cs="FrankRuehl"/>
          <w:sz w:val="24"/>
          <w:szCs w:val="24"/>
          <w:rtl/>
        </w:rPr>
      </w:pPr>
      <w:r w:rsidRPr="00141AEF">
        <w:rPr>
          <w:rFonts w:ascii="FrankRuehl" w:hAnsi="FrankRuehl" w:cs="FrankRuehl"/>
          <w:sz w:val="24"/>
          <w:szCs w:val="24"/>
          <w:rtl/>
        </w:rPr>
        <w:t xml:space="preserve">חקיקה שאוזכרה: </w:t>
      </w:r>
    </w:p>
    <w:p w14:paraId="73813BEC" w14:textId="77777777" w:rsidR="00141AEF" w:rsidRPr="00141AEF" w:rsidRDefault="00141AEF" w:rsidP="00141AEF">
      <w:pPr>
        <w:spacing w:after="120" w:line="240" w:lineRule="exact"/>
        <w:ind w:left="283" w:hanging="283"/>
        <w:rPr>
          <w:rFonts w:ascii="FrankRuehl" w:hAnsi="FrankRuehl" w:cs="FrankRuehl"/>
          <w:sz w:val="24"/>
          <w:szCs w:val="24"/>
          <w:rtl/>
        </w:rPr>
      </w:pPr>
      <w:hyperlink r:id="rId7" w:history="1">
        <w:r w:rsidRPr="00141AEF">
          <w:rPr>
            <w:rFonts w:ascii="FrankRuehl" w:hAnsi="FrankRuehl" w:cs="FrankRuehl"/>
            <w:color w:val="0000FF"/>
            <w:sz w:val="24"/>
            <w:szCs w:val="24"/>
            <w:u w:val="single"/>
            <w:rtl/>
          </w:rPr>
          <w:t>חוק למניעת הטרדה מינית, תשנ"ח-1998</w:t>
        </w:r>
      </w:hyperlink>
      <w:r w:rsidRPr="00141AEF">
        <w:rPr>
          <w:rFonts w:ascii="FrankRuehl" w:hAnsi="FrankRuehl" w:cs="FrankRuehl"/>
          <w:sz w:val="24"/>
          <w:szCs w:val="24"/>
          <w:rtl/>
        </w:rPr>
        <w:t xml:space="preserve">: סע'  </w:t>
      </w:r>
      <w:hyperlink r:id="rId8" w:history="1">
        <w:r w:rsidRPr="00141AEF">
          <w:rPr>
            <w:rFonts w:ascii="FrankRuehl" w:hAnsi="FrankRuehl" w:cs="FrankRuehl"/>
            <w:color w:val="0000FF"/>
            <w:sz w:val="24"/>
            <w:szCs w:val="24"/>
            <w:u w:val="single"/>
            <w:rtl/>
          </w:rPr>
          <w:t>3(א)(3)</w:t>
        </w:r>
      </w:hyperlink>
    </w:p>
    <w:p w14:paraId="3FE4CC7D" w14:textId="77777777" w:rsidR="00141AEF" w:rsidRPr="00141AEF" w:rsidRDefault="00141AEF" w:rsidP="00141AEF">
      <w:pPr>
        <w:spacing w:after="120" w:line="240" w:lineRule="exact"/>
        <w:ind w:left="283" w:hanging="283"/>
        <w:rPr>
          <w:rFonts w:ascii="FrankRuehl" w:hAnsi="FrankRuehl" w:cs="FrankRuehl"/>
          <w:sz w:val="24"/>
          <w:szCs w:val="24"/>
          <w:rtl/>
        </w:rPr>
      </w:pPr>
      <w:hyperlink r:id="rId9" w:history="1">
        <w:r w:rsidRPr="00141AEF">
          <w:rPr>
            <w:rFonts w:ascii="FrankRuehl" w:hAnsi="FrankRuehl" w:cs="FrankRuehl"/>
            <w:color w:val="0000FF"/>
            <w:sz w:val="24"/>
            <w:szCs w:val="24"/>
            <w:u w:val="single"/>
            <w:rtl/>
          </w:rPr>
          <w:t>חוק העונשין, תשל"ז-1977</w:t>
        </w:r>
      </w:hyperlink>
      <w:r w:rsidRPr="00141AEF">
        <w:rPr>
          <w:rFonts w:ascii="FrankRuehl" w:hAnsi="FrankRuehl" w:cs="FrankRuehl"/>
          <w:sz w:val="24"/>
          <w:szCs w:val="24"/>
          <w:rtl/>
        </w:rPr>
        <w:t xml:space="preserve">: סע'  </w:t>
      </w:r>
      <w:hyperlink r:id="rId10" w:history="1">
        <w:r w:rsidRPr="00141AEF">
          <w:rPr>
            <w:rFonts w:ascii="FrankRuehl" w:hAnsi="FrankRuehl" w:cs="FrankRuehl"/>
            <w:color w:val="0000FF"/>
            <w:sz w:val="24"/>
            <w:szCs w:val="24"/>
            <w:u w:val="single"/>
            <w:rtl/>
          </w:rPr>
          <w:t>348 (ג)</w:t>
        </w:r>
      </w:hyperlink>
    </w:p>
    <w:p w14:paraId="4785A5B6" w14:textId="77777777" w:rsidR="00141AEF" w:rsidRDefault="00141AEF" w:rsidP="00141AEF">
      <w:pPr>
        <w:spacing w:after="120" w:line="240" w:lineRule="exact"/>
        <w:ind w:left="283" w:hanging="283"/>
        <w:rPr>
          <w:rFonts w:ascii="FrankRuehl" w:hAnsi="FrankRuehl" w:cs="FrankRuehl"/>
          <w:sz w:val="24"/>
          <w:szCs w:val="24"/>
          <w:rtl/>
        </w:rPr>
      </w:pPr>
    </w:p>
    <w:p w14:paraId="6D3309D6" w14:textId="77777777" w:rsidR="00141AEF" w:rsidRPr="00141AEF" w:rsidRDefault="00141AEF" w:rsidP="00141AEF">
      <w:pPr>
        <w:spacing w:after="120" w:line="240" w:lineRule="exact"/>
        <w:ind w:left="283" w:hanging="283"/>
        <w:rPr>
          <w:rFonts w:ascii="FrankRuehl" w:hAnsi="FrankRuehl" w:cs="FrankRuehl"/>
          <w:sz w:val="24"/>
          <w:szCs w:val="24"/>
          <w:rtl/>
        </w:rPr>
      </w:pPr>
    </w:p>
    <w:p w14:paraId="5A0D44F6" w14:textId="77777777" w:rsidR="003E76AA" w:rsidRDefault="003E76AA">
      <w:pPr>
        <w:jc w:val="center"/>
        <w:rPr>
          <w:b/>
          <w:bCs/>
          <w:sz w:val="28"/>
          <w:szCs w:val="28"/>
          <w:u w:val="single"/>
          <w:rtl/>
        </w:rPr>
      </w:pPr>
      <w:bookmarkStart w:id="7" w:name="LawTable_End"/>
      <w:bookmarkStart w:id="8" w:name="סוג_מסמך"/>
      <w:bookmarkStart w:id="9" w:name="PsakDin"/>
      <w:bookmarkEnd w:id="0"/>
      <w:bookmarkEnd w:id="7"/>
      <w:bookmarkEnd w:id="8"/>
      <w:r>
        <w:rPr>
          <w:b/>
          <w:bCs/>
          <w:sz w:val="28"/>
          <w:szCs w:val="28"/>
          <w:u w:val="single"/>
          <w:rtl/>
        </w:rPr>
        <w:t>הכרעת דין</w:t>
      </w:r>
    </w:p>
    <w:bookmarkEnd w:id="9"/>
    <w:p w14:paraId="4A1B72B3" w14:textId="77777777" w:rsidR="003E76AA" w:rsidRDefault="003E76AA">
      <w:pPr>
        <w:jc w:val="center"/>
        <w:rPr>
          <w:rFonts w:hint="cs"/>
          <w:b/>
          <w:bCs/>
          <w:sz w:val="28"/>
          <w:szCs w:val="28"/>
          <w:u w:val="single"/>
          <w:rtl/>
        </w:rPr>
      </w:pPr>
    </w:p>
    <w:p w14:paraId="1A0C14FF" w14:textId="77777777" w:rsidR="003E76AA" w:rsidRDefault="003E76AA">
      <w:pPr>
        <w:rPr>
          <w:rFonts w:hint="cs"/>
          <w:sz w:val="28"/>
          <w:szCs w:val="28"/>
          <w:rtl/>
        </w:rPr>
      </w:pPr>
      <w:r>
        <w:rPr>
          <w:rFonts w:hint="cs"/>
          <w:sz w:val="28"/>
          <w:szCs w:val="28"/>
          <w:rtl/>
        </w:rPr>
        <w:t>אני מזכה את הנאשם מחמת הספק.</w:t>
      </w:r>
    </w:p>
    <w:p w14:paraId="5C8E378D" w14:textId="77777777" w:rsidR="003E76AA" w:rsidRDefault="003E76AA">
      <w:pPr>
        <w:rPr>
          <w:rFonts w:hint="cs"/>
          <w:sz w:val="28"/>
          <w:szCs w:val="28"/>
          <w:rtl/>
        </w:rPr>
      </w:pPr>
    </w:p>
    <w:p w14:paraId="56F60FE9" w14:textId="77777777" w:rsidR="003E76AA" w:rsidRDefault="003E76AA">
      <w:pPr>
        <w:rPr>
          <w:rFonts w:hint="cs"/>
          <w:sz w:val="28"/>
          <w:szCs w:val="28"/>
          <w:rtl/>
        </w:rPr>
      </w:pPr>
      <w:r>
        <w:rPr>
          <w:rFonts w:hint="cs"/>
          <w:b/>
          <w:bCs/>
          <w:sz w:val="28"/>
          <w:szCs w:val="28"/>
          <w:u w:val="single"/>
          <w:rtl/>
        </w:rPr>
        <w:t>רקע</w:t>
      </w:r>
      <w:r>
        <w:rPr>
          <w:rFonts w:hint="cs"/>
          <w:sz w:val="28"/>
          <w:szCs w:val="28"/>
          <w:rtl/>
        </w:rPr>
        <w:t xml:space="preserve"> </w:t>
      </w:r>
    </w:p>
    <w:p w14:paraId="38CD48DE" w14:textId="77777777" w:rsidR="003E76AA" w:rsidRDefault="003E76AA">
      <w:pPr>
        <w:pStyle w:val="BodyTextIndent2"/>
        <w:numPr>
          <w:ilvl w:val="0"/>
          <w:numId w:val="2"/>
        </w:numPr>
        <w:ind w:right="0"/>
        <w:rPr>
          <w:rFonts w:cs="David" w:hint="cs"/>
          <w:sz w:val="28"/>
          <w:szCs w:val="28"/>
          <w:rtl/>
        </w:rPr>
      </w:pPr>
      <w:bookmarkStart w:id="10" w:name="ABSTRACT_START"/>
      <w:bookmarkEnd w:id="10"/>
      <w:r>
        <w:rPr>
          <w:rFonts w:cs="David" w:hint="cs"/>
          <w:sz w:val="28"/>
          <w:szCs w:val="28"/>
          <w:rtl/>
        </w:rPr>
        <w:t xml:space="preserve">כתב אישום מייחס לנאשם ביצוע העבירות הבאות: </w:t>
      </w:r>
    </w:p>
    <w:p w14:paraId="367143B7" w14:textId="77777777" w:rsidR="003E76AA" w:rsidRDefault="003E76AA">
      <w:pPr>
        <w:pStyle w:val="BodyTextIndent2"/>
        <w:ind w:left="1440"/>
        <w:rPr>
          <w:rFonts w:cs="David"/>
          <w:b/>
          <w:bCs/>
          <w:sz w:val="28"/>
          <w:szCs w:val="28"/>
          <w:rtl/>
        </w:rPr>
      </w:pPr>
      <w:r>
        <w:rPr>
          <w:rFonts w:cs="David" w:hint="cs"/>
          <w:sz w:val="28"/>
          <w:szCs w:val="28"/>
          <w:rtl/>
        </w:rPr>
        <w:t>א.</w:t>
      </w:r>
      <w:r>
        <w:rPr>
          <w:rFonts w:cs="David" w:hint="cs"/>
          <w:sz w:val="28"/>
          <w:szCs w:val="28"/>
          <w:rtl/>
        </w:rPr>
        <w:tab/>
        <w:t xml:space="preserve">הטרדה מינית - עבירה לפי </w:t>
      </w:r>
      <w:hyperlink r:id="rId11" w:history="1">
        <w:r w:rsidR="00141AEF" w:rsidRPr="00141AEF">
          <w:rPr>
            <w:rFonts w:cs="David"/>
            <w:color w:val="0000FF"/>
            <w:sz w:val="28"/>
            <w:szCs w:val="28"/>
            <w:u w:val="single"/>
            <w:rtl/>
          </w:rPr>
          <w:t>סעיף 3(א)(3)</w:t>
        </w:r>
      </w:hyperlink>
      <w:r>
        <w:rPr>
          <w:rFonts w:cs="David" w:hint="cs"/>
          <w:sz w:val="28"/>
          <w:szCs w:val="28"/>
          <w:rtl/>
        </w:rPr>
        <w:t xml:space="preserve"> ל</w:t>
      </w:r>
      <w:hyperlink r:id="rId12" w:history="1">
        <w:r w:rsidR="008A10E6" w:rsidRPr="008A10E6">
          <w:rPr>
            <w:rStyle w:val="Hyperlink"/>
            <w:rFonts w:cs="David" w:hint="eastAsia"/>
            <w:b/>
            <w:bCs/>
            <w:sz w:val="28"/>
            <w:szCs w:val="28"/>
            <w:rtl/>
          </w:rPr>
          <w:t>חוק</w:t>
        </w:r>
        <w:r w:rsidR="008A10E6" w:rsidRPr="008A10E6">
          <w:rPr>
            <w:rStyle w:val="Hyperlink"/>
            <w:rFonts w:cs="David"/>
            <w:b/>
            <w:bCs/>
            <w:sz w:val="28"/>
            <w:szCs w:val="28"/>
            <w:rtl/>
          </w:rPr>
          <w:t xml:space="preserve"> למניעת הטרדה מינית</w:t>
        </w:r>
      </w:hyperlink>
      <w:r>
        <w:rPr>
          <w:rFonts w:cs="David" w:hint="cs"/>
          <w:b/>
          <w:bCs/>
          <w:sz w:val="28"/>
          <w:szCs w:val="28"/>
          <w:rtl/>
        </w:rPr>
        <w:t xml:space="preserve"> התשנ"ח-1998. </w:t>
      </w:r>
    </w:p>
    <w:p w14:paraId="323F9FDE" w14:textId="77777777" w:rsidR="003E76AA" w:rsidRDefault="003E76AA">
      <w:pPr>
        <w:pStyle w:val="BodyTextIndent2"/>
        <w:ind w:left="1440"/>
        <w:rPr>
          <w:rFonts w:cs="David" w:hint="cs"/>
          <w:sz w:val="28"/>
          <w:szCs w:val="28"/>
          <w:rtl/>
        </w:rPr>
      </w:pPr>
      <w:r>
        <w:rPr>
          <w:rFonts w:cs="David" w:hint="cs"/>
          <w:sz w:val="28"/>
          <w:szCs w:val="28"/>
          <w:rtl/>
        </w:rPr>
        <w:t>ב.</w:t>
      </w:r>
      <w:r>
        <w:rPr>
          <w:rFonts w:cs="David" w:hint="cs"/>
          <w:sz w:val="28"/>
          <w:szCs w:val="28"/>
          <w:rtl/>
        </w:rPr>
        <w:tab/>
        <w:t xml:space="preserve">מעשה מגונה - עבירה לפי </w:t>
      </w:r>
      <w:hyperlink r:id="rId13" w:history="1">
        <w:r w:rsidR="00141AEF" w:rsidRPr="00141AEF">
          <w:rPr>
            <w:rStyle w:val="Hyperlink"/>
            <w:rFonts w:cs="David" w:hint="eastAsia"/>
            <w:sz w:val="28"/>
            <w:szCs w:val="28"/>
            <w:rtl/>
          </w:rPr>
          <w:t>סעיף</w:t>
        </w:r>
        <w:r w:rsidR="00141AEF" w:rsidRPr="00141AEF">
          <w:rPr>
            <w:rStyle w:val="Hyperlink"/>
            <w:rFonts w:cs="David"/>
            <w:sz w:val="28"/>
            <w:szCs w:val="28"/>
            <w:rtl/>
          </w:rPr>
          <w:t xml:space="preserve"> 348 (ג)</w:t>
        </w:r>
      </w:hyperlink>
      <w:r>
        <w:rPr>
          <w:rFonts w:cs="David" w:hint="cs"/>
          <w:sz w:val="28"/>
          <w:szCs w:val="28"/>
          <w:rtl/>
        </w:rPr>
        <w:t xml:space="preserve"> ל</w:t>
      </w:r>
      <w:hyperlink r:id="rId14" w:history="1">
        <w:r w:rsidR="008A10E6" w:rsidRPr="008A10E6">
          <w:rPr>
            <w:rStyle w:val="Hyperlink"/>
            <w:rFonts w:cs="David" w:hint="eastAsia"/>
            <w:b/>
            <w:bCs/>
            <w:sz w:val="28"/>
            <w:szCs w:val="28"/>
            <w:rtl/>
          </w:rPr>
          <w:t>חוק</w:t>
        </w:r>
        <w:r w:rsidR="008A10E6" w:rsidRPr="008A10E6">
          <w:rPr>
            <w:rStyle w:val="Hyperlink"/>
            <w:rFonts w:cs="David"/>
            <w:b/>
            <w:bCs/>
            <w:sz w:val="28"/>
            <w:szCs w:val="28"/>
            <w:rtl/>
          </w:rPr>
          <w:t xml:space="preserve"> העונשין</w:t>
        </w:r>
      </w:hyperlink>
      <w:r>
        <w:rPr>
          <w:rFonts w:cs="David" w:hint="cs"/>
          <w:b/>
          <w:bCs/>
          <w:sz w:val="28"/>
          <w:szCs w:val="28"/>
          <w:rtl/>
        </w:rPr>
        <w:t xml:space="preserve">, התשל"ז-1977 </w:t>
      </w:r>
      <w:bookmarkStart w:id="11" w:name="ABSTRACT_END"/>
      <w:bookmarkEnd w:id="11"/>
      <w:r>
        <w:rPr>
          <w:rFonts w:cs="David" w:hint="cs"/>
          <w:sz w:val="28"/>
          <w:szCs w:val="28"/>
          <w:rtl/>
        </w:rPr>
        <w:t>(להלן: "</w:t>
      </w:r>
      <w:r>
        <w:rPr>
          <w:rFonts w:cs="David" w:hint="cs"/>
          <w:b/>
          <w:bCs/>
          <w:sz w:val="28"/>
          <w:szCs w:val="28"/>
          <w:rtl/>
        </w:rPr>
        <w:t>כתב האישום</w:t>
      </w:r>
      <w:r>
        <w:rPr>
          <w:rFonts w:cs="David" w:hint="cs"/>
          <w:sz w:val="28"/>
          <w:szCs w:val="28"/>
          <w:rtl/>
        </w:rPr>
        <w:t>").</w:t>
      </w:r>
    </w:p>
    <w:p w14:paraId="4DE4E010" w14:textId="77777777" w:rsidR="003E76AA" w:rsidRDefault="003E76AA">
      <w:pPr>
        <w:pStyle w:val="BodyTextIndent2"/>
        <w:ind w:left="360" w:right="720" w:firstLine="0"/>
        <w:rPr>
          <w:rFonts w:cs="David" w:hint="cs"/>
          <w:sz w:val="28"/>
          <w:szCs w:val="28"/>
          <w:rtl/>
        </w:rPr>
      </w:pPr>
    </w:p>
    <w:p w14:paraId="6074AC8A" w14:textId="77777777" w:rsidR="003E76AA" w:rsidRDefault="003E76AA">
      <w:pPr>
        <w:pStyle w:val="BodyTextIndent2"/>
        <w:numPr>
          <w:ilvl w:val="0"/>
          <w:numId w:val="2"/>
        </w:numPr>
        <w:ind w:right="0"/>
        <w:rPr>
          <w:rFonts w:cs="David" w:hint="cs"/>
          <w:sz w:val="28"/>
          <w:szCs w:val="28"/>
          <w:rtl/>
        </w:rPr>
      </w:pPr>
      <w:r>
        <w:rPr>
          <w:rFonts w:cs="David" w:hint="cs"/>
          <w:sz w:val="28"/>
          <w:szCs w:val="28"/>
          <w:rtl/>
        </w:rPr>
        <w:lastRenderedPageBreak/>
        <w:t>בשנת 2004 עבד הנאשם בחנות ובמחסן של "האחים מרסל" בירושלים. על פי כתב האישום הציע הנאשם למתלוננת שעבדה עמו הצעות בעלות אופי מיני, וביצע בה מעשים מגונים כל זאת בניגוד לרצונה (להלן: "</w:t>
      </w:r>
      <w:r>
        <w:rPr>
          <w:rFonts w:cs="David" w:hint="cs"/>
          <w:b/>
          <w:bCs/>
          <w:sz w:val="28"/>
          <w:szCs w:val="28"/>
          <w:rtl/>
        </w:rPr>
        <w:t>החנות</w:t>
      </w:r>
      <w:r>
        <w:rPr>
          <w:rFonts w:cs="David" w:hint="cs"/>
          <w:sz w:val="28"/>
          <w:szCs w:val="28"/>
          <w:rtl/>
        </w:rPr>
        <w:t xml:space="preserve">" </w:t>
      </w:r>
      <w:r>
        <w:rPr>
          <w:rFonts w:cs="David" w:hint="cs"/>
          <w:b/>
          <w:bCs/>
          <w:sz w:val="28"/>
          <w:szCs w:val="28"/>
          <w:rtl/>
        </w:rPr>
        <w:t>"המחסן"</w:t>
      </w:r>
      <w:r>
        <w:rPr>
          <w:rFonts w:cs="David" w:hint="cs"/>
          <w:sz w:val="28"/>
          <w:szCs w:val="28"/>
          <w:rtl/>
        </w:rPr>
        <w:t xml:space="preserve"> "</w:t>
      </w:r>
      <w:r>
        <w:rPr>
          <w:rFonts w:cs="David" w:hint="cs"/>
          <w:b/>
          <w:bCs/>
          <w:sz w:val="28"/>
          <w:szCs w:val="28"/>
          <w:rtl/>
        </w:rPr>
        <w:t>המתלוננת</w:t>
      </w:r>
      <w:r>
        <w:rPr>
          <w:rFonts w:cs="David" w:hint="cs"/>
          <w:sz w:val="28"/>
          <w:szCs w:val="28"/>
          <w:rtl/>
        </w:rPr>
        <w:t>").</w:t>
      </w:r>
    </w:p>
    <w:p w14:paraId="770C0518" w14:textId="77777777" w:rsidR="003E76AA" w:rsidRDefault="003E76AA">
      <w:pPr>
        <w:pStyle w:val="BodyTextIndent2"/>
        <w:ind w:left="0" w:right="720" w:firstLine="0"/>
        <w:rPr>
          <w:rFonts w:cs="David" w:hint="cs"/>
          <w:b/>
          <w:bCs/>
          <w:sz w:val="28"/>
          <w:szCs w:val="28"/>
          <w:u w:val="single"/>
          <w:rtl/>
        </w:rPr>
      </w:pPr>
    </w:p>
    <w:p w14:paraId="232C5731" w14:textId="77777777" w:rsidR="003E76AA" w:rsidRDefault="003E76AA">
      <w:pPr>
        <w:pStyle w:val="BodyTextIndent2"/>
        <w:ind w:left="0" w:right="720" w:firstLine="0"/>
        <w:rPr>
          <w:rFonts w:cs="David" w:hint="cs"/>
          <w:b/>
          <w:bCs/>
          <w:sz w:val="28"/>
          <w:szCs w:val="28"/>
          <w:u w:val="single"/>
          <w:rtl/>
        </w:rPr>
      </w:pPr>
      <w:r>
        <w:rPr>
          <w:rFonts w:cs="David" w:hint="cs"/>
          <w:b/>
          <w:bCs/>
          <w:sz w:val="28"/>
          <w:szCs w:val="28"/>
          <w:u w:val="single"/>
          <w:rtl/>
        </w:rPr>
        <w:t>פרשת התביעה</w:t>
      </w:r>
    </w:p>
    <w:p w14:paraId="7719B4CF" w14:textId="77777777" w:rsidR="003E76AA" w:rsidRDefault="003E76AA">
      <w:pPr>
        <w:pStyle w:val="BodyTextIndent2"/>
        <w:numPr>
          <w:ilvl w:val="0"/>
          <w:numId w:val="2"/>
        </w:numPr>
        <w:ind w:right="0"/>
        <w:rPr>
          <w:rFonts w:cs="David" w:hint="cs"/>
          <w:sz w:val="28"/>
          <w:szCs w:val="28"/>
          <w:rtl/>
        </w:rPr>
      </w:pPr>
      <w:r>
        <w:rPr>
          <w:rFonts w:cs="David" w:hint="cs"/>
          <w:b/>
          <w:bCs/>
          <w:sz w:val="28"/>
          <w:szCs w:val="28"/>
          <w:u w:val="single"/>
          <w:rtl/>
        </w:rPr>
        <w:t>עדת תביעה מס' 1 - המתלוננת,</w:t>
      </w:r>
      <w:r>
        <w:rPr>
          <w:rFonts w:cs="David" w:hint="cs"/>
          <w:b/>
          <w:bCs/>
          <w:sz w:val="28"/>
          <w:szCs w:val="28"/>
          <w:rtl/>
        </w:rPr>
        <w:t xml:space="preserve"> </w:t>
      </w:r>
      <w:r>
        <w:rPr>
          <w:rFonts w:cs="David" w:hint="cs"/>
          <w:sz w:val="28"/>
          <w:szCs w:val="28"/>
          <w:rtl/>
        </w:rPr>
        <w:t>העידה כדלקמן:</w:t>
      </w:r>
    </w:p>
    <w:p w14:paraId="303A6A60"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היא עבדה בחנות כמוכרת, כקופאית וכסדרנית ניקיון. </w:t>
      </w:r>
    </w:p>
    <w:p w14:paraId="4C0FC468"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הנאשם עבד כמחסנאי וכמנהל אחראי. </w:t>
      </w:r>
    </w:p>
    <w:p w14:paraId="13EEBA54"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הנאשם חיזר אחריה והיא דחתה את חיזוריו. באומרה שהיא נשואה ואינה מעוניינת בחיזוריו. </w:t>
      </w:r>
    </w:p>
    <w:p w14:paraId="486ED53F"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באחד המקרים הכניס הנאשם, (בלא רשות), את ידו לכיס שבחזית חולצתה (שעל החזה) ושלף משם עט ללא הסכמתה. </w:t>
      </w:r>
    </w:p>
    <w:p w14:paraId="5EF7BC95"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במקרים אחרים נתקל בה הנאשם כאילו בטעות וחיבק אותה. </w:t>
      </w:r>
    </w:p>
    <w:p w14:paraId="610A9324"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הנאשם הזהיר אותה שאם תסרב לחיזוריו יתלונן עליה בפני בעל החנות והיא תפוטר (עמ' 12 לפרו'). </w:t>
      </w:r>
    </w:p>
    <w:p w14:paraId="6DBBC54F"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המגע הפיזי היחיד שהיה בהסכמה עם הנאשם היה בעת שעשתה לו עיסוי רפואי (להלן: </w:t>
      </w:r>
      <w:r>
        <w:rPr>
          <w:rFonts w:cs="David" w:hint="cs"/>
          <w:b/>
          <w:bCs/>
          <w:sz w:val="28"/>
          <w:szCs w:val="28"/>
          <w:rtl/>
        </w:rPr>
        <w:t>"העיסוי")</w:t>
      </w:r>
      <w:r>
        <w:rPr>
          <w:rFonts w:cs="David" w:hint="cs"/>
          <w:sz w:val="28"/>
          <w:szCs w:val="28"/>
          <w:rtl/>
        </w:rPr>
        <w:t>.</w:t>
      </w:r>
    </w:p>
    <w:p w14:paraId="578D63DB" w14:textId="77777777" w:rsidR="003E76AA" w:rsidRDefault="003E76AA">
      <w:pPr>
        <w:pStyle w:val="BodyTextIndent2"/>
        <w:ind w:left="360" w:right="720" w:firstLine="0"/>
        <w:rPr>
          <w:rFonts w:cs="David" w:hint="cs"/>
          <w:sz w:val="28"/>
          <w:szCs w:val="28"/>
          <w:rtl/>
        </w:rPr>
      </w:pPr>
    </w:p>
    <w:p w14:paraId="663CA1A5" w14:textId="77777777" w:rsidR="003E76AA" w:rsidRDefault="003E76AA">
      <w:pPr>
        <w:pStyle w:val="BodyTextIndent2"/>
        <w:numPr>
          <w:ilvl w:val="0"/>
          <w:numId w:val="2"/>
        </w:numPr>
        <w:ind w:right="0"/>
        <w:rPr>
          <w:rFonts w:cs="David" w:hint="cs"/>
          <w:sz w:val="28"/>
          <w:szCs w:val="28"/>
          <w:rtl/>
        </w:rPr>
      </w:pPr>
      <w:r>
        <w:rPr>
          <w:rFonts w:cs="David" w:hint="cs"/>
          <w:sz w:val="28"/>
          <w:szCs w:val="28"/>
          <w:rtl/>
        </w:rPr>
        <w:t xml:space="preserve">לעניין העיסוי סיפרה שלמדה והוסמכה להיות מעסה רפואית. היא הסכימה לעסות את גבו כיוון ששריריו נתפסו במהלך העבודה. לפני העיסוי ובמהלכו הבהירה לו בצורה חד משמעית כי פרט לעיסוי לא יכול להיות ביניהם ולא כלום. על נסיבות העיסוי היא העידה כדלקמן: </w:t>
      </w:r>
    </w:p>
    <w:p w14:paraId="3F123605" w14:textId="77777777" w:rsidR="003E76AA" w:rsidRDefault="003E76AA">
      <w:pPr>
        <w:pStyle w:val="BodyTextIndent2"/>
        <w:ind w:left="360" w:firstLine="360"/>
        <w:rPr>
          <w:rFonts w:cs="David"/>
          <w:sz w:val="28"/>
          <w:szCs w:val="28"/>
          <w:rtl/>
        </w:rPr>
      </w:pPr>
      <w:r>
        <w:rPr>
          <w:rFonts w:cs="David" w:hint="cs"/>
          <w:sz w:val="28"/>
          <w:szCs w:val="28"/>
          <w:rtl/>
        </w:rPr>
        <w:t>א.</w:t>
      </w:r>
      <w:r>
        <w:rPr>
          <w:rFonts w:cs="David" w:hint="cs"/>
          <w:sz w:val="28"/>
          <w:szCs w:val="28"/>
          <w:rtl/>
        </w:rPr>
        <w:tab/>
        <w:t xml:space="preserve">לבקשת הנאשם היא נשארה בחנות לאחר שעות העבודה. </w:t>
      </w:r>
    </w:p>
    <w:p w14:paraId="38AF3A0E" w14:textId="77777777" w:rsidR="003E76AA" w:rsidRDefault="003E76AA">
      <w:pPr>
        <w:pStyle w:val="BodyTextIndent2"/>
        <w:ind w:left="360" w:firstLine="360"/>
        <w:rPr>
          <w:rFonts w:cs="David" w:hint="cs"/>
          <w:sz w:val="28"/>
          <w:szCs w:val="28"/>
          <w:rtl/>
        </w:rPr>
      </w:pPr>
      <w:r>
        <w:rPr>
          <w:rFonts w:cs="David" w:hint="cs"/>
          <w:sz w:val="28"/>
          <w:szCs w:val="28"/>
          <w:rtl/>
        </w:rPr>
        <w:t>ב.</w:t>
      </w:r>
      <w:r>
        <w:rPr>
          <w:rFonts w:cs="David" w:hint="cs"/>
          <w:sz w:val="28"/>
          <w:szCs w:val="28"/>
          <w:rtl/>
        </w:rPr>
        <w:tab/>
        <w:t>עלתה עמו לחדר הנמצא בקומה השנייה ובו מיטה ומזרון.</w:t>
      </w:r>
    </w:p>
    <w:p w14:paraId="3552F591" w14:textId="77777777" w:rsidR="003E76AA" w:rsidRDefault="003E76AA">
      <w:pPr>
        <w:pStyle w:val="BodyTextIndent2"/>
        <w:ind w:left="360" w:firstLine="360"/>
        <w:rPr>
          <w:rFonts w:cs="David" w:hint="cs"/>
          <w:sz w:val="28"/>
          <w:szCs w:val="28"/>
          <w:rtl/>
        </w:rPr>
      </w:pPr>
      <w:r>
        <w:rPr>
          <w:rFonts w:cs="David" w:hint="cs"/>
          <w:sz w:val="28"/>
          <w:szCs w:val="28"/>
          <w:rtl/>
        </w:rPr>
        <w:t>ג.</w:t>
      </w:r>
      <w:r>
        <w:rPr>
          <w:rFonts w:cs="David" w:hint="cs"/>
          <w:sz w:val="28"/>
          <w:szCs w:val="28"/>
          <w:rtl/>
        </w:rPr>
        <w:tab/>
        <w:t>הנאשם נשכב על המזרון.</w:t>
      </w:r>
    </w:p>
    <w:p w14:paraId="4AA38448" w14:textId="77777777" w:rsidR="003E76AA" w:rsidRDefault="003E76AA">
      <w:pPr>
        <w:pStyle w:val="BodyTextIndent2"/>
        <w:ind w:left="1440"/>
        <w:rPr>
          <w:rFonts w:cs="David" w:hint="cs"/>
          <w:sz w:val="28"/>
          <w:szCs w:val="28"/>
          <w:rtl/>
        </w:rPr>
      </w:pPr>
      <w:r>
        <w:rPr>
          <w:rFonts w:cs="David" w:hint="cs"/>
          <w:sz w:val="28"/>
          <w:szCs w:val="28"/>
          <w:rtl/>
        </w:rPr>
        <w:t>ד.</w:t>
      </w:r>
      <w:r>
        <w:rPr>
          <w:rFonts w:cs="David" w:hint="cs"/>
          <w:sz w:val="28"/>
          <w:szCs w:val="28"/>
          <w:rtl/>
        </w:rPr>
        <w:tab/>
        <w:t>במהלך העיסוי ניסה לאחוז בה. היא שחררה את עצמה וברחה מהמקום (עמ' 13 לפרו').</w:t>
      </w:r>
    </w:p>
    <w:p w14:paraId="7E16985E" w14:textId="77777777" w:rsidR="003E76AA" w:rsidRDefault="003E76AA">
      <w:pPr>
        <w:pStyle w:val="BodyTextIndent2"/>
        <w:ind w:left="1440"/>
        <w:rPr>
          <w:rFonts w:cs="David" w:hint="cs"/>
          <w:sz w:val="28"/>
          <w:szCs w:val="28"/>
          <w:rtl/>
        </w:rPr>
      </w:pPr>
      <w:r>
        <w:rPr>
          <w:rFonts w:cs="David" w:hint="cs"/>
          <w:sz w:val="28"/>
          <w:szCs w:val="28"/>
          <w:rtl/>
        </w:rPr>
        <w:lastRenderedPageBreak/>
        <w:t>ה.</w:t>
      </w:r>
      <w:r>
        <w:rPr>
          <w:rFonts w:cs="David" w:hint="cs"/>
          <w:sz w:val="28"/>
          <w:szCs w:val="28"/>
          <w:rtl/>
        </w:rPr>
        <w:tab/>
        <w:t xml:space="preserve">לאחר העיסוי שב הנאשם לסורו ואיים עליה כי אם לא תהיה המאהבת שלו הוא יתלונן עליה והיא תפוטר. </w:t>
      </w:r>
    </w:p>
    <w:p w14:paraId="43E042A9" w14:textId="77777777" w:rsidR="003E76AA" w:rsidRDefault="003E76AA">
      <w:pPr>
        <w:pStyle w:val="BodyTextIndent2"/>
        <w:ind w:left="1440"/>
        <w:rPr>
          <w:rFonts w:cs="David" w:hint="cs"/>
          <w:sz w:val="28"/>
          <w:szCs w:val="28"/>
          <w:rtl/>
        </w:rPr>
      </w:pPr>
    </w:p>
    <w:p w14:paraId="0D6A389F" w14:textId="77777777" w:rsidR="003E76AA" w:rsidRDefault="003E76AA">
      <w:pPr>
        <w:pStyle w:val="BodyTextIndent2"/>
        <w:rPr>
          <w:rFonts w:cs="David" w:hint="cs"/>
          <w:sz w:val="28"/>
          <w:szCs w:val="28"/>
          <w:rtl/>
        </w:rPr>
      </w:pPr>
      <w:r>
        <w:rPr>
          <w:rFonts w:cs="David" w:hint="cs"/>
          <w:sz w:val="28"/>
          <w:szCs w:val="28"/>
          <w:rtl/>
        </w:rPr>
        <w:t>5.</w:t>
      </w:r>
      <w:r>
        <w:rPr>
          <w:rFonts w:cs="David" w:hint="cs"/>
          <w:sz w:val="28"/>
          <w:szCs w:val="28"/>
          <w:rtl/>
        </w:rPr>
        <w:tab/>
        <w:t xml:space="preserve">בעניין הפיטורין מסרה המתלוננת שתי גרסאות שונות לפיטוריה: </w:t>
      </w:r>
      <w:r>
        <w:rPr>
          <w:rFonts w:cs="David" w:hint="cs"/>
          <w:b/>
          <w:bCs/>
          <w:sz w:val="28"/>
          <w:szCs w:val="28"/>
          <w:rtl/>
        </w:rPr>
        <w:t xml:space="preserve">האחת </w:t>
      </w:r>
      <w:r>
        <w:rPr>
          <w:rFonts w:cs="David" w:hint="cs"/>
          <w:sz w:val="28"/>
          <w:szCs w:val="28"/>
          <w:rtl/>
        </w:rPr>
        <w:t xml:space="preserve">- הנאשם התלונן בפני בעל החנות כי היא אינה מוכנה לסחוב ולפרק סחורה (עמ' 13 לפרו'). </w:t>
      </w:r>
      <w:r>
        <w:rPr>
          <w:rFonts w:cs="David" w:hint="cs"/>
          <w:b/>
          <w:bCs/>
          <w:sz w:val="28"/>
          <w:szCs w:val="28"/>
          <w:rtl/>
        </w:rPr>
        <w:t>השנייה</w:t>
      </w:r>
      <w:r>
        <w:rPr>
          <w:rFonts w:cs="David" w:hint="cs"/>
          <w:sz w:val="28"/>
          <w:szCs w:val="28"/>
          <w:rtl/>
        </w:rPr>
        <w:t xml:space="preserve"> - הנאשם התלונן בפני בעל החנות כי היא ניסתה להוציא מצרכים מהחנות ללא תשלום (עמ' 14 לפרו').</w:t>
      </w:r>
    </w:p>
    <w:p w14:paraId="3F0ADC77" w14:textId="77777777" w:rsidR="003E76AA" w:rsidRDefault="003E76AA">
      <w:pPr>
        <w:pStyle w:val="BodyTextIndent2"/>
        <w:ind w:left="0" w:right="720" w:firstLine="0"/>
        <w:rPr>
          <w:rFonts w:cs="David" w:hint="cs"/>
          <w:sz w:val="28"/>
          <w:szCs w:val="28"/>
          <w:rtl/>
        </w:rPr>
      </w:pPr>
    </w:p>
    <w:p w14:paraId="1EB89D9F" w14:textId="77777777" w:rsidR="003E76AA" w:rsidRDefault="003E76AA">
      <w:pPr>
        <w:pStyle w:val="BodyTextIndent2"/>
        <w:rPr>
          <w:rFonts w:cs="David" w:hint="cs"/>
          <w:sz w:val="28"/>
          <w:szCs w:val="28"/>
          <w:rtl/>
        </w:rPr>
      </w:pPr>
      <w:r>
        <w:rPr>
          <w:rFonts w:cs="David" w:hint="cs"/>
          <w:sz w:val="28"/>
          <w:szCs w:val="28"/>
          <w:rtl/>
        </w:rPr>
        <w:t>6.</w:t>
      </w:r>
      <w:r>
        <w:rPr>
          <w:rFonts w:cs="David" w:hint="cs"/>
          <w:sz w:val="28"/>
          <w:szCs w:val="28"/>
          <w:rtl/>
        </w:rPr>
        <w:tab/>
        <w:t xml:space="preserve">לאחר פיטוריה בפעם הראשונה עבדה בעבודות ניקיון שונות העבודה היתה קשה ובלתי משתלמת לכן פנתה לנאשם ולבעל החנות וביקשה לחזור לעבוד (עמ' 17 לפרו' ש' 4-8). </w:t>
      </w:r>
    </w:p>
    <w:p w14:paraId="2B838ED1" w14:textId="77777777" w:rsidR="003E76AA" w:rsidRDefault="003E76AA">
      <w:pPr>
        <w:pStyle w:val="BodyTextIndent2"/>
        <w:ind w:left="0" w:right="720" w:firstLine="0"/>
        <w:rPr>
          <w:rFonts w:cs="David" w:hint="cs"/>
          <w:sz w:val="28"/>
          <w:szCs w:val="28"/>
          <w:rtl/>
        </w:rPr>
      </w:pPr>
    </w:p>
    <w:p w14:paraId="710AA849" w14:textId="77777777" w:rsidR="003E76AA" w:rsidRDefault="003E76AA">
      <w:pPr>
        <w:pStyle w:val="BodyTextIndent2"/>
        <w:rPr>
          <w:rFonts w:cs="David" w:hint="cs"/>
          <w:sz w:val="28"/>
          <w:szCs w:val="28"/>
          <w:rtl/>
        </w:rPr>
      </w:pPr>
      <w:r>
        <w:rPr>
          <w:rFonts w:cs="David" w:hint="cs"/>
          <w:sz w:val="28"/>
          <w:szCs w:val="28"/>
          <w:rtl/>
        </w:rPr>
        <w:t>7.</w:t>
      </w:r>
      <w:r>
        <w:rPr>
          <w:rFonts w:cs="David" w:hint="cs"/>
          <w:sz w:val="28"/>
          <w:szCs w:val="28"/>
          <w:rtl/>
        </w:rPr>
        <w:tab/>
        <w:t>ביום 11/05/04 חזרה לעבוד בשנית והנאשם המשיך להטרידה מילולית (איומים כי תפוטר אם לא תיענה לחיזוריו) ופיזית (נגיעות קלות בישבנה ובחזה). לבסוף ביום 28/07/04 פוטרה מעבודתה פעם נוספת.</w:t>
      </w:r>
    </w:p>
    <w:p w14:paraId="40E6F9D9" w14:textId="77777777" w:rsidR="003E76AA" w:rsidRDefault="003E76AA">
      <w:pPr>
        <w:pStyle w:val="BodyTextIndent2"/>
        <w:ind w:left="0" w:right="720" w:firstLine="0"/>
        <w:rPr>
          <w:rFonts w:cs="David" w:hint="cs"/>
          <w:sz w:val="28"/>
          <w:szCs w:val="28"/>
          <w:rtl/>
        </w:rPr>
      </w:pPr>
    </w:p>
    <w:p w14:paraId="780BC116" w14:textId="77777777" w:rsidR="003E76AA" w:rsidRDefault="003E76AA">
      <w:pPr>
        <w:pStyle w:val="BodyTextIndent2"/>
        <w:rPr>
          <w:rFonts w:cs="David" w:hint="cs"/>
          <w:sz w:val="28"/>
          <w:szCs w:val="28"/>
          <w:rtl/>
        </w:rPr>
      </w:pPr>
      <w:r>
        <w:rPr>
          <w:rFonts w:cs="David" w:hint="cs"/>
          <w:sz w:val="28"/>
          <w:szCs w:val="28"/>
          <w:rtl/>
        </w:rPr>
        <w:t>8.</w:t>
      </w:r>
      <w:r>
        <w:rPr>
          <w:rFonts w:cs="David" w:hint="cs"/>
          <w:sz w:val="28"/>
          <w:szCs w:val="28"/>
          <w:rtl/>
        </w:rPr>
        <w:tab/>
        <w:t>ביום שפוטרה מעבודתה התלוננה במשטרה (עמ' 20 ש' 4). בנוסף למשטרה היא סיפרה על מעשי הנאשם לבעלה וללקוחות החנות, אך לא לבעל החנות. ההסבר שנתנה לכך הוא שלטענתה שרר אמון רב בין בעל החנות לבין הנאשם והתקיימה בין השניים שיטה של "יד רוחצת יד" (עמ' 16-15 לפרו').</w:t>
      </w:r>
    </w:p>
    <w:p w14:paraId="75FB5F3A" w14:textId="77777777" w:rsidR="003E76AA" w:rsidRDefault="003E76AA">
      <w:pPr>
        <w:pStyle w:val="BodyTextIndent2"/>
        <w:ind w:left="0" w:right="720" w:firstLine="0"/>
        <w:rPr>
          <w:rFonts w:cs="David" w:hint="cs"/>
          <w:sz w:val="28"/>
          <w:szCs w:val="28"/>
          <w:rtl/>
        </w:rPr>
      </w:pPr>
    </w:p>
    <w:p w14:paraId="47812630" w14:textId="77777777" w:rsidR="003E76AA" w:rsidRDefault="003E76AA">
      <w:pPr>
        <w:pStyle w:val="BodyTextIndent2"/>
        <w:ind w:left="0" w:firstLine="0"/>
        <w:rPr>
          <w:rFonts w:cs="David" w:hint="cs"/>
          <w:sz w:val="28"/>
          <w:szCs w:val="28"/>
          <w:rtl/>
        </w:rPr>
      </w:pPr>
      <w:r>
        <w:rPr>
          <w:rFonts w:cs="David" w:hint="cs"/>
          <w:sz w:val="28"/>
          <w:szCs w:val="28"/>
          <w:rtl/>
        </w:rPr>
        <w:t>9.</w:t>
      </w:r>
      <w:r>
        <w:rPr>
          <w:rFonts w:cs="David" w:hint="cs"/>
          <w:sz w:val="28"/>
          <w:szCs w:val="28"/>
          <w:rtl/>
        </w:rPr>
        <w:tab/>
      </w:r>
      <w:r>
        <w:rPr>
          <w:rFonts w:cs="David" w:hint="cs"/>
          <w:b/>
          <w:bCs/>
          <w:sz w:val="28"/>
          <w:szCs w:val="28"/>
          <w:u w:val="single"/>
          <w:rtl/>
        </w:rPr>
        <w:t>עד תביעה מס' 2 רס"מ דן רוזנברג:</w:t>
      </w:r>
      <w:r>
        <w:rPr>
          <w:rFonts w:cs="David" w:hint="cs"/>
          <w:sz w:val="28"/>
          <w:szCs w:val="28"/>
          <w:rtl/>
        </w:rPr>
        <w:t xml:space="preserve"> שוטר שגבה את הודעת הנאשם (נ/1).</w:t>
      </w:r>
    </w:p>
    <w:p w14:paraId="40A2CB7D" w14:textId="77777777" w:rsidR="003E76AA" w:rsidRDefault="003E76AA">
      <w:pPr>
        <w:pStyle w:val="BodyTextIndent2"/>
        <w:ind w:left="0" w:right="720" w:firstLine="0"/>
        <w:rPr>
          <w:rFonts w:cs="David" w:hint="cs"/>
          <w:sz w:val="28"/>
          <w:szCs w:val="28"/>
          <w:rtl/>
        </w:rPr>
      </w:pPr>
    </w:p>
    <w:p w14:paraId="40656243" w14:textId="77777777" w:rsidR="003E76AA" w:rsidRDefault="003E76AA">
      <w:pPr>
        <w:pStyle w:val="BodyTextIndent2"/>
        <w:ind w:left="0" w:firstLine="0"/>
        <w:rPr>
          <w:rFonts w:cs="David" w:hint="cs"/>
          <w:sz w:val="28"/>
          <w:szCs w:val="28"/>
          <w:rtl/>
        </w:rPr>
      </w:pPr>
      <w:r>
        <w:rPr>
          <w:rFonts w:cs="David" w:hint="cs"/>
          <w:sz w:val="28"/>
          <w:szCs w:val="28"/>
          <w:rtl/>
        </w:rPr>
        <w:t>10.</w:t>
      </w:r>
      <w:r>
        <w:rPr>
          <w:rFonts w:cs="David" w:hint="cs"/>
          <w:sz w:val="28"/>
          <w:szCs w:val="28"/>
          <w:rtl/>
        </w:rPr>
        <w:tab/>
      </w:r>
      <w:r>
        <w:rPr>
          <w:rFonts w:cs="David" w:hint="cs"/>
          <w:b/>
          <w:bCs/>
          <w:sz w:val="28"/>
          <w:szCs w:val="28"/>
          <w:u w:val="single"/>
          <w:rtl/>
        </w:rPr>
        <w:t>עדת תביעה מס' 3 ילנה פודבלקו</w:t>
      </w:r>
      <w:r>
        <w:rPr>
          <w:rFonts w:cs="David" w:hint="cs"/>
          <w:b/>
          <w:bCs/>
          <w:sz w:val="28"/>
          <w:szCs w:val="28"/>
          <w:rtl/>
        </w:rPr>
        <w:t xml:space="preserve"> (</w:t>
      </w:r>
      <w:r>
        <w:rPr>
          <w:rFonts w:cs="David" w:hint="cs"/>
          <w:sz w:val="28"/>
          <w:szCs w:val="28"/>
          <w:rtl/>
        </w:rPr>
        <w:t>להלן</w:t>
      </w:r>
      <w:r>
        <w:rPr>
          <w:rFonts w:cs="David" w:hint="cs"/>
          <w:b/>
          <w:bCs/>
          <w:sz w:val="28"/>
          <w:szCs w:val="28"/>
          <w:rtl/>
        </w:rPr>
        <w:t>: "ילנה") העידה כדלקמן</w:t>
      </w:r>
      <w:r>
        <w:rPr>
          <w:rFonts w:cs="David" w:hint="cs"/>
          <w:sz w:val="28"/>
          <w:szCs w:val="28"/>
          <w:rtl/>
        </w:rPr>
        <w:t xml:space="preserve">: </w:t>
      </w:r>
    </w:p>
    <w:p w14:paraId="0C7774BE"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היא לקוחה בחנות, אין לה קשר מיוחד או הכרות מוקדמת עם המתלוננת. </w:t>
      </w:r>
    </w:p>
    <w:p w14:paraId="5DC64CAD" w14:textId="77777777" w:rsidR="003E76AA" w:rsidRDefault="003E76AA">
      <w:pPr>
        <w:pStyle w:val="BodyTextIndent2"/>
        <w:numPr>
          <w:ilvl w:val="1"/>
          <w:numId w:val="2"/>
        </w:numPr>
        <w:ind w:right="0"/>
        <w:rPr>
          <w:rFonts w:cs="David" w:hint="cs"/>
          <w:sz w:val="28"/>
          <w:szCs w:val="28"/>
          <w:rtl/>
        </w:rPr>
      </w:pPr>
      <w:r>
        <w:rPr>
          <w:rFonts w:cs="David" w:hint="cs"/>
          <w:sz w:val="28"/>
          <w:szCs w:val="28"/>
          <w:rtl/>
        </w:rPr>
        <w:t xml:space="preserve">פעם אחת היא ראתה את הנאשם יוצא מהמחסן כשחיוך נסוך על פניו. אחריו יצאה המתלוננת כשהיא נסערת ועל סף דמעות. </w:t>
      </w:r>
    </w:p>
    <w:p w14:paraId="1B7876C5"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היא שאלה את המתלוננת מה קרה? והמתלוננת השיבה שיש לה בעיות ולא הוסיפה (עמ' 22 ש' 22-24). </w:t>
      </w:r>
    </w:p>
    <w:p w14:paraId="777128F2" w14:textId="77777777" w:rsidR="003E76AA" w:rsidRDefault="003E76AA">
      <w:pPr>
        <w:pStyle w:val="BodyTextIndent2"/>
        <w:numPr>
          <w:ilvl w:val="1"/>
          <w:numId w:val="2"/>
        </w:numPr>
        <w:ind w:right="0"/>
        <w:rPr>
          <w:rFonts w:cs="David"/>
          <w:sz w:val="28"/>
          <w:szCs w:val="28"/>
          <w:rtl/>
        </w:rPr>
      </w:pPr>
      <w:r>
        <w:rPr>
          <w:rFonts w:cs="David" w:hint="cs"/>
          <w:sz w:val="28"/>
          <w:szCs w:val="28"/>
          <w:rtl/>
        </w:rPr>
        <w:lastRenderedPageBreak/>
        <w:t xml:space="preserve">היא הבחינה בסימן שחור בצורת כף יד בחלק האחורי של חלוק אותו לבשה המתלוננת. לשאלתה השיבה המתלוננת כי הנאשם מטריד אותה ולא נותן לה מנוח. </w:t>
      </w:r>
    </w:p>
    <w:p w14:paraId="4B3CD3C2" w14:textId="77777777" w:rsidR="003E76AA" w:rsidRDefault="003E76AA">
      <w:pPr>
        <w:pStyle w:val="BodyTextIndent2"/>
        <w:numPr>
          <w:ilvl w:val="1"/>
          <w:numId w:val="2"/>
        </w:numPr>
        <w:ind w:right="0"/>
        <w:rPr>
          <w:rFonts w:cs="David"/>
          <w:sz w:val="28"/>
          <w:szCs w:val="28"/>
          <w:rtl/>
        </w:rPr>
      </w:pPr>
      <w:r>
        <w:rPr>
          <w:rFonts w:cs="David" w:hint="cs"/>
          <w:sz w:val="28"/>
          <w:szCs w:val="28"/>
          <w:rtl/>
        </w:rPr>
        <w:t xml:space="preserve">היא המליצה למתלוננת לפנות למנהל החנות, על כך השיבה המתלוננת שהיא מפחדת לפנות למנהל כיוון שלא תצמח מכך תוצאה (עמ' 23 ש' 1-6). </w:t>
      </w:r>
    </w:p>
    <w:p w14:paraId="77949F73" w14:textId="77777777" w:rsidR="003E76AA" w:rsidRDefault="003E76AA">
      <w:pPr>
        <w:pStyle w:val="BodyTextIndent2"/>
        <w:numPr>
          <w:ilvl w:val="1"/>
          <w:numId w:val="2"/>
        </w:numPr>
        <w:ind w:right="0"/>
        <w:rPr>
          <w:rFonts w:cs="David"/>
          <w:sz w:val="28"/>
          <w:szCs w:val="28"/>
          <w:rtl/>
        </w:rPr>
      </w:pPr>
      <w:r>
        <w:rPr>
          <w:rFonts w:cs="David" w:hint="cs"/>
          <w:sz w:val="28"/>
          <w:szCs w:val="28"/>
          <w:rtl/>
        </w:rPr>
        <w:t>המתלוננת סיפרה לה בכמה הזדמנויות שהנאשם נוהג להטרידה   (עמ' 24 ש' 1).</w:t>
      </w:r>
    </w:p>
    <w:p w14:paraId="1BB60726" w14:textId="77777777" w:rsidR="003E76AA" w:rsidRDefault="003E76AA">
      <w:pPr>
        <w:pStyle w:val="BodyTextIndent2"/>
        <w:ind w:left="0" w:right="720" w:firstLine="0"/>
        <w:rPr>
          <w:rFonts w:cs="David" w:hint="cs"/>
          <w:b/>
          <w:bCs/>
          <w:sz w:val="28"/>
          <w:szCs w:val="28"/>
          <w:rtl/>
        </w:rPr>
      </w:pPr>
    </w:p>
    <w:p w14:paraId="313D06C3" w14:textId="77777777" w:rsidR="003E76AA" w:rsidRDefault="003E76AA">
      <w:pPr>
        <w:pStyle w:val="BodyTextIndent2"/>
        <w:ind w:left="0" w:right="720" w:firstLine="0"/>
        <w:rPr>
          <w:rFonts w:cs="David" w:hint="cs"/>
          <w:b/>
          <w:bCs/>
          <w:sz w:val="28"/>
          <w:szCs w:val="28"/>
          <w:u w:val="single"/>
          <w:rtl/>
        </w:rPr>
      </w:pPr>
      <w:r>
        <w:rPr>
          <w:rFonts w:cs="David" w:hint="cs"/>
          <w:b/>
          <w:bCs/>
          <w:sz w:val="28"/>
          <w:szCs w:val="28"/>
          <w:u w:val="single"/>
          <w:rtl/>
        </w:rPr>
        <w:t>פרשת ההגנה</w:t>
      </w:r>
    </w:p>
    <w:p w14:paraId="0D392509" w14:textId="77777777" w:rsidR="003E76AA" w:rsidRDefault="003E76AA">
      <w:pPr>
        <w:pStyle w:val="BodyTextIndent2"/>
        <w:rPr>
          <w:rFonts w:cs="David" w:hint="cs"/>
          <w:sz w:val="28"/>
          <w:szCs w:val="28"/>
          <w:u w:val="single"/>
          <w:rtl/>
        </w:rPr>
      </w:pPr>
      <w:r>
        <w:rPr>
          <w:rFonts w:cs="David" w:hint="cs"/>
          <w:sz w:val="28"/>
          <w:szCs w:val="28"/>
          <w:rtl/>
        </w:rPr>
        <w:t>11.</w:t>
      </w:r>
      <w:r>
        <w:rPr>
          <w:rFonts w:cs="David" w:hint="cs"/>
          <w:sz w:val="28"/>
          <w:szCs w:val="28"/>
          <w:rtl/>
        </w:rPr>
        <w:tab/>
      </w:r>
      <w:r>
        <w:rPr>
          <w:rFonts w:cs="David" w:hint="cs"/>
          <w:b/>
          <w:bCs/>
          <w:sz w:val="28"/>
          <w:szCs w:val="28"/>
          <w:u w:val="single"/>
          <w:rtl/>
        </w:rPr>
        <w:t>הנאשם</w:t>
      </w:r>
      <w:r>
        <w:rPr>
          <w:rFonts w:cs="David" w:hint="cs"/>
          <w:sz w:val="28"/>
          <w:szCs w:val="28"/>
          <w:rtl/>
        </w:rPr>
        <w:t xml:space="preserve"> - העיד כדלקמן:</w:t>
      </w:r>
    </w:p>
    <w:p w14:paraId="644E749A" w14:textId="77777777" w:rsidR="003E76AA" w:rsidRDefault="003E76AA">
      <w:pPr>
        <w:pStyle w:val="BodyTextIndent2"/>
        <w:ind w:left="1080" w:firstLine="0"/>
        <w:rPr>
          <w:rFonts w:cs="David"/>
          <w:sz w:val="28"/>
          <w:szCs w:val="28"/>
          <w:u w:val="single"/>
          <w:rtl/>
        </w:rPr>
      </w:pPr>
      <w:r>
        <w:rPr>
          <w:rFonts w:cs="David" w:hint="cs"/>
          <w:sz w:val="28"/>
          <w:szCs w:val="28"/>
          <w:rtl/>
        </w:rPr>
        <w:t>א.</w:t>
      </w:r>
      <w:r>
        <w:rPr>
          <w:rFonts w:cs="David" w:hint="cs"/>
          <w:sz w:val="28"/>
          <w:szCs w:val="28"/>
          <w:rtl/>
        </w:rPr>
        <w:tab/>
        <w:t>הוא הודה שהמתלוננת עשתה לו עיסוי מיוזמתה.</w:t>
      </w:r>
    </w:p>
    <w:p w14:paraId="30DC29D6" w14:textId="77777777" w:rsidR="003E76AA" w:rsidRDefault="003E76AA">
      <w:pPr>
        <w:pStyle w:val="BodyTextIndent2"/>
        <w:ind w:left="1440" w:hanging="360"/>
        <w:rPr>
          <w:rFonts w:cs="David"/>
          <w:sz w:val="28"/>
          <w:szCs w:val="28"/>
          <w:u w:val="single"/>
          <w:rtl/>
        </w:rPr>
      </w:pPr>
      <w:r>
        <w:rPr>
          <w:rFonts w:cs="David" w:hint="cs"/>
          <w:sz w:val="28"/>
          <w:szCs w:val="28"/>
          <w:rtl/>
        </w:rPr>
        <w:t>ב.</w:t>
      </w:r>
      <w:r>
        <w:rPr>
          <w:rFonts w:cs="David" w:hint="cs"/>
          <w:sz w:val="28"/>
          <w:szCs w:val="28"/>
          <w:rtl/>
        </w:rPr>
        <w:tab/>
        <w:t xml:space="preserve">הוא הכחיש כי נהג להטרידה פיזית או מילולית או לבצע בה מעשים מגונים. </w:t>
      </w:r>
    </w:p>
    <w:p w14:paraId="093DD42E" w14:textId="77777777" w:rsidR="003E76AA" w:rsidRDefault="003E76AA">
      <w:pPr>
        <w:pStyle w:val="BodyTextIndent2"/>
        <w:ind w:left="1440" w:hanging="360"/>
        <w:rPr>
          <w:rFonts w:cs="David"/>
          <w:sz w:val="28"/>
          <w:szCs w:val="28"/>
          <w:u w:val="single"/>
          <w:rtl/>
        </w:rPr>
      </w:pPr>
      <w:r>
        <w:rPr>
          <w:rFonts w:cs="David" w:hint="cs"/>
          <w:sz w:val="28"/>
          <w:szCs w:val="28"/>
          <w:rtl/>
        </w:rPr>
        <w:t>ג.</w:t>
      </w:r>
      <w:r>
        <w:rPr>
          <w:rFonts w:cs="David" w:hint="cs"/>
          <w:sz w:val="28"/>
          <w:szCs w:val="28"/>
          <w:rtl/>
        </w:rPr>
        <w:tab/>
        <w:t xml:space="preserve">המתלוננת פוטרה בפעם הראשונה כיוון שלא עבדה כנדרש, ובפעם השנייה בשל מעילה-באמון. </w:t>
      </w:r>
    </w:p>
    <w:p w14:paraId="2401AF98" w14:textId="77777777" w:rsidR="003E76AA" w:rsidRDefault="003E76AA">
      <w:pPr>
        <w:pStyle w:val="BodyTextIndent2"/>
        <w:ind w:left="1440" w:hanging="360"/>
        <w:rPr>
          <w:rFonts w:cs="David"/>
          <w:sz w:val="28"/>
          <w:szCs w:val="28"/>
          <w:u w:val="single"/>
          <w:rtl/>
        </w:rPr>
      </w:pPr>
      <w:r>
        <w:rPr>
          <w:rFonts w:cs="David" w:hint="cs"/>
          <w:sz w:val="28"/>
          <w:szCs w:val="28"/>
          <w:rtl/>
        </w:rPr>
        <w:t>ד.</w:t>
      </w:r>
      <w:r>
        <w:rPr>
          <w:rFonts w:cs="David" w:hint="cs"/>
          <w:sz w:val="28"/>
          <w:szCs w:val="28"/>
          <w:rtl/>
        </w:rPr>
        <w:tab/>
        <w:t xml:space="preserve">הוא סייע למתלוננת לשוב לעבודתה מתוך הזדהות עם מצוקתה הכלכלית. </w:t>
      </w:r>
    </w:p>
    <w:p w14:paraId="6FBA2D9D" w14:textId="77777777" w:rsidR="003E76AA" w:rsidRDefault="003E76AA">
      <w:pPr>
        <w:pStyle w:val="BodyTextIndent2"/>
        <w:ind w:left="1440" w:hanging="360"/>
        <w:rPr>
          <w:rFonts w:cs="David"/>
          <w:sz w:val="28"/>
          <w:szCs w:val="28"/>
          <w:u w:val="single"/>
          <w:rtl/>
        </w:rPr>
      </w:pPr>
      <w:r>
        <w:rPr>
          <w:rFonts w:cs="David" w:hint="cs"/>
          <w:sz w:val="28"/>
          <w:szCs w:val="28"/>
          <w:rtl/>
        </w:rPr>
        <w:t>ה.</w:t>
      </w:r>
      <w:r>
        <w:rPr>
          <w:rFonts w:cs="David" w:hint="cs"/>
          <w:sz w:val="28"/>
          <w:szCs w:val="28"/>
          <w:rtl/>
        </w:rPr>
        <w:tab/>
        <w:t xml:space="preserve">עדותה של ילנה שקרית, המתלוננת לא עבדה במחסן אלא במעדניית הגבינות שנמצאת בחנות, והוא מעולם לא נגע בה. </w:t>
      </w:r>
    </w:p>
    <w:p w14:paraId="5474C03E" w14:textId="77777777" w:rsidR="003E76AA" w:rsidRDefault="003E76AA">
      <w:pPr>
        <w:pStyle w:val="BodyTextIndent2"/>
        <w:ind w:left="1440" w:hanging="360"/>
        <w:rPr>
          <w:rFonts w:cs="David"/>
          <w:sz w:val="28"/>
          <w:szCs w:val="28"/>
          <w:rtl/>
        </w:rPr>
      </w:pPr>
      <w:r>
        <w:rPr>
          <w:rFonts w:cs="David" w:hint="cs"/>
          <w:sz w:val="28"/>
          <w:szCs w:val="28"/>
          <w:rtl/>
        </w:rPr>
        <w:t>ו.</w:t>
      </w:r>
      <w:r>
        <w:rPr>
          <w:rFonts w:cs="David" w:hint="cs"/>
          <w:sz w:val="28"/>
          <w:szCs w:val="28"/>
          <w:rtl/>
        </w:rPr>
        <w:tab/>
        <w:t>המתלוננת התלוננה במשטרה כיוון שחשבה שהוא גרם לפיטוריה (עמ' 30 ש' 1-4).</w:t>
      </w:r>
    </w:p>
    <w:p w14:paraId="1DFFED0E" w14:textId="77777777" w:rsidR="003E76AA" w:rsidRDefault="003E76AA">
      <w:pPr>
        <w:pStyle w:val="BodyTextIndent2"/>
        <w:ind w:left="1440" w:hanging="360"/>
        <w:rPr>
          <w:rFonts w:cs="David" w:hint="cs"/>
          <w:sz w:val="28"/>
          <w:szCs w:val="28"/>
          <w:u w:val="single"/>
          <w:rtl/>
        </w:rPr>
      </w:pPr>
    </w:p>
    <w:p w14:paraId="7E360674" w14:textId="77777777" w:rsidR="003E76AA" w:rsidRDefault="003E76AA">
      <w:pPr>
        <w:pStyle w:val="BodyTextIndent2"/>
        <w:rPr>
          <w:rFonts w:cs="David" w:hint="cs"/>
          <w:sz w:val="28"/>
          <w:szCs w:val="28"/>
          <w:rtl/>
        </w:rPr>
      </w:pPr>
      <w:r>
        <w:rPr>
          <w:rFonts w:cs="David" w:hint="cs"/>
          <w:sz w:val="28"/>
          <w:szCs w:val="28"/>
          <w:rtl/>
        </w:rPr>
        <w:t>12.</w:t>
      </w:r>
      <w:r>
        <w:rPr>
          <w:rFonts w:cs="David" w:hint="cs"/>
          <w:sz w:val="28"/>
          <w:szCs w:val="28"/>
          <w:rtl/>
        </w:rPr>
        <w:tab/>
      </w:r>
      <w:r>
        <w:rPr>
          <w:rFonts w:cs="David" w:hint="cs"/>
          <w:b/>
          <w:bCs/>
          <w:sz w:val="28"/>
          <w:szCs w:val="28"/>
          <w:u w:val="single"/>
          <w:rtl/>
        </w:rPr>
        <w:t>עד הגנה מס' 2 חיים אזולוס</w:t>
      </w:r>
      <w:r>
        <w:rPr>
          <w:rFonts w:cs="David" w:hint="cs"/>
          <w:b/>
          <w:bCs/>
          <w:sz w:val="28"/>
          <w:szCs w:val="28"/>
          <w:rtl/>
        </w:rPr>
        <w:t xml:space="preserve"> - </w:t>
      </w:r>
      <w:r>
        <w:rPr>
          <w:rFonts w:cs="David" w:hint="cs"/>
          <w:sz w:val="28"/>
          <w:szCs w:val="28"/>
          <w:rtl/>
        </w:rPr>
        <w:t xml:space="preserve">בעל החנות, העיד כדלקמן: </w:t>
      </w:r>
    </w:p>
    <w:p w14:paraId="79A27E35" w14:textId="77777777" w:rsidR="003E76AA" w:rsidRDefault="003E76AA">
      <w:pPr>
        <w:pStyle w:val="BodyTextIndent2"/>
        <w:ind w:left="1080" w:firstLine="0"/>
        <w:rPr>
          <w:rFonts w:cs="David"/>
          <w:sz w:val="28"/>
          <w:szCs w:val="28"/>
          <w:rtl/>
        </w:rPr>
      </w:pPr>
      <w:r>
        <w:rPr>
          <w:rFonts w:cs="David" w:hint="cs"/>
          <w:sz w:val="28"/>
          <w:szCs w:val="28"/>
          <w:rtl/>
        </w:rPr>
        <w:t>א.</w:t>
      </w:r>
      <w:r>
        <w:rPr>
          <w:rFonts w:cs="David" w:hint="cs"/>
          <w:sz w:val="28"/>
          <w:szCs w:val="28"/>
          <w:rtl/>
        </w:rPr>
        <w:tab/>
        <w:t xml:space="preserve">הנאשם עובד אצלו מינואר 2004 לשביעות רצונו המלאה. </w:t>
      </w:r>
    </w:p>
    <w:p w14:paraId="69D0B103" w14:textId="77777777" w:rsidR="003E76AA" w:rsidRDefault="003E76AA">
      <w:pPr>
        <w:pStyle w:val="BodyTextIndent2"/>
        <w:ind w:left="1440" w:hanging="360"/>
        <w:rPr>
          <w:rFonts w:cs="David"/>
          <w:sz w:val="28"/>
          <w:szCs w:val="28"/>
          <w:rtl/>
        </w:rPr>
      </w:pPr>
      <w:r>
        <w:rPr>
          <w:rFonts w:cs="David" w:hint="cs"/>
          <w:sz w:val="28"/>
          <w:szCs w:val="28"/>
          <w:rtl/>
        </w:rPr>
        <w:t>ב.</w:t>
      </w:r>
      <w:r>
        <w:rPr>
          <w:rFonts w:cs="David" w:hint="cs"/>
          <w:sz w:val="28"/>
          <w:szCs w:val="28"/>
          <w:rtl/>
        </w:rPr>
        <w:tab/>
        <w:t xml:space="preserve">מעולם לא הובא לידיעתו כי הנאשם מטריד את המתלוננת או מבצע בה מעשים מגונים. </w:t>
      </w:r>
    </w:p>
    <w:p w14:paraId="0623A060" w14:textId="77777777" w:rsidR="003E76AA" w:rsidRDefault="003E76AA">
      <w:pPr>
        <w:pStyle w:val="BodyTextIndent2"/>
        <w:ind w:left="1440" w:hanging="360"/>
        <w:rPr>
          <w:rFonts w:cs="David"/>
          <w:sz w:val="28"/>
          <w:szCs w:val="28"/>
          <w:rtl/>
        </w:rPr>
      </w:pPr>
      <w:r>
        <w:rPr>
          <w:rFonts w:cs="David" w:hint="cs"/>
          <w:sz w:val="28"/>
          <w:szCs w:val="28"/>
          <w:rtl/>
        </w:rPr>
        <w:t>ג.</w:t>
      </w:r>
      <w:r>
        <w:rPr>
          <w:rFonts w:cs="David" w:hint="cs"/>
          <w:sz w:val="28"/>
          <w:szCs w:val="28"/>
          <w:rtl/>
        </w:rPr>
        <w:tab/>
        <w:t xml:space="preserve">המתלוננת פוטרה פעמיים כי מעלה-באמון וזאת ללא כל קשר לנאשם. </w:t>
      </w:r>
    </w:p>
    <w:p w14:paraId="1FCC4603" w14:textId="77777777" w:rsidR="003E76AA" w:rsidRDefault="003E76AA">
      <w:pPr>
        <w:pStyle w:val="BodyTextIndent2"/>
        <w:ind w:left="1080" w:firstLine="0"/>
        <w:rPr>
          <w:rFonts w:cs="David"/>
          <w:sz w:val="28"/>
          <w:szCs w:val="28"/>
          <w:rtl/>
        </w:rPr>
      </w:pPr>
      <w:r>
        <w:rPr>
          <w:rFonts w:cs="David" w:hint="cs"/>
          <w:sz w:val="28"/>
          <w:szCs w:val="28"/>
          <w:rtl/>
        </w:rPr>
        <w:t>ד.</w:t>
      </w:r>
      <w:r>
        <w:rPr>
          <w:rFonts w:cs="David" w:hint="cs"/>
          <w:sz w:val="28"/>
          <w:szCs w:val="28"/>
          <w:rtl/>
        </w:rPr>
        <w:tab/>
        <w:t xml:space="preserve">הנאשם עובד במחסן והוא אחראי בחנות כאשר העד יוצא לסידורים. </w:t>
      </w:r>
    </w:p>
    <w:p w14:paraId="7AA6B156" w14:textId="77777777" w:rsidR="003E76AA" w:rsidRDefault="003E76AA">
      <w:pPr>
        <w:pStyle w:val="BodyTextIndent2"/>
        <w:ind w:left="1440" w:hanging="360"/>
        <w:rPr>
          <w:rFonts w:cs="David"/>
          <w:sz w:val="28"/>
          <w:szCs w:val="28"/>
          <w:rtl/>
        </w:rPr>
      </w:pPr>
      <w:r>
        <w:rPr>
          <w:rFonts w:cs="David" w:hint="cs"/>
          <w:sz w:val="28"/>
          <w:szCs w:val="28"/>
          <w:rtl/>
        </w:rPr>
        <w:t>ה.</w:t>
      </w:r>
      <w:r>
        <w:rPr>
          <w:rFonts w:cs="David" w:hint="cs"/>
          <w:sz w:val="28"/>
          <w:szCs w:val="28"/>
          <w:rtl/>
        </w:rPr>
        <w:tab/>
        <w:t xml:space="preserve">המתלוננת עבדה במעדנייה בלבד (עמ' 33 ש' 5). בין הנאשם למתלוננת היו ויכוחים, והוא הורה להם ליישב בעצמם את המחלוקות ביניהם (עמ' 33 ש' 14-16). </w:t>
      </w:r>
    </w:p>
    <w:p w14:paraId="67EE1EAF" w14:textId="77777777" w:rsidR="003E76AA" w:rsidRDefault="003E76AA">
      <w:pPr>
        <w:pStyle w:val="BodyTextIndent2"/>
        <w:ind w:left="1080" w:firstLine="0"/>
        <w:rPr>
          <w:rFonts w:cs="David"/>
          <w:sz w:val="28"/>
          <w:szCs w:val="28"/>
          <w:rtl/>
        </w:rPr>
      </w:pPr>
      <w:r>
        <w:rPr>
          <w:rFonts w:cs="David" w:hint="cs"/>
          <w:sz w:val="28"/>
          <w:szCs w:val="28"/>
          <w:rtl/>
        </w:rPr>
        <w:t>ו.</w:t>
      </w:r>
      <w:r>
        <w:rPr>
          <w:rFonts w:cs="David" w:hint="cs"/>
          <w:sz w:val="28"/>
          <w:szCs w:val="28"/>
          <w:rtl/>
        </w:rPr>
        <w:tab/>
        <w:t xml:space="preserve">הנאשם ביקש לעזור למתלוננת לשוב לעבוד בחנות (עמ' 33 ש' 22). </w:t>
      </w:r>
    </w:p>
    <w:p w14:paraId="351C15E3" w14:textId="77777777" w:rsidR="003E76AA" w:rsidRDefault="003E76AA">
      <w:pPr>
        <w:pStyle w:val="BodyTextIndent2"/>
        <w:ind w:left="1440" w:hanging="360"/>
        <w:rPr>
          <w:rFonts w:cs="David"/>
          <w:sz w:val="28"/>
          <w:szCs w:val="28"/>
          <w:rtl/>
        </w:rPr>
      </w:pPr>
      <w:r>
        <w:rPr>
          <w:rFonts w:cs="David" w:hint="cs"/>
          <w:sz w:val="28"/>
          <w:szCs w:val="28"/>
          <w:rtl/>
        </w:rPr>
        <w:t>ז.</w:t>
      </w:r>
      <w:r>
        <w:rPr>
          <w:rFonts w:cs="David" w:hint="cs"/>
          <w:sz w:val="28"/>
          <w:szCs w:val="28"/>
          <w:rtl/>
        </w:rPr>
        <w:tab/>
        <w:t xml:space="preserve">אם נעשה עיסוי בחנות הרי הדבר נעשה ללא ידעתו ובניגוד לנהלים (עמ' 35 ש' 12-13). </w:t>
      </w:r>
    </w:p>
    <w:p w14:paraId="1180780A" w14:textId="77777777" w:rsidR="003E76AA" w:rsidRDefault="003E76AA">
      <w:pPr>
        <w:pStyle w:val="BodyTextIndent2"/>
        <w:ind w:left="360" w:right="720" w:firstLine="0"/>
        <w:rPr>
          <w:rFonts w:cs="David" w:hint="cs"/>
          <w:sz w:val="28"/>
          <w:szCs w:val="28"/>
          <w:rtl/>
        </w:rPr>
      </w:pPr>
    </w:p>
    <w:p w14:paraId="0889D18E" w14:textId="77777777" w:rsidR="003E76AA" w:rsidRDefault="003E76AA">
      <w:pPr>
        <w:pStyle w:val="BodyTextIndent2"/>
        <w:rPr>
          <w:rFonts w:cs="David" w:hint="cs"/>
          <w:sz w:val="28"/>
          <w:szCs w:val="28"/>
          <w:rtl/>
        </w:rPr>
      </w:pPr>
      <w:r>
        <w:rPr>
          <w:rFonts w:cs="David" w:hint="cs"/>
          <w:sz w:val="28"/>
          <w:szCs w:val="28"/>
          <w:rtl/>
        </w:rPr>
        <w:t>13.</w:t>
      </w:r>
      <w:r>
        <w:rPr>
          <w:rFonts w:cs="David" w:hint="cs"/>
          <w:sz w:val="28"/>
          <w:szCs w:val="28"/>
          <w:rtl/>
        </w:rPr>
        <w:tab/>
      </w:r>
      <w:r>
        <w:rPr>
          <w:rFonts w:cs="David" w:hint="cs"/>
          <w:b/>
          <w:bCs/>
          <w:sz w:val="28"/>
          <w:szCs w:val="28"/>
          <w:u w:val="single"/>
          <w:rtl/>
        </w:rPr>
        <w:t>עדת הגנה מס' 3 אירינה בשקירוב</w:t>
      </w:r>
      <w:r>
        <w:rPr>
          <w:rFonts w:cs="David" w:hint="cs"/>
          <w:sz w:val="28"/>
          <w:szCs w:val="28"/>
          <w:rtl/>
        </w:rPr>
        <w:t xml:space="preserve"> - העידה כדלקמן: </w:t>
      </w:r>
    </w:p>
    <w:p w14:paraId="2A38F7B9" w14:textId="77777777" w:rsidR="003E76AA" w:rsidRDefault="003E76AA">
      <w:pPr>
        <w:pStyle w:val="BodyTextIndent2"/>
        <w:ind w:left="1080" w:firstLine="0"/>
        <w:rPr>
          <w:rFonts w:cs="David"/>
          <w:sz w:val="28"/>
          <w:szCs w:val="28"/>
          <w:rtl/>
        </w:rPr>
      </w:pPr>
      <w:r>
        <w:rPr>
          <w:rFonts w:cs="David" w:hint="cs"/>
          <w:sz w:val="28"/>
          <w:szCs w:val="28"/>
          <w:rtl/>
        </w:rPr>
        <w:t>א.</w:t>
      </w:r>
      <w:r>
        <w:rPr>
          <w:rFonts w:cs="David" w:hint="cs"/>
          <w:sz w:val="28"/>
          <w:szCs w:val="28"/>
          <w:rtl/>
        </w:rPr>
        <w:tab/>
        <w:t>היא עובדת ותיקה בחנות.</w:t>
      </w:r>
    </w:p>
    <w:p w14:paraId="66844474" w14:textId="77777777" w:rsidR="003E76AA" w:rsidRDefault="003E76AA">
      <w:pPr>
        <w:pStyle w:val="BodyTextIndent2"/>
        <w:ind w:left="1080" w:firstLine="0"/>
        <w:rPr>
          <w:rFonts w:cs="David"/>
          <w:sz w:val="28"/>
          <w:szCs w:val="28"/>
          <w:rtl/>
        </w:rPr>
      </w:pPr>
      <w:r>
        <w:rPr>
          <w:rFonts w:cs="David" w:hint="cs"/>
          <w:sz w:val="28"/>
          <w:szCs w:val="28"/>
          <w:rtl/>
        </w:rPr>
        <w:t>ב.</w:t>
      </w:r>
      <w:r>
        <w:rPr>
          <w:rFonts w:cs="David" w:hint="cs"/>
          <w:sz w:val="28"/>
          <w:szCs w:val="28"/>
          <w:rtl/>
        </w:rPr>
        <w:tab/>
        <w:t xml:space="preserve">הייתה ביחסי עבודה רגילים עם המתלוננת ועם הנאשם. </w:t>
      </w:r>
    </w:p>
    <w:p w14:paraId="7B430495" w14:textId="77777777" w:rsidR="003E76AA" w:rsidRDefault="003E76AA">
      <w:pPr>
        <w:pStyle w:val="BodyTextIndent2"/>
        <w:ind w:left="1440" w:hanging="360"/>
        <w:rPr>
          <w:rFonts w:cs="David"/>
          <w:sz w:val="28"/>
          <w:szCs w:val="28"/>
          <w:rtl/>
        </w:rPr>
      </w:pPr>
      <w:r>
        <w:rPr>
          <w:rFonts w:cs="David" w:hint="cs"/>
          <w:sz w:val="28"/>
          <w:szCs w:val="28"/>
          <w:rtl/>
        </w:rPr>
        <w:t>ג.</w:t>
      </w:r>
      <w:r>
        <w:rPr>
          <w:rFonts w:cs="David" w:hint="cs"/>
          <w:sz w:val="28"/>
          <w:szCs w:val="28"/>
          <w:rtl/>
        </w:rPr>
        <w:tab/>
        <w:t xml:space="preserve">היא לא ראתה ולא שמעה כי התרחש דבר מה ביניהם (עמ' 37-36 לפרו'). </w:t>
      </w:r>
    </w:p>
    <w:p w14:paraId="5513BE4A" w14:textId="77777777" w:rsidR="003E76AA" w:rsidRDefault="003E76AA">
      <w:pPr>
        <w:pStyle w:val="BodyTextIndent2"/>
        <w:ind w:left="0" w:right="720" w:firstLine="0"/>
        <w:rPr>
          <w:rFonts w:cs="David" w:hint="cs"/>
          <w:sz w:val="28"/>
          <w:szCs w:val="28"/>
          <w:rtl/>
        </w:rPr>
      </w:pPr>
    </w:p>
    <w:p w14:paraId="717807F4" w14:textId="77777777" w:rsidR="003E76AA" w:rsidRDefault="003E76AA">
      <w:pPr>
        <w:pStyle w:val="BodyTextIndent2"/>
        <w:rPr>
          <w:rFonts w:cs="David" w:hint="cs"/>
          <w:sz w:val="28"/>
          <w:szCs w:val="28"/>
          <w:rtl/>
        </w:rPr>
      </w:pPr>
      <w:r>
        <w:rPr>
          <w:rFonts w:cs="David" w:hint="cs"/>
          <w:sz w:val="28"/>
          <w:szCs w:val="28"/>
          <w:rtl/>
        </w:rPr>
        <w:t>14.</w:t>
      </w:r>
      <w:r>
        <w:rPr>
          <w:rFonts w:cs="David" w:hint="cs"/>
          <w:sz w:val="28"/>
          <w:szCs w:val="28"/>
          <w:rtl/>
        </w:rPr>
        <w:tab/>
      </w:r>
      <w:r>
        <w:rPr>
          <w:rFonts w:cs="David" w:hint="cs"/>
          <w:b/>
          <w:bCs/>
          <w:sz w:val="28"/>
          <w:szCs w:val="28"/>
          <w:u w:val="single"/>
          <w:rtl/>
        </w:rPr>
        <w:t>עד הגנה מס' 4 אחלאיה וחטנג</w:t>
      </w:r>
      <w:r>
        <w:rPr>
          <w:rFonts w:cs="David" w:hint="cs"/>
          <w:sz w:val="28"/>
          <w:szCs w:val="28"/>
          <w:rtl/>
        </w:rPr>
        <w:t xml:space="preserve"> - העיד כדלקמן: </w:t>
      </w:r>
    </w:p>
    <w:p w14:paraId="24D60B23" w14:textId="77777777" w:rsidR="003E76AA" w:rsidRDefault="003E76AA">
      <w:pPr>
        <w:pStyle w:val="BodyTextIndent2"/>
        <w:ind w:left="1080" w:firstLine="0"/>
        <w:rPr>
          <w:rFonts w:cs="David"/>
          <w:sz w:val="28"/>
          <w:szCs w:val="28"/>
          <w:rtl/>
        </w:rPr>
      </w:pPr>
      <w:r>
        <w:rPr>
          <w:rFonts w:cs="David" w:hint="cs"/>
          <w:sz w:val="28"/>
          <w:szCs w:val="28"/>
          <w:rtl/>
        </w:rPr>
        <w:t>א.</w:t>
      </w:r>
      <w:r>
        <w:rPr>
          <w:rFonts w:cs="David" w:hint="cs"/>
          <w:sz w:val="28"/>
          <w:szCs w:val="28"/>
          <w:rtl/>
        </w:rPr>
        <w:tab/>
        <w:t xml:space="preserve">הוא עובד בחנות מזה שלוש שנים. </w:t>
      </w:r>
    </w:p>
    <w:p w14:paraId="4275FBFB" w14:textId="77777777" w:rsidR="003E76AA" w:rsidRDefault="003E76AA">
      <w:pPr>
        <w:pStyle w:val="BodyTextIndent2"/>
        <w:ind w:left="1080" w:firstLine="0"/>
        <w:rPr>
          <w:rFonts w:cs="David"/>
          <w:sz w:val="28"/>
          <w:szCs w:val="28"/>
          <w:rtl/>
        </w:rPr>
      </w:pPr>
      <w:r>
        <w:rPr>
          <w:rFonts w:cs="David" w:hint="cs"/>
          <w:sz w:val="28"/>
          <w:szCs w:val="28"/>
          <w:rtl/>
        </w:rPr>
        <w:t>ב.</w:t>
      </w:r>
      <w:r>
        <w:rPr>
          <w:rFonts w:cs="David" w:hint="cs"/>
          <w:sz w:val="28"/>
          <w:szCs w:val="28"/>
          <w:rtl/>
        </w:rPr>
        <w:tab/>
        <w:t xml:space="preserve">היחסים בין הנאשם למתלוננת היו נורמאליים. </w:t>
      </w:r>
    </w:p>
    <w:p w14:paraId="4350A3DA" w14:textId="77777777" w:rsidR="003E76AA" w:rsidRDefault="003E76AA">
      <w:pPr>
        <w:pStyle w:val="BodyTextIndent2"/>
        <w:ind w:left="1080" w:firstLine="0"/>
        <w:rPr>
          <w:rFonts w:cs="David"/>
          <w:sz w:val="28"/>
          <w:szCs w:val="28"/>
          <w:rtl/>
        </w:rPr>
      </w:pPr>
      <w:r>
        <w:rPr>
          <w:rFonts w:cs="David" w:hint="cs"/>
          <w:sz w:val="28"/>
          <w:szCs w:val="28"/>
          <w:rtl/>
        </w:rPr>
        <w:t>ג.</w:t>
      </w:r>
      <w:r>
        <w:rPr>
          <w:rFonts w:cs="David" w:hint="cs"/>
          <w:sz w:val="28"/>
          <w:szCs w:val="28"/>
          <w:rtl/>
        </w:rPr>
        <w:tab/>
        <w:t>הוא לא ראה ולא שמע דבר (עמ' 38 ש' 20-17).</w:t>
      </w:r>
    </w:p>
    <w:p w14:paraId="07AAA99B" w14:textId="77777777" w:rsidR="003E76AA" w:rsidRDefault="003E76AA">
      <w:pPr>
        <w:pStyle w:val="BodyTextIndent2"/>
        <w:ind w:left="1080" w:firstLine="0"/>
        <w:rPr>
          <w:rFonts w:cs="David"/>
          <w:sz w:val="28"/>
          <w:szCs w:val="28"/>
          <w:rtl/>
        </w:rPr>
      </w:pPr>
      <w:r>
        <w:rPr>
          <w:rFonts w:cs="David" w:hint="cs"/>
          <w:sz w:val="28"/>
          <w:szCs w:val="28"/>
          <w:rtl/>
        </w:rPr>
        <w:t>ד.</w:t>
      </w:r>
      <w:r>
        <w:rPr>
          <w:rFonts w:cs="David" w:hint="cs"/>
          <w:sz w:val="28"/>
          <w:szCs w:val="28"/>
          <w:rtl/>
        </w:rPr>
        <w:tab/>
        <w:t>הנאשם הוא עובד רגיל שאינו מוסמך לפטר עובד אחר(עמ' 39 ש' 1-3).</w:t>
      </w:r>
    </w:p>
    <w:p w14:paraId="393956C2" w14:textId="77777777" w:rsidR="003E76AA" w:rsidRDefault="003E76AA">
      <w:pPr>
        <w:pStyle w:val="BodyTextIndent2"/>
        <w:ind w:left="1080" w:firstLine="0"/>
        <w:rPr>
          <w:rFonts w:cs="David" w:hint="cs"/>
          <w:sz w:val="28"/>
          <w:szCs w:val="28"/>
          <w:rtl/>
        </w:rPr>
      </w:pPr>
    </w:p>
    <w:p w14:paraId="67C213D6" w14:textId="77777777" w:rsidR="003E76AA" w:rsidRDefault="003E76AA">
      <w:pPr>
        <w:pStyle w:val="BodyTextIndent2"/>
        <w:ind w:left="0" w:right="720" w:firstLine="0"/>
        <w:rPr>
          <w:rFonts w:cs="David" w:hint="cs"/>
          <w:b/>
          <w:bCs/>
          <w:sz w:val="28"/>
          <w:szCs w:val="28"/>
          <w:u w:val="single"/>
          <w:rtl/>
        </w:rPr>
      </w:pPr>
      <w:r>
        <w:rPr>
          <w:rFonts w:cs="David" w:hint="cs"/>
          <w:b/>
          <w:bCs/>
          <w:sz w:val="28"/>
          <w:szCs w:val="28"/>
          <w:u w:val="single"/>
          <w:rtl/>
        </w:rPr>
        <w:t>דיון</w:t>
      </w:r>
    </w:p>
    <w:p w14:paraId="1B7FDDE6" w14:textId="77777777" w:rsidR="003E76AA" w:rsidRDefault="003E76AA">
      <w:pPr>
        <w:pStyle w:val="BodyTextIndent2"/>
        <w:rPr>
          <w:rFonts w:cs="David" w:hint="cs"/>
          <w:sz w:val="28"/>
          <w:szCs w:val="28"/>
          <w:rtl/>
        </w:rPr>
      </w:pPr>
      <w:r>
        <w:rPr>
          <w:rFonts w:cs="David" w:hint="cs"/>
          <w:sz w:val="28"/>
          <w:szCs w:val="28"/>
          <w:rtl/>
        </w:rPr>
        <w:t>15.</w:t>
      </w:r>
      <w:r>
        <w:rPr>
          <w:rFonts w:cs="David" w:hint="cs"/>
          <w:sz w:val="28"/>
          <w:szCs w:val="28"/>
          <w:rtl/>
        </w:rPr>
        <w:tab/>
        <w:t xml:space="preserve">השאלה אם הצליחה המאשימה להוכיח במידה הנדרשת במשפט הפלילי שהנאשם עשה את המעשים המיוחסים לו. קרי, הטריד מינית ועשה מעשה מגונה במתלוננת. יש לזכור שכדי לקבוע אם המעשים נעשו המבחן הוא אובייקטיבי. לעניין זה ראה </w:t>
      </w:r>
      <w:hyperlink r:id="rId15" w:history="1">
        <w:r w:rsidR="008A10E6" w:rsidRPr="008A10E6">
          <w:rPr>
            <w:rStyle w:val="Hyperlink"/>
            <w:rFonts w:cs="David" w:hint="eastAsia"/>
            <w:sz w:val="28"/>
            <w:szCs w:val="28"/>
            <w:rtl/>
          </w:rPr>
          <w:t>עש</w:t>
        </w:r>
        <w:r w:rsidR="008A10E6" w:rsidRPr="008A10E6">
          <w:rPr>
            <w:rStyle w:val="Hyperlink"/>
            <w:rFonts w:cs="David"/>
            <w:sz w:val="28"/>
            <w:szCs w:val="28"/>
            <w:rtl/>
          </w:rPr>
          <w:t>"מ 2203/05</w:t>
        </w:r>
      </w:hyperlink>
      <w:r>
        <w:rPr>
          <w:rFonts w:cs="David" w:hint="cs"/>
          <w:sz w:val="28"/>
          <w:szCs w:val="28"/>
          <w:rtl/>
        </w:rPr>
        <w:t xml:space="preserve"> בני מדר נ' נציבות שירות המדינה (נבו) כב' השופטת ד' בייניש עמ' 9 פסקה 6.</w:t>
      </w:r>
    </w:p>
    <w:p w14:paraId="13707C47" w14:textId="77777777" w:rsidR="003E76AA" w:rsidRDefault="003E76AA">
      <w:pPr>
        <w:pStyle w:val="BodyTextIndent2"/>
        <w:ind w:left="360" w:firstLine="0"/>
        <w:rPr>
          <w:rFonts w:cs="David"/>
          <w:sz w:val="28"/>
          <w:szCs w:val="28"/>
          <w:rtl/>
        </w:rPr>
      </w:pPr>
    </w:p>
    <w:p w14:paraId="5D5C5A5A" w14:textId="77777777" w:rsidR="003E76AA" w:rsidRDefault="003E76AA">
      <w:pPr>
        <w:pStyle w:val="a2"/>
        <w:ind w:left="1440"/>
        <w:rPr>
          <w:rFonts w:hint="cs"/>
          <w:rtl/>
        </w:rPr>
      </w:pPr>
      <w:r>
        <w:rPr>
          <w:rFonts w:hint="cs"/>
          <w:b/>
          <w:bCs/>
          <w:rtl/>
        </w:rPr>
        <w:t xml:space="preserve">"הלכה היא כי תחושותיה של המתלוננת אינן קובעות את גבולות ההטרדה המינית. כבר הובהר בפסיקתנו כי נוכח יתרונותיו של מקום העבודה או ההטבות הכרוכות בו, יכול אדם להביע שביעות רצון אף כאשר הוא נתון להטרדה מינית. המבחן הוא מבחן אובייקטיבי; גבולות ההטרדה המינית נקבעים על ידי בית המשפט, הקובע קביעה נורמטיבית מהו סטנדרט ההתנהגות הנדרש מעובד מדינה, והיכן עובר הגבול בין התנהגות ראויה לבין התנהגות פסולה (ראו: </w:t>
      </w:r>
      <w:hyperlink r:id="rId16" w:history="1">
        <w:r w:rsidR="008A10E6" w:rsidRPr="008A10E6">
          <w:rPr>
            <w:rStyle w:val="Hyperlink"/>
            <w:rFonts w:hint="eastAsia"/>
            <w:b/>
            <w:bCs/>
            <w:rtl/>
          </w:rPr>
          <w:t>עש</w:t>
        </w:r>
        <w:r w:rsidR="008A10E6" w:rsidRPr="008A10E6">
          <w:rPr>
            <w:rStyle w:val="Hyperlink"/>
            <w:b/>
            <w:bCs/>
            <w:rtl/>
          </w:rPr>
          <w:t>"ם 11025/02 אייזנר נ' מדינת ישראל, פ"ד נז</w:t>
        </w:r>
      </w:hyperlink>
      <w:r>
        <w:rPr>
          <w:rFonts w:hint="cs"/>
          <w:b/>
          <w:bCs/>
          <w:rtl/>
        </w:rPr>
        <w:t xml:space="preserve"> (5) 541, 549 (להלן: פרשת אייזנר); </w:t>
      </w:r>
      <w:hyperlink r:id="rId17" w:history="1">
        <w:r w:rsidR="008A10E6" w:rsidRPr="008A10E6">
          <w:rPr>
            <w:rStyle w:val="Hyperlink"/>
            <w:rFonts w:hint="eastAsia"/>
            <w:b/>
            <w:bCs/>
            <w:rtl/>
          </w:rPr>
          <w:t>עש</w:t>
        </w:r>
        <w:r w:rsidR="008A10E6" w:rsidRPr="008A10E6">
          <w:rPr>
            <w:rStyle w:val="Hyperlink"/>
            <w:b/>
            <w:bCs/>
            <w:rtl/>
          </w:rPr>
          <w:t>"ם 5771/01 פודלובסקי נ' נציב שירות המדינה, פ"ד נו</w:t>
        </w:r>
      </w:hyperlink>
      <w:r>
        <w:rPr>
          <w:rFonts w:hint="cs"/>
          <w:b/>
          <w:bCs/>
          <w:rtl/>
        </w:rPr>
        <w:t>(1) 463, 478 (להלן: פרשת פודלובסקי): פרשת בן אשר בע' 688 – 687)"</w:t>
      </w:r>
      <w:r>
        <w:rPr>
          <w:rFonts w:hint="cs"/>
          <w:rtl/>
        </w:rPr>
        <w:t>.</w:t>
      </w:r>
    </w:p>
    <w:p w14:paraId="3B030F21" w14:textId="77777777" w:rsidR="003E76AA" w:rsidRDefault="003E76AA">
      <w:pPr>
        <w:pStyle w:val="BodyTextIndent2"/>
        <w:ind w:left="360" w:firstLine="0"/>
        <w:rPr>
          <w:rFonts w:cs="David"/>
          <w:sz w:val="28"/>
          <w:szCs w:val="28"/>
          <w:rtl/>
        </w:rPr>
      </w:pPr>
    </w:p>
    <w:p w14:paraId="7F68360F" w14:textId="77777777" w:rsidR="003E76AA" w:rsidRDefault="003E76AA">
      <w:pPr>
        <w:pStyle w:val="BodyTextIndent2"/>
        <w:rPr>
          <w:rFonts w:cs="David"/>
          <w:sz w:val="28"/>
          <w:szCs w:val="28"/>
          <w:rtl/>
        </w:rPr>
      </w:pPr>
      <w:r>
        <w:rPr>
          <w:rFonts w:cs="David" w:hint="cs"/>
          <w:sz w:val="28"/>
          <w:szCs w:val="28"/>
          <w:rtl/>
        </w:rPr>
        <w:t>16.</w:t>
      </w:r>
      <w:r>
        <w:rPr>
          <w:rFonts w:cs="David" w:hint="cs"/>
          <w:sz w:val="28"/>
          <w:szCs w:val="28"/>
          <w:rtl/>
        </w:rPr>
        <w:tab/>
        <w:t xml:space="preserve">עדויות המתלוננת והנאשם הם עדויות של בעלי עניין ומטעם זה חובה להתייחס אליהן בזהירות ולחפש עדות חיצונית כדי לדעת את האמת. </w:t>
      </w:r>
    </w:p>
    <w:p w14:paraId="5BEECBD1" w14:textId="77777777" w:rsidR="003E76AA" w:rsidRDefault="003E76AA">
      <w:pPr>
        <w:pStyle w:val="BodyTextIndent2"/>
        <w:ind w:left="360" w:firstLine="0"/>
        <w:rPr>
          <w:rFonts w:cs="David"/>
          <w:sz w:val="28"/>
          <w:szCs w:val="28"/>
          <w:rtl/>
        </w:rPr>
      </w:pPr>
    </w:p>
    <w:p w14:paraId="730E0031" w14:textId="77777777" w:rsidR="003E76AA" w:rsidRDefault="003E76AA">
      <w:pPr>
        <w:pStyle w:val="BodyTextIndent2"/>
        <w:rPr>
          <w:rFonts w:cs="David"/>
          <w:sz w:val="28"/>
          <w:szCs w:val="28"/>
          <w:rtl/>
        </w:rPr>
      </w:pPr>
      <w:r>
        <w:rPr>
          <w:rFonts w:cs="David" w:hint="cs"/>
          <w:sz w:val="28"/>
          <w:szCs w:val="28"/>
          <w:rtl/>
        </w:rPr>
        <w:t>17.</w:t>
      </w:r>
      <w:r>
        <w:rPr>
          <w:rFonts w:cs="David" w:hint="cs"/>
          <w:sz w:val="28"/>
          <w:szCs w:val="28"/>
          <w:rtl/>
        </w:rPr>
        <w:tab/>
        <w:t xml:space="preserve">העדות היחידה שתמכה במתלוננת היא עדותה של ילנה אשר סיפרה על </w:t>
      </w:r>
      <w:r>
        <w:rPr>
          <w:rFonts w:cs="David" w:hint="cs"/>
          <w:b/>
          <w:bCs/>
          <w:sz w:val="28"/>
          <w:szCs w:val="28"/>
          <w:rtl/>
        </w:rPr>
        <w:t>מקרה אחד</w:t>
      </w:r>
      <w:r>
        <w:rPr>
          <w:rFonts w:cs="David" w:hint="cs"/>
          <w:sz w:val="28"/>
          <w:szCs w:val="28"/>
          <w:rtl/>
        </w:rPr>
        <w:t xml:space="preserve"> בו ראתה את המתלוננת נסערת ואת הנאשם מחוייך וסימן של כף יד על שכם חולצתה של המתלוננת. היא לא ראתה את שקדם לאירוע או את האירוע. הדיווח על טביעת היד אינה מופיעה בעדותה במשטרה. </w:t>
      </w:r>
    </w:p>
    <w:p w14:paraId="7B2A4DE2" w14:textId="77777777" w:rsidR="003E76AA" w:rsidRDefault="003E76AA">
      <w:pPr>
        <w:pStyle w:val="BodyTextIndent2"/>
        <w:ind w:left="0" w:firstLine="0"/>
        <w:rPr>
          <w:rFonts w:cs="David"/>
          <w:sz w:val="28"/>
          <w:szCs w:val="28"/>
          <w:rtl/>
        </w:rPr>
      </w:pPr>
    </w:p>
    <w:p w14:paraId="20FAE17F" w14:textId="77777777" w:rsidR="003E76AA" w:rsidRDefault="003E76AA">
      <w:pPr>
        <w:pStyle w:val="BodyTextIndent2"/>
        <w:rPr>
          <w:rFonts w:cs="David" w:hint="cs"/>
          <w:sz w:val="28"/>
          <w:szCs w:val="28"/>
          <w:rtl/>
        </w:rPr>
      </w:pPr>
      <w:r>
        <w:rPr>
          <w:rFonts w:cs="David" w:hint="cs"/>
          <w:sz w:val="28"/>
          <w:szCs w:val="28"/>
          <w:rtl/>
        </w:rPr>
        <w:t>18.</w:t>
      </w:r>
      <w:r>
        <w:rPr>
          <w:rFonts w:cs="David" w:hint="cs"/>
          <w:sz w:val="28"/>
          <w:szCs w:val="28"/>
          <w:rtl/>
        </w:rPr>
        <w:tab/>
        <w:t xml:space="preserve">לעומתה העידו שלושה עדי הגנה. בעל החנות ושניים מעובדיה שסיפרו כי לא ראו כל מעשה או התנהגות חריגה מצידו של הנאשם כלפי המתלוננת במשך כל תקופת עבודתה. </w:t>
      </w:r>
    </w:p>
    <w:p w14:paraId="53A98B7E" w14:textId="77777777" w:rsidR="003E76AA" w:rsidRDefault="003E76AA">
      <w:pPr>
        <w:pStyle w:val="BodyTextIndent2"/>
        <w:ind w:left="0" w:firstLine="0"/>
        <w:rPr>
          <w:rFonts w:cs="David"/>
          <w:sz w:val="28"/>
          <w:szCs w:val="28"/>
          <w:rtl/>
        </w:rPr>
      </w:pPr>
    </w:p>
    <w:p w14:paraId="2A59501E" w14:textId="77777777" w:rsidR="003E76AA" w:rsidRDefault="003E76AA">
      <w:pPr>
        <w:pStyle w:val="BodyTextIndent2"/>
        <w:ind w:left="0" w:firstLine="0"/>
        <w:rPr>
          <w:rFonts w:cs="David" w:hint="cs"/>
          <w:b/>
          <w:bCs/>
          <w:sz w:val="28"/>
          <w:szCs w:val="28"/>
          <w:u w:val="single"/>
          <w:rtl/>
        </w:rPr>
      </w:pPr>
      <w:r>
        <w:rPr>
          <w:rFonts w:cs="David" w:hint="cs"/>
          <w:b/>
          <w:bCs/>
          <w:sz w:val="28"/>
          <w:szCs w:val="28"/>
          <w:u w:val="single"/>
          <w:rtl/>
        </w:rPr>
        <w:t>סימני השאלה המתעוררים מהראיות</w:t>
      </w:r>
    </w:p>
    <w:p w14:paraId="3F636597" w14:textId="77777777" w:rsidR="003E76AA" w:rsidRDefault="003E76AA">
      <w:pPr>
        <w:pStyle w:val="BodyTextIndent2"/>
        <w:rPr>
          <w:rFonts w:cs="David" w:hint="cs"/>
          <w:sz w:val="28"/>
          <w:szCs w:val="28"/>
          <w:rtl/>
        </w:rPr>
      </w:pPr>
      <w:r>
        <w:rPr>
          <w:rFonts w:cs="David" w:hint="cs"/>
          <w:sz w:val="28"/>
          <w:szCs w:val="28"/>
          <w:rtl/>
        </w:rPr>
        <w:t>19.</w:t>
      </w:r>
      <w:r>
        <w:rPr>
          <w:rFonts w:cs="David" w:hint="cs"/>
          <w:sz w:val="28"/>
          <w:szCs w:val="28"/>
          <w:rtl/>
        </w:rPr>
        <w:tab/>
        <w:t xml:space="preserve">אין לי ספק שהעיסוי נעשה, כיוון שהמתלוננת והנאשם מאשרים את עשייתו, למרות שבעל המקום מכחיש את היתכנות הדבר. </w:t>
      </w:r>
    </w:p>
    <w:p w14:paraId="633D31C3" w14:textId="77777777" w:rsidR="003E76AA" w:rsidRDefault="003E76AA">
      <w:pPr>
        <w:pStyle w:val="BodyTextIndent2"/>
        <w:ind w:left="0" w:firstLine="0"/>
        <w:rPr>
          <w:rFonts w:cs="David"/>
          <w:sz w:val="28"/>
          <w:szCs w:val="28"/>
          <w:rtl/>
        </w:rPr>
      </w:pPr>
    </w:p>
    <w:p w14:paraId="3DAAF2DC" w14:textId="77777777" w:rsidR="003E76AA" w:rsidRDefault="003E76AA">
      <w:pPr>
        <w:pStyle w:val="BodyTextIndent2"/>
        <w:rPr>
          <w:rFonts w:cs="David" w:hint="cs"/>
          <w:sz w:val="28"/>
          <w:szCs w:val="28"/>
          <w:rtl/>
        </w:rPr>
      </w:pPr>
      <w:r>
        <w:rPr>
          <w:rFonts w:cs="David" w:hint="cs"/>
          <w:sz w:val="28"/>
          <w:szCs w:val="28"/>
          <w:rtl/>
        </w:rPr>
        <w:t>20.</w:t>
      </w:r>
      <w:r>
        <w:rPr>
          <w:rFonts w:cs="David" w:hint="cs"/>
          <w:sz w:val="28"/>
          <w:szCs w:val="28"/>
          <w:rtl/>
        </w:rPr>
        <w:tab/>
        <w:t>פניית המתלוננת למשטרה נעשתה רק בעקבות פיטוריה. משמע אלמלא הייתה מפוטרת הייתה ממשיכה לעבוד במקום. אם כך הדבר מתעוררת השאלה אם היו באמת הטרדות ומעשים מגונים?</w:t>
      </w:r>
    </w:p>
    <w:p w14:paraId="6233C6C6" w14:textId="77777777" w:rsidR="003E76AA" w:rsidRDefault="003E76AA">
      <w:pPr>
        <w:pStyle w:val="BodyTextIndent2"/>
        <w:rPr>
          <w:rFonts w:cs="David" w:hint="cs"/>
          <w:sz w:val="28"/>
          <w:szCs w:val="28"/>
          <w:rtl/>
        </w:rPr>
      </w:pPr>
    </w:p>
    <w:p w14:paraId="775D867F" w14:textId="77777777" w:rsidR="003E76AA" w:rsidRDefault="003E76AA">
      <w:pPr>
        <w:pStyle w:val="BodyTextIndent2"/>
        <w:rPr>
          <w:rFonts w:cs="David"/>
          <w:sz w:val="28"/>
          <w:szCs w:val="28"/>
          <w:rtl/>
        </w:rPr>
      </w:pPr>
      <w:r>
        <w:rPr>
          <w:rFonts w:cs="David" w:hint="cs"/>
          <w:sz w:val="28"/>
          <w:szCs w:val="28"/>
          <w:rtl/>
        </w:rPr>
        <w:t>21.</w:t>
      </w:r>
      <w:r>
        <w:rPr>
          <w:rFonts w:cs="David" w:hint="cs"/>
          <w:sz w:val="28"/>
          <w:szCs w:val="28"/>
          <w:rtl/>
        </w:rPr>
        <w:tab/>
        <w:t xml:space="preserve">המתלוננת מספרת שהטרדותיו של הנאשם החלו מיד עם תחילת העבודה, אך היא לא התלוננה. היא לא היססה לאחר פיטוריה הראשונים לבקש את עזרתו. אם באמת הוטרדה, מותר להניח שלא הייתה פונה למטריד לפעול להחזרתה לעבודה. פנייה שיש בה לפחות עידוד המלמד שאין היא מוחה על התנהגות המטריד ורואה בו ידיד או חבר לעת צרה. </w:t>
      </w:r>
    </w:p>
    <w:p w14:paraId="59FDBDE8" w14:textId="77777777" w:rsidR="003E76AA" w:rsidRDefault="003E76AA">
      <w:pPr>
        <w:pStyle w:val="BodyTextIndent2"/>
        <w:ind w:left="0" w:firstLine="0"/>
        <w:rPr>
          <w:rFonts w:cs="David"/>
          <w:sz w:val="28"/>
          <w:szCs w:val="28"/>
          <w:rtl/>
        </w:rPr>
      </w:pPr>
    </w:p>
    <w:p w14:paraId="766B4C36" w14:textId="77777777" w:rsidR="003E76AA" w:rsidRDefault="003E76AA">
      <w:pPr>
        <w:pStyle w:val="BodyTextIndent2"/>
        <w:rPr>
          <w:rFonts w:cs="David" w:hint="cs"/>
          <w:sz w:val="28"/>
          <w:szCs w:val="28"/>
          <w:rtl/>
        </w:rPr>
      </w:pPr>
      <w:r>
        <w:rPr>
          <w:rFonts w:cs="David" w:hint="cs"/>
          <w:sz w:val="28"/>
          <w:szCs w:val="28"/>
          <w:rtl/>
        </w:rPr>
        <w:t>22.</w:t>
      </w:r>
      <w:r>
        <w:rPr>
          <w:rFonts w:cs="David" w:hint="cs"/>
          <w:sz w:val="28"/>
          <w:szCs w:val="28"/>
          <w:rtl/>
        </w:rPr>
        <w:tab/>
        <w:t xml:space="preserve">העיסוי מעורר שאלות. אם הנאשם הטרידה ועשה בה מעשים מגונים, מדוע הסכימה להסתכן ולהישאר עמו לאחר סגירת החנות ביחידות ולעסותו. הימצאות בחנות לאחר הסגירה ללא נוכחות עובדים נוספים חושפת אותה אובייקטיבית לסיכון יותר גדול. </w:t>
      </w:r>
    </w:p>
    <w:p w14:paraId="0D57B925" w14:textId="77777777" w:rsidR="003E76AA" w:rsidRDefault="003E76AA">
      <w:pPr>
        <w:pStyle w:val="BodyTextIndent2"/>
        <w:rPr>
          <w:rFonts w:cs="David" w:hint="cs"/>
          <w:sz w:val="28"/>
          <w:szCs w:val="28"/>
          <w:rtl/>
        </w:rPr>
      </w:pPr>
    </w:p>
    <w:p w14:paraId="796667ED" w14:textId="77777777" w:rsidR="003E76AA" w:rsidRDefault="003E76AA">
      <w:pPr>
        <w:pStyle w:val="BodyTextIndent2"/>
        <w:rPr>
          <w:rFonts w:cs="David"/>
          <w:sz w:val="28"/>
          <w:szCs w:val="28"/>
          <w:rtl/>
        </w:rPr>
      </w:pPr>
      <w:r>
        <w:rPr>
          <w:rFonts w:cs="David" w:hint="cs"/>
          <w:sz w:val="28"/>
          <w:szCs w:val="28"/>
          <w:rtl/>
        </w:rPr>
        <w:t>23.</w:t>
      </w:r>
      <w:r>
        <w:rPr>
          <w:rFonts w:cs="David" w:hint="cs"/>
          <w:sz w:val="28"/>
          <w:szCs w:val="28"/>
          <w:rtl/>
        </w:rPr>
        <w:tab/>
        <w:t>ברור לי שקרבה הפיזית והאינטימיות הקיימת במהלך עיסוי דורשת מידת-מה של אמון בין הצדדים (בייחוד כשהעיסוי נעשה בהעדר צד שלישי בקרבת מקום). אם הייתה המתלוננת באמת חוששת מפני הנאשם סביר להניח שהייתה מסרבת לבקשתו לעסותו. בודאי שלא הייתה מסכימה לשהות עמו ביחידות לאחר שעות העבודה. זאת ועוד; המתלוננת לא טענה שנכפה עליה לעשות לנאשם עיסוי, נהפוך הוא מעדותה עולה כי היא הסכימה לעשות את העיסוי מרצונה החופשי בהתחשב במצבו הרפואי. בנסיבות אלו אין לשלול את ההנחה כי העיסוי ניתן דווקא בשל יחסים טובים בין הצדדים והתלונה במשטרה באה כנקמה על הפיטורים.</w:t>
      </w:r>
    </w:p>
    <w:p w14:paraId="68ADE4BC" w14:textId="77777777" w:rsidR="003E76AA" w:rsidRDefault="003E76AA">
      <w:pPr>
        <w:pStyle w:val="BodyTextIndent2"/>
        <w:ind w:left="0" w:right="720" w:firstLine="0"/>
        <w:rPr>
          <w:rFonts w:cs="David" w:hint="cs"/>
          <w:sz w:val="28"/>
          <w:szCs w:val="28"/>
          <w:rtl/>
        </w:rPr>
      </w:pPr>
    </w:p>
    <w:p w14:paraId="722CE107" w14:textId="77777777" w:rsidR="003E76AA" w:rsidRDefault="003E76AA">
      <w:pPr>
        <w:pStyle w:val="BodyTextIndent2"/>
        <w:ind w:left="0" w:right="720" w:firstLine="0"/>
        <w:rPr>
          <w:rFonts w:cs="David" w:hint="cs"/>
          <w:b/>
          <w:bCs/>
          <w:sz w:val="28"/>
          <w:szCs w:val="28"/>
          <w:u w:val="single"/>
          <w:rtl/>
        </w:rPr>
      </w:pPr>
      <w:r>
        <w:rPr>
          <w:rFonts w:cs="David" w:hint="cs"/>
          <w:b/>
          <w:bCs/>
          <w:sz w:val="28"/>
          <w:szCs w:val="28"/>
          <w:u w:val="single"/>
          <w:rtl/>
        </w:rPr>
        <w:t>סיכום</w:t>
      </w:r>
    </w:p>
    <w:p w14:paraId="3EC1B67D" w14:textId="77777777" w:rsidR="003E76AA" w:rsidRDefault="003E76AA">
      <w:pPr>
        <w:pStyle w:val="BodyTextIndent2"/>
        <w:rPr>
          <w:rFonts w:cs="David" w:hint="cs"/>
          <w:sz w:val="28"/>
          <w:szCs w:val="28"/>
          <w:rtl/>
        </w:rPr>
      </w:pPr>
      <w:r>
        <w:rPr>
          <w:rFonts w:cs="David" w:hint="cs"/>
          <w:sz w:val="28"/>
          <w:szCs w:val="28"/>
          <w:rtl/>
        </w:rPr>
        <w:t>24.</w:t>
      </w:r>
      <w:r>
        <w:rPr>
          <w:rFonts w:cs="David" w:hint="cs"/>
          <w:sz w:val="28"/>
          <w:szCs w:val="28"/>
          <w:rtl/>
        </w:rPr>
        <w:tab/>
        <w:t>סופו של דבר נכונות המתלוננת לחזור לעבוד בחנות, ופנייתה לנאשם לעזרה,  שומטים את הקרקע מגרסתה שהוטרדה לפחות לכאורה. אם הייתה המתלוננת רואה עצמה מאוימת ומוטרדת מדברי ומעשי הנאשם היה זה טבעי שלא הייתה חוזרת לעבוד בחנות, בייחוד שהייתה לה עבודה אחרת אומנם פחות קוסמת. אם גם אניח כי בצוק העיתים שבה לעבודתה, אז נשאלת השאלה מדוע בחרה לקבל דווקא את עזרת הנאשם והסכימה לעסותו ביחידות? פנייתה לנאשם ונכונותו לעזור לה תומכים גם הם במסקנה כי בין הצדדים היו יחסים חיוביים, והמתלוננת לא ראתה במעשי הנאשם (ככל שהיו) משום הטרדה או איום.</w:t>
      </w:r>
    </w:p>
    <w:p w14:paraId="2882B772" w14:textId="77777777" w:rsidR="003E76AA" w:rsidRDefault="003E76AA">
      <w:pPr>
        <w:pStyle w:val="BodyTextIndent2"/>
        <w:ind w:left="0" w:right="720" w:firstLine="0"/>
        <w:rPr>
          <w:rFonts w:cs="David" w:hint="cs"/>
          <w:sz w:val="28"/>
          <w:szCs w:val="28"/>
          <w:rtl/>
        </w:rPr>
      </w:pPr>
    </w:p>
    <w:p w14:paraId="39C468AE" w14:textId="77777777" w:rsidR="003E76AA" w:rsidRDefault="003E76AA">
      <w:pPr>
        <w:pStyle w:val="BodyTextIndent2"/>
        <w:rPr>
          <w:rFonts w:cs="David" w:hint="cs"/>
          <w:sz w:val="28"/>
          <w:szCs w:val="28"/>
          <w:rtl/>
        </w:rPr>
      </w:pPr>
      <w:r>
        <w:rPr>
          <w:rFonts w:cs="David" w:hint="cs"/>
          <w:sz w:val="28"/>
          <w:szCs w:val="28"/>
          <w:rtl/>
        </w:rPr>
        <w:t>25.</w:t>
      </w:r>
      <w:r>
        <w:rPr>
          <w:rFonts w:cs="David" w:hint="cs"/>
          <w:sz w:val="28"/>
          <w:szCs w:val="28"/>
          <w:rtl/>
        </w:rPr>
        <w:tab/>
        <w:t xml:space="preserve">המתלוננת הגישה תלונתה במשטרה </w:t>
      </w:r>
      <w:r>
        <w:rPr>
          <w:rFonts w:cs="David" w:hint="cs"/>
          <w:b/>
          <w:bCs/>
          <w:sz w:val="28"/>
          <w:szCs w:val="28"/>
          <w:rtl/>
        </w:rPr>
        <w:t>רק לאחר פיטוריה (השניים) ביולי 2004</w:t>
      </w:r>
      <w:r>
        <w:rPr>
          <w:rFonts w:cs="David" w:hint="cs"/>
          <w:sz w:val="28"/>
          <w:szCs w:val="28"/>
          <w:rtl/>
        </w:rPr>
        <w:t xml:space="preserve">. מועד זה מאוחר בחצי שנה בקירוב לתחילת המעשים נשוא כתב האישום. בנסיבות רגילות ניתן היה להצדיק את פער הזמנים במלכוד בו הייתה נתונה לכאורה בשל החשש לאבד את מקור פרנסתה אם תתלונן. אלא שבעניינו המתלוננת פוטרה בראשונה במרץ 2004 ובכל זאת היא לא התלוננה אז, רק בפעם השנייה שפוטרה הזדרזה והגישה באותו יום תלונה במשטרה על מעשי הנאשם בכל תקופות העבודה. מה עוד שמחומר הראיות עולה שלנאשם לא הייתה סמכות לפטרה כלל. </w:t>
      </w:r>
    </w:p>
    <w:p w14:paraId="3EF0B400" w14:textId="77777777" w:rsidR="003E76AA" w:rsidRDefault="003E76AA">
      <w:pPr>
        <w:pStyle w:val="BodyTextIndent2"/>
        <w:ind w:left="0" w:firstLine="0"/>
        <w:rPr>
          <w:rFonts w:cs="David"/>
          <w:sz w:val="28"/>
          <w:szCs w:val="28"/>
          <w:rtl/>
        </w:rPr>
      </w:pPr>
    </w:p>
    <w:p w14:paraId="33364735" w14:textId="77777777" w:rsidR="003E76AA" w:rsidRDefault="003E76AA">
      <w:pPr>
        <w:pStyle w:val="BodyTextIndent2"/>
        <w:ind w:left="0" w:firstLine="0"/>
        <w:rPr>
          <w:rFonts w:cs="David" w:hint="cs"/>
          <w:b/>
          <w:bCs/>
          <w:sz w:val="28"/>
          <w:szCs w:val="28"/>
          <w:u w:val="single"/>
          <w:rtl/>
        </w:rPr>
      </w:pPr>
      <w:r>
        <w:rPr>
          <w:rFonts w:cs="David" w:hint="cs"/>
          <w:b/>
          <w:bCs/>
          <w:sz w:val="28"/>
          <w:szCs w:val="28"/>
          <w:u w:val="single"/>
          <w:rtl/>
        </w:rPr>
        <w:t>סיכום</w:t>
      </w:r>
    </w:p>
    <w:p w14:paraId="4456829D" w14:textId="77777777" w:rsidR="003E76AA" w:rsidRDefault="003E76AA">
      <w:pPr>
        <w:pStyle w:val="BodyTextIndent2"/>
        <w:rPr>
          <w:rFonts w:cs="David" w:hint="cs"/>
          <w:sz w:val="28"/>
          <w:szCs w:val="28"/>
          <w:rtl/>
        </w:rPr>
      </w:pPr>
      <w:r>
        <w:rPr>
          <w:rFonts w:cs="David" w:hint="cs"/>
          <w:sz w:val="28"/>
          <w:szCs w:val="28"/>
          <w:rtl/>
        </w:rPr>
        <w:t>26.</w:t>
      </w:r>
      <w:r>
        <w:rPr>
          <w:rFonts w:cs="David" w:hint="cs"/>
          <w:sz w:val="28"/>
          <w:szCs w:val="28"/>
          <w:rtl/>
        </w:rPr>
        <w:tab/>
        <w:t>כאמור משנותר בלבי יותר מספק</w:t>
      </w:r>
      <w:r>
        <w:rPr>
          <w:rFonts w:cs="David" w:hint="cs"/>
          <w:sz w:val="28"/>
          <w:szCs w:val="28"/>
        </w:rPr>
        <w:t xml:space="preserve"> </w:t>
      </w:r>
      <w:r>
        <w:rPr>
          <w:rFonts w:cs="David" w:hint="cs"/>
          <w:sz w:val="28"/>
          <w:szCs w:val="28"/>
          <w:rtl/>
        </w:rPr>
        <w:t>סביר בגרסת המתלוננת, אני מזכה את הנאשם מהעבירות המיוחסות לו בכתב האישום.</w:t>
      </w:r>
    </w:p>
    <w:p w14:paraId="45DD8A04" w14:textId="77777777" w:rsidR="003E76AA" w:rsidRDefault="003E76AA">
      <w:pPr>
        <w:pStyle w:val="BodyTextIndent2"/>
        <w:rPr>
          <w:rFonts w:cs="David" w:hint="cs"/>
          <w:color w:val="FFFFFF"/>
          <w:sz w:val="2"/>
          <w:szCs w:val="2"/>
          <w:rtl/>
        </w:rPr>
      </w:pPr>
    </w:p>
    <w:p w14:paraId="5F049225" w14:textId="77777777" w:rsidR="003E76AA" w:rsidRDefault="003E76AA">
      <w:pPr>
        <w:pStyle w:val="BodyTextIndent2"/>
        <w:rPr>
          <w:rFonts w:cs="David"/>
          <w:color w:val="FFFFFF"/>
          <w:sz w:val="2"/>
          <w:szCs w:val="2"/>
          <w:rtl/>
        </w:rPr>
      </w:pPr>
      <w:r>
        <w:rPr>
          <w:rFonts w:cs="David"/>
          <w:color w:val="FFFFFF"/>
          <w:sz w:val="2"/>
          <w:szCs w:val="2"/>
          <w:rtl/>
        </w:rPr>
        <w:t>5129371</w:t>
      </w:r>
    </w:p>
    <w:p w14:paraId="4D677559" w14:textId="77777777" w:rsidR="003E76AA" w:rsidRDefault="003E76AA">
      <w:pPr>
        <w:pStyle w:val="BodyTextIndent2"/>
        <w:rPr>
          <w:rFonts w:cs="David" w:hint="cs"/>
          <w:sz w:val="28"/>
          <w:szCs w:val="28"/>
          <w:rtl/>
        </w:rPr>
      </w:pPr>
      <w:r>
        <w:rPr>
          <w:rFonts w:cs="David"/>
          <w:color w:val="FFFFFF"/>
          <w:sz w:val="2"/>
          <w:szCs w:val="2"/>
          <w:rtl/>
        </w:rPr>
        <w:t>54678313</w:t>
      </w:r>
    </w:p>
    <w:p w14:paraId="150DC45B" w14:textId="77777777" w:rsidR="003E76AA" w:rsidRDefault="003E76AA">
      <w:pPr>
        <w:rPr>
          <w:rFonts w:hint="cs"/>
          <w:b/>
          <w:bCs/>
          <w:rtl/>
        </w:rPr>
      </w:pPr>
      <w:r>
        <w:rPr>
          <w:b/>
          <w:bCs/>
          <w:rtl/>
        </w:rPr>
        <w:t xml:space="preserve">ניתנה היום ו' בטבת, תשס"ז (27 בדצמבר 2006), שעה 7:37 לפנה''צ, במעמד הצדדים. </w:t>
      </w:r>
      <w:r>
        <w:rPr>
          <w:rFonts w:hint="cs"/>
          <w:b/>
          <w:bCs/>
          <w:rtl/>
        </w:rPr>
        <w:t>ערעור תוך 45 יום לבית המשפט המחוזי.</w:t>
      </w:r>
    </w:p>
    <w:p w14:paraId="4C32958C" w14:textId="77777777" w:rsidR="003E76AA" w:rsidRDefault="003E76AA">
      <w:pPr>
        <w:rPr>
          <w:rFonts w:hint="cs"/>
          <w:b/>
          <w:bCs/>
          <w:rtl/>
        </w:rPr>
      </w:pPr>
      <w:r>
        <w:rPr>
          <w:rFonts w:hint="cs"/>
          <w:b/>
          <w:bCs/>
          <w:rtl/>
        </w:rPr>
        <w:t>מותר לפרסום מיום 27/12/06.</w:t>
      </w:r>
    </w:p>
    <w:p w14:paraId="4BA0086E" w14:textId="77777777" w:rsidR="003E76AA" w:rsidRDefault="003E76AA">
      <w:pPr>
        <w:keepNext/>
        <w:jc w:val="left"/>
        <w:rPr>
          <w:rFonts w:hAnsi="David" w:hint="cs"/>
          <w:color w:val="FFFFFF"/>
          <w:sz w:val="2"/>
          <w:szCs w:val="2"/>
          <w:rtl/>
        </w:rPr>
      </w:pPr>
    </w:p>
    <w:p w14:paraId="5570455E" w14:textId="77777777" w:rsidR="003E76AA" w:rsidRDefault="003E76AA">
      <w:pPr>
        <w:keepNext/>
        <w:jc w:val="left"/>
        <w:rPr>
          <w:rFonts w:hAnsi="David"/>
          <w:color w:val="FFFFFF"/>
          <w:sz w:val="2"/>
          <w:szCs w:val="2"/>
          <w:rtl/>
        </w:rPr>
      </w:pPr>
      <w:r>
        <w:rPr>
          <w:rFonts w:hAnsi="David"/>
          <w:color w:val="FFFFFF"/>
          <w:sz w:val="2"/>
          <w:szCs w:val="2"/>
          <w:rtl/>
        </w:rPr>
        <w:t>5129371</w:t>
      </w:r>
    </w:p>
    <w:p w14:paraId="4F220615" w14:textId="77777777" w:rsidR="003E76AA" w:rsidRDefault="003E76AA">
      <w:pPr>
        <w:keepNext/>
        <w:jc w:val="left"/>
        <w:rPr>
          <w:rFonts w:hAnsi="David" w:hint="cs"/>
          <w:color w:val="000000"/>
          <w:sz w:val="22"/>
          <w:szCs w:val="22"/>
          <w:rtl/>
        </w:rPr>
      </w:pPr>
      <w:r>
        <w:rPr>
          <w:rFonts w:hAnsi="David"/>
          <w:color w:val="FFFFFF"/>
          <w:sz w:val="2"/>
          <w:szCs w:val="2"/>
          <w:rtl/>
        </w:rPr>
        <w:t>54678313</w:t>
      </w:r>
    </w:p>
    <w:p w14:paraId="675032C9" w14:textId="77777777" w:rsidR="00141AEF" w:rsidRDefault="00141AEF">
      <w:pPr>
        <w:keepNext/>
        <w:jc w:val="left"/>
        <w:rPr>
          <w:rFonts w:hAnsi="David"/>
          <w:color w:val="000000"/>
          <w:sz w:val="22"/>
          <w:szCs w:val="22"/>
          <w:rtl/>
        </w:rPr>
      </w:pPr>
    </w:p>
    <w:p w14:paraId="0AB93D16" w14:textId="77777777" w:rsidR="003E76AA" w:rsidRDefault="003E76AA">
      <w:pPr>
        <w:keepNext/>
        <w:jc w:val="left"/>
        <w:rPr>
          <w:rFonts w:hAnsi="David"/>
          <w:color w:val="000000"/>
          <w:sz w:val="22"/>
          <w:szCs w:val="22"/>
          <w:rtl/>
        </w:rPr>
      </w:pPr>
      <w:r>
        <w:rPr>
          <w:rFonts w:hAnsi="David"/>
          <w:color w:val="000000"/>
          <w:sz w:val="22"/>
          <w:szCs w:val="22"/>
          <w:rtl/>
        </w:rPr>
        <w:t>יחזקאל ברקלי 54678313-1554/05</w:t>
      </w: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6"/>
      </w:tblGrid>
      <w:tr w:rsidR="003E76AA" w14:paraId="02561D58" w14:textId="77777777">
        <w:tc>
          <w:tcPr>
            <w:tcW w:w="2376" w:type="dxa"/>
            <w:tcBorders>
              <w:top w:val="single" w:sz="4" w:space="0" w:color="auto"/>
              <w:left w:val="nil"/>
              <w:bottom w:val="nil"/>
              <w:right w:val="nil"/>
            </w:tcBorders>
          </w:tcPr>
          <w:p w14:paraId="7F693653" w14:textId="77777777" w:rsidR="003E76AA" w:rsidRDefault="003E76AA">
            <w:pPr>
              <w:rPr>
                <w:b/>
                <w:bCs/>
              </w:rPr>
            </w:pPr>
            <w:r>
              <w:rPr>
                <w:rFonts w:hint="cs"/>
                <w:b/>
                <w:bCs/>
                <w:rtl/>
              </w:rPr>
              <w:t>יחזקאל ברקלי, שופט</w:t>
            </w:r>
          </w:p>
        </w:tc>
      </w:tr>
    </w:tbl>
    <w:p w14:paraId="3CB070F1" w14:textId="77777777" w:rsidR="003E76AA" w:rsidRDefault="003E76AA">
      <w:pPr>
        <w:rPr>
          <w:rFonts w:hint="cs"/>
          <w:b/>
          <w:bCs/>
          <w:rtl/>
        </w:rPr>
      </w:pPr>
    </w:p>
    <w:p w14:paraId="57E99B54" w14:textId="77777777" w:rsidR="003E76AA" w:rsidRDefault="003E76AA">
      <w:pPr>
        <w:jc w:val="left"/>
        <w:rPr>
          <w:rFonts w:hint="cs"/>
          <w:color w:val="000000"/>
          <w:rtl/>
        </w:rPr>
      </w:pPr>
      <w:r>
        <w:rPr>
          <w:rFonts w:hint="cs"/>
          <w:rtl/>
        </w:rPr>
        <w:t>001554/05פ  130 מ.ב.</w:t>
      </w:r>
    </w:p>
    <w:p w14:paraId="37F8C4D3" w14:textId="77777777" w:rsidR="003E76AA" w:rsidRDefault="003E76AA">
      <w:pPr>
        <w:jc w:val="left"/>
        <w:rPr>
          <w:color w:val="000000"/>
          <w:rtl/>
        </w:rPr>
      </w:pPr>
      <w:r>
        <w:rPr>
          <w:color w:val="000000"/>
          <w:rtl/>
        </w:rPr>
        <w:t>נוסח מסמך זה כפוף לשינויי ניסוח ועריכה</w:t>
      </w:r>
    </w:p>
    <w:sectPr w:rsidR="003E76AA">
      <w:headerReference w:type="even" r:id="rId18"/>
      <w:headerReference w:type="default" r:id="rId19"/>
      <w:footerReference w:type="even" r:id="rId20"/>
      <w:footerReference w:type="default" r:id="rId21"/>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E44B" w14:textId="77777777" w:rsidR="00E11B81" w:rsidRDefault="00E11B81">
      <w:r>
        <w:separator/>
      </w:r>
    </w:p>
  </w:endnote>
  <w:endnote w:type="continuationSeparator" w:id="0">
    <w:p w14:paraId="5FA99475" w14:textId="77777777" w:rsidR="00E11B81" w:rsidRDefault="00E1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F65D" w14:textId="77777777" w:rsidR="00F51F99" w:rsidRDefault="00F51F9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C490275" w14:textId="77777777" w:rsidR="00F51F99" w:rsidRDefault="00F51F9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F036F2" w14:textId="77777777" w:rsidR="00F51F99" w:rsidRDefault="00F51F9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Z:\-00000-ps-final-0000000\2006\12\2006-12-27 - 514 files\go\OutDoc\02\s05001554-296.doc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5CE5" w14:textId="77777777" w:rsidR="00F51F99" w:rsidRDefault="00F51F9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63EA5">
      <w:rPr>
        <w:rFonts w:hAnsi="FrankRuehl" w:cs="FrankRuehl"/>
        <w:noProof/>
        <w:sz w:val="24"/>
        <w:rtl/>
      </w:rPr>
      <w:t>1</w:t>
    </w:r>
    <w:r>
      <w:rPr>
        <w:rFonts w:hAnsi="FrankRuehl" w:cs="FrankRuehl"/>
        <w:sz w:val="24"/>
        <w:rtl/>
      </w:rPr>
      <w:fldChar w:fldCharType="end"/>
    </w:r>
  </w:p>
  <w:p w14:paraId="4FEA953B" w14:textId="77777777" w:rsidR="00F51F99" w:rsidRDefault="00F51F9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6BE2AE" w14:textId="77777777" w:rsidR="00F51F99" w:rsidRDefault="00F51F9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Z:\-00000-ps-final-0000000\2006\12\2006-12-27 - 514 files\go\OutDoc\02\s05001554-296.doc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AE4A" w14:textId="77777777" w:rsidR="00E11B81" w:rsidRDefault="00E11B81">
      <w:r>
        <w:separator/>
      </w:r>
    </w:p>
  </w:footnote>
  <w:footnote w:type="continuationSeparator" w:id="0">
    <w:p w14:paraId="304BEF2E" w14:textId="77777777" w:rsidR="00E11B81" w:rsidRDefault="00E1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5DB9" w14:textId="77777777" w:rsidR="00F51F99" w:rsidRDefault="00F51F9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1554/05</w:t>
    </w:r>
    <w:r>
      <w:rPr>
        <w:rFonts w:hAnsi="David"/>
        <w:color w:val="000000"/>
        <w:sz w:val="22"/>
        <w:szCs w:val="22"/>
        <w:rtl/>
      </w:rPr>
      <w:tab/>
      <w:t xml:space="preserve"> מדינת ישראל נ' אבו אלולאיה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A997" w14:textId="77777777" w:rsidR="00F51F99" w:rsidRDefault="00F51F9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1554/05</w:t>
    </w:r>
    <w:r>
      <w:rPr>
        <w:rFonts w:hAnsi="David"/>
        <w:color w:val="000000"/>
        <w:sz w:val="22"/>
        <w:szCs w:val="22"/>
        <w:rtl/>
      </w:rPr>
      <w:tab/>
      <w:t xml:space="preserve"> מדינת ישראל נ' אבו אלולאיה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C40"/>
    <w:multiLevelType w:val="hybridMultilevel"/>
    <w:tmpl w:val="261699A2"/>
    <w:lvl w:ilvl="0" w:tplc="5366D5B0">
      <w:start w:val="1"/>
      <w:numFmt w:val="decimal"/>
      <w:lvlText w:val="%1."/>
      <w:lvlJc w:val="left"/>
      <w:pPr>
        <w:tabs>
          <w:tab w:val="num" w:pos="720"/>
        </w:tabs>
        <w:ind w:left="720" w:right="720" w:hanging="360"/>
      </w:pPr>
      <w:rPr>
        <w:rFonts w:ascii="Times New Roman" w:hAnsi="Times New Roman" w:cs="Times New Roman" w:hint="default"/>
      </w:rPr>
    </w:lvl>
    <w:lvl w:ilvl="1" w:tplc="49FEF632">
      <w:start w:val="1"/>
      <w:numFmt w:val="hebrew1"/>
      <w:lvlText w:val="%2."/>
      <w:lvlJc w:val="left"/>
      <w:pPr>
        <w:tabs>
          <w:tab w:val="num" w:pos="1440"/>
        </w:tabs>
        <w:ind w:left="1440" w:right="1440" w:hanging="360"/>
      </w:pPr>
      <w:rPr>
        <w:rFonts w:ascii="Times New Roman" w:hAnsi="Times New Roman" w:cs="Times New Roman" w:hint="default"/>
        <w:sz w:val="26"/>
        <w:szCs w:val="26"/>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435050057">
    <w:abstractNumId w:val="0"/>
  </w:num>
  <w:num w:numId="2" w16cid:durableId="1118255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3E76AA"/>
    <w:rsid w:val="00141AEF"/>
    <w:rsid w:val="002A5970"/>
    <w:rsid w:val="003E76AA"/>
    <w:rsid w:val="00463EA5"/>
    <w:rsid w:val="008A10E6"/>
    <w:rsid w:val="0096181A"/>
    <w:rsid w:val="00DA1DE2"/>
    <w:rsid w:val="00E11B81"/>
    <w:rsid w:val="00F51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93CB8B"/>
  <w15:chartTrackingRefBased/>
  <w15:docId w15:val="{F0599629-4B75-472D-B8BB-546D7A74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2">
    <w:name w:val="Body Text Indent 2"/>
    <w:basedOn w:val="Normal"/>
    <w:pPr>
      <w:ind w:left="720" w:hanging="720"/>
    </w:pPr>
    <w:rPr>
      <w:rFonts w:cs="Times New Roman"/>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sz w:val="28"/>
      <w:szCs w:val="28"/>
    </w:rPr>
  </w:style>
  <w:style w:type="character" w:styleId="PageNumber">
    <w:name w:val="page number"/>
    <w:rPr>
      <w:rFonts w:cs="David"/>
    </w:rPr>
  </w:style>
  <w:style w:type="character" w:styleId="Hyperlink">
    <w:name w:val="Hyperlink"/>
    <w:rsid w:val="008A1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3.a.3" TargetMode="External"/><Relationship Id="rId13" Type="http://schemas.openxmlformats.org/officeDocument/2006/relationships/hyperlink" Target="http://www.nevo.co.il/law/70301/348.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2507" TargetMode="External"/><Relationship Id="rId12" Type="http://schemas.openxmlformats.org/officeDocument/2006/relationships/hyperlink" Target="http://www.nevo.co.il/law/72507" TargetMode="External"/><Relationship Id="rId17" Type="http://schemas.openxmlformats.org/officeDocument/2006/relationships/hyperlink" Target="http://www.nevo.co.il/case/6032102" TargetMode="External"/><Relationship Id="rId2" Type="http://schemas.openxmlformats.org/officeDocument/2006/relationships/styles" Target="styles.xml"/><Relationship Id="rId16" Type="http://schemas.openxmlformats.org/officeDocument/2006/relationships/hyperlink" Target="http://www.nevo.co.il/case/567404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3.a.3" TargetMode="External"/><Relationship Id="rId5" Type="http://schemas.openxmlformats.org/officeDocument/2006/relationships/footnotes" Target="footnotes.xml"/><Relationship Id="rId15" Type="http://schemas.openxmlformats.org/officeDocument/2006/relationships/hyperlink" Target="http://www.nevo.co.il/case/5818433" TargetMode="External"/><Relationship Id="rId23"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1459</Words>
  <Characters>8322</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9762</CharactersWithSpaces>
  <SharedDoc>false</SharedDoc>
  <HLinks>
    <vt:vector size="66" baseType="variant">
      <vt:variant>
        <vt:i4>3539062</vt:i4>
      </vt:variant>
      <vt:variant>
        <vt:i4>30</vt:i4>
      </vt:variant>
      <vt:variant>
        <vt:i4>0</vt:i4>
      </vt:variant>
      <vt:variant>
        <vt:i4>5</vt:i4>
      </vt:variant>
      <vt:variant>
        <vt:lpwstr>http://www.nevo.co.il/case/6032102</vt:lpwstr>
      </vt:variant>
      <vt:variant>
        <vt:lpwstr/>
      </vt:variant>
      <vt:variant>
        <vt:i4>3801202</vt:i4>
      </vt:variant>
      <vt:variant>
        <vt:i4>27</vt:i4>
      </vt:variant>
      <vt:variant>
        <vt:i4>0</vt:i4>
      </vt:variant>
      <vt:variant>
        <vt:i4>5</vt:i4>
      </vt:variant>
      <vt:variant>
        <vt:lpwstr>http://www.nevo.co.il/case/5674048</vt:lpwstr>
      </vt:variant>
      <vt:variant>
        <vt:lpwstr/>
      </vt:variant>
      <vt:variant>
        <vt:i4>3342455</vt:i4>
      </vt:variant>
      <vt:variant>
        <vt:i4>24</vt:i4>
      </vt:variant>
      <vt:variant>
        <vt:i4>0</vt:i4>
      </vt:variant>
      <vt:variant>
        <vt:i4>5</vt:i4>
      </vt:variant>
      <vt:variant>
        <vt:lpwstr>http://www.nevo.co.il/case/5818433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7864418</vt:i4>
      </vt:variant>
      <vt:variant>
        <vt:i4>15</vt:i4>
      </vt:variant>
      <vt:variant>
        <vt:i4>0</vt:i4>
      </vt:variant>
      <vt:variant>
        <vt:i4>5</vt:i4>
      </vt:variant>
      <vt:variant>
        <vt:lpwstr>http://www.nevo.co.il/law/72507</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5701639</vt:i4>
      </vt:variant>
      <vt:variant>
        <vt:i4>3</vt:i4>
      </vt:variant>
      <vt:variant>
        <vt:i4>0</vt:i4>
      </vt:variant>
      <vt:variant>
        <vt:i4>5</vt:i4>
      </vt:variant>
      <vt:variant>
        <vt:lpwstr>http://www.nevo.co.il/law/72507/3.a.3</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2006-12-27T08:00:00Z</cp:lastPrinted>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1554</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אבו אלולאיה מוסא</vt:lpwstr>
  </property>
  <property fmtid="{D5CDD505-2E9C-101B-9397-08002B2CF9AE}" pid="9" name="LAWYER">
    <vt:lpwstr>דוניה נסאר;ג'דעון מרואן</vt:lpwstr>
  </property>
  <property fmtid="{D5CDD505-2E9C-101B-9397-08002B2CF9AE}" pid="10" name="JUDGE">
    <vt:lpwstr>יחזקאל ברקלי</vt:lpwstr>
  </property>
  <property fmtid="{D5CDD505-2E9C-101B-9397-08002B2CF9AE}" pid="11" name="CITY">
    <vt:lpwstr>י-ם</vt:lpwstr>
  </property>
  <property fmtid="{D5CDD505-2E9C-101B-9397-08002B2CF9AE}" pid="12" name="DATE">
    <vt:lpwstr>20061227</vt:lpwstr>
  </property>
  <property fmtid="{D5CDD505-2E9C-101B-9397-08002B2CF9AE}" pid="13" name="WORDNUMPAGES">
    <vt:lpwstr>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5818433;5674048;6032102</vt:lpwstr>
  </property>
  <property fmtid="{D5CDD505-2E9C-101B-9397-08002B2CF9AE}" pid="33" name="LAWLISTTMP1">
    <vt:lpwstr>72507/003.a.3</vt:lpwstr>
  </property>
  <property fmtid="{D5CDD505-2E9C-101B-9397-08002B2CF9AE}" pid="34" name="LAWLISTTMP2">
    <vt:lpwstr>70301/348.c</vt:lpwstr>
  </property>
</Properties>
</file>