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A0590" w14:textId="77777777" w:rsidR="00171431" w:rsidRDefault="00171431">
      <w:pPr>
        <w:spacing w:line="240" w:lineRule="auto"/>
        <w:jc w:val="center"/>
        <w:rPr>
          <w:b/>
          <w:bCs/>
          <w:rtl/>
        </w:rPr>
      </w:pPr>
      <w:r>
        <w:rPr>
          <w:rFonts w:hint="cs"/>
          <w:b/>
          <w:bCs/>
          <w:szCs w:val="32"/>
          <w:rtl/>
        </w:rPr>
        <w:t>בתי המשפט</w:t>
      </w:r>
      <w:r>
        <w:rPr>
          <w:rFonts w:hint="cs"/>
          <w:b/>
          <w:bCs/>
          <w:rtl/>
        </w:rPr>
        <w:t xml:space="preserve"> </w:t>
      </w:r>
    </w:p>
    <w:tbl>
      <w:tblPr>
        <w:bidiVisual/>
        <w:tblW w:w="8506" w:type="dxa"/>
        <w:tblInd w:w="57"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09"/>
        <w:gridCol w:w="4848"/>
        <w:gridCol w:w="822"/>
        <w:gridCol w:w="2127"/>
      </w:tblGrid>
      <w:tr w:rsidR="00171431" w14:paraId="0D9C8397" w14:textId="77777777">
        <w:trPr>
          <w:trHeight w:val="195"/>
        </w:trPr>
        <w:tc>
          <w:tcPr>
            <w:tcW w:w="8506" w:type="dxa"/>
            <w:gridSpan w:val="4"/>
            <w:tcBorders>
              <w:top w:val="single" w:sz="4" w:space="0" w:color="auto"/>
              <w:left w:val="single" w:sz="4" w:space="0" w:color="auto"/>
              <w:bottom w:val="single" w:sz="4" w:space="0" w:color="auto"/>
              <w:right w:val="single" w:sz="4" w:space="0" w:color="auto"/>
            </w:tcBorders>
          </w:tcPr>
          <w:p w14:paraId="1B54570E" w14:textId="77777777" w:rsidR="00171431" w:rsidRDefault="00171431">
            <w:pPr>
              <w:spacing w:line="240" w:lineRule="auto"/>
              <w:jc w:val="center"/>
              <w:rPr>
                <w:b/>
                <w:bCs/>
                <w:spacing w:val="110"/>
                <w:sz w:val="40"/>
                <w:szCs w:val="40"/>
              </w:rPr>
            </w:pPr>
          </w:p>
        </w:tc>
      </w:tr>
      <w:tr w:rsidR="00171431" w14:paraId="3850ED40" w14:textId="77777777">
        <w:trPr>
          <w:cantSplit/>
          <w:trHeight w:val="195"/>
        </w:trPr>
        <w:tc>
          <w:tcPr>
            <w:tcW w:w="5557" w:type="dxa"/>
            <w:gridSpan w:val="2"/>
            <w:vMerge w:val="restart"/>
            <w:tcBorders>
              <w:top w:val="single" w:sz="4" w:space="0" w:color="auto"/>
              <w:left w:val="single" w:sz="4" w:space="0" w:color="auto"/>
              <w:bottom w:val="single" w:sz="4" w:space="0" w:color="auto"/>
              <w:right w:val="single" w:sz="4" w:space="0" w:color="auto"/>
            </w:tcBorders>
          </w:tcPr>
          <w:p w14:paraId="4870E09E" w14:textId="77777777" w:rsidR="00171431" w:rsidRDefault="00171431">
            <w:pPr>
              <w:spacing w:line="240" w:lineRule="auto"/>
              <w:rPr>
                <w:b/>
                <w:bCs/>
                <w:sz w:val="24"/>
              </w:rPr>
            </w:pPr>
            <w:r>
              <w:rPr>
                <w:rFonts w:hint="cs"/>
                <w:b/>
                <w:bCs/>
                <w:sz w:val="24"/>
                <w:rtl/>
              </w:rPr>
              <w:t>בית משפט השלום חיפה</w:t>
            </w:r>
          </w:p>
        </w:tc>
        <w:tc>
          <w:tcPr>
            <w:tcW w:w="2949" w:type="dxa"/>
            <w:gridSpan w:val="2"/>
            <w:tcBorders>
              <w:top w:val="single" w:sz="4" w:space="0" w:color="auto"/>
              <w:left w:val="single" w:sz="4" w:space="0" w:color="auto"/>
              <w:bottom w:val="single" w:sz="4" w:space="0" w:color="auto"/>
              <w:right w:val="single" w:sz="4" w:space="0" w:color="auto"/>
            </w:tcBorders>
          </w:tcPr>
          <w:p w14:paraId="2D65E00C" w14:textId="77777777" w:rsidR="00171431" w:rsidRDefault="00171431">
            <w:pPr>
              <w:spacing w:line="240" w:lineRule="auto"/>
              <w:rPr>
                <w:b/>
                <w:bCs/>
                <w:sz w:val="24"/>
              </w:rPr>
            </w:pPr>
            <w:r>
              <w:rPr>
                <w:rFonts w:hint="cs"/>
                <w:b/>
                <w:bCs/>
                <w:sz w:val="24"/>
                <w:rtl/>
              </w:rPr>
              <w:t>פ  001790/05</w:t>
            </w:r>
          </w:p>
        </w:tc>
      </w:tr>
      <w:tr w:rsidR="00171431" w14:paraId="725EDF13"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13AA6F45" w14:textId="77777777" w:rsidR="00171431" w:rsidRDefault="00171431">
            <w:pPr>
              <w:bidi w:val="0"/>
              <w:spacing w:line="240" w:lineRule="auto"/>
              <w:jc w:val="left"/>
              <w:rPr>
                <w:b/>
                <w:bCs/>
                <w:sz w:val="24"/>
              </w:rPr>
            </w:pPr>
          </w:p>
        </w:tc>
        <w:tc>
          <w:tcPr>
            <w:tcW w:w="2949" w:type="dxa"/>
            <w:gridSpan w:val="2"/>
            <w:tcBorders>
              <w:top w:val="single" w:sz="4" w:space="0" w:color="auto"/>
              <w:left w:val="single" w:sz="4" w:space="0" w:color="auto"/>
              <w:bottom w:val="single" w:sz="4" w:space="0" w:color="auto"/>
              <w:right w:val="single" w:sz="4" w:space="0" w:color="auto"/>
            </w:tcBorders>
          </w:tcPr>
          <w:p w14:paraId="0C7B5454" w14:textId="77777777" w:rsidR="00171431" w:rsidRDefault="00171431">
            <w:pPr>
              <w:spacing w:line="240" w:lineRule="auto"/>
              <w:rPr>
                <w:b/>
                <w:bCs/>
                <w:sz w:val="24"/>
              </w:rPr>
            </w:pPr>
          </w:p>
        </w:tc>
      </w:tr>
      <w:tr w:rsidR="00171431" w14:paraId="60BD27F7" w14:textId="77777777">
        <w:trPr>
          <w:trHeight w:val="286"/>
        </w:trPr>
        <w:tc>
          <w:tcPr>
            <w:tcW w:w="709" w:type="dxa"/>
            <w:tcBorders>
              <w:top w:val="single" w:sz="4" w:space="0" w:color="auto"/>
              <w:left w:val="single" w:sz="4" w:space="0" w:color="auto"/>
              <w:bottom w:val="single" w:sz="4" w:space="0" w:color="auto"/>
              <w:right w:val="single" w:sz="4" w:space="0" w:color="auto"/>
            </w:tcBorders>
          </w:tcPr>
          <w:p w14:paraId="3CA0BD76" w14:textId="77777777" w:rsidR="00171431" w:rsidRDefault="00171431">
            <w:pPr>
              <w:spacing w:line="240" w:lineRule="auto"/>
              <w:rPr>
                <w:b/>
                <w:bCs/>
                <w:sz w:val="24"/>
              </w:rPr>
            </w:pPr>
            <w:bookmarkStart w:id="0" w:name="LastJudge"/>
            <w:r>
              <w:rPr>
                <w:rFonts w:hint="cs"/>
                <w:b/>
                <w:bCs/>
                <w:sz w:val="24"/>
                <w:rtl/>
              </w:rPr>
              <w:t>בפני:</w:t>
            </w:r>
          </w:p>
        </w:tc>
        <w:tc>
          <w:tcPr>
            <w:tcW w:w="4848" w:type="dxa"/>
            <w:tcBorders>
              <w:top w:val="single" w:sz="4" w:space="0" w:color="auto"/>
              <w:left w:val="single" w:sz="4" w:space="0" w:color="auto"/>
              <w:bottom w:val="single" w:sz="4" w:space="0" w:color="auto"/>
              <w:right w:val="single" w:sz="4" w:space="0" w:color="auto"/>
            </w:tcBorders>
          </w:tcPr>
          <w:p w14:paraId="7D911E85" w14:textId="77777777" w:rsidR="00171431" w:rsidRDefault="00171431">
            <w:pPr>
              <w:spacing w:line="240" w:lineRule="auto"/>
              <w:rPr>
                <w:b/>
                <w:bCs/>
                <w:sz w:val="24"/>
              </w:rPr>
            </w:pPr>
            <w:r>
              <w:rPr>
                <w:rFonts w:hint="cs"/>
                <w:b/>
                <w:bCs/>
                <w:sz w:val="24"/>
                <w:rtl/>
              </w:rPr>
              <w:t>כב' השופטת ניצה שרון - סגנית נשיא</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434CDF89" w14:textId="77777777" w:rsidR="00171431" w:rsidRDefault="00171431">
            <w:pPr>
              <w:spacing w:line="240" w:lineRule="auto"/>
              <w:rPr>
                <w:b/>
                <w:bCs/>
                <w:sz w:val="24"/>
              </w:rPr>
            </w:pPr>
            <w:r>
              <w:rPr>
                <w:rFonts w:hint="cs"/>
                <w:b/>
                <w:bCs/>
                <w:sz w:val="24"/>
                <w:rtl/>
              </w:rPr>
              <w:t xml:space="preserve"> תאריך:</w:t>
            </w:r>
          </w:p>
        </w:tc>
        <w:tc>
          <w:tcPr>
            <w:tcW w:w="2127" w:type="dxa"/>
            <w:tcBorders>
              <w:top w:val="single" w:sz="4" w:space="0" w:color="auto"/>
              <w:left w:val="single" w:sz="4" w:space="0" w:color="auto"/>
              <w:bottom w:val="single" w:sz="4" w:space="0" w:color="auto"/>
              <w:right w:val="single" w:sz="4" w:space="0" w:color="auto"/>
            </w:tcBorders>
          </w:tcPr>
          <w:p w14:paraId="77285120" w14:textId="77777777" w:rsidR="00171431" w:rsidRDefault="00171431">
            <w:pPr>
              <w:spacing w:line="240" w:lineRule="auto"/>
              <w:rPr>
                <w:b/>
                <w:bCs/>
                <w:sz w:val="24"/>
              </w:rPr>
            </w:pPr>
            <w:r>
              <w:rPr>
                <w:rFonts w:hint="cs"/>
                <w:b/>
                <w:bCs/>
                <w:sz w:val="24"/>
                <w:rtl/>
              </w:rPr>
              <w:t>04/05/2006</w:t>
            </w:r>
          </w:p>
        </w:tc>
      </w:tr>
      <w:bookmarkEnd w:id="0"/>
    </w:tbl>
    <w:p w14:paraId="53B32BEF" w14:textId="77777777" w:rsidR="00171431" w:rsidRDefault="00171431">
      <w:pPr>
        <w:pStyle w:val="Header"/>
        <w:spacing w:line="240" w:lineRule="auto"/>
        <w:jc w:val="left"/>
        <w:rPr>
          <w:rFonts w:hint="cs"/>
          <w:b/>
          <w:bCs/>
          <w:szCs w:val="20"/>
          <w:rtl/>
        </w:rPr>
      </w:pPr>
    </w:p>
    <w:p w14:paraId="1BA95DAC" w14:textId="77777777" w:rsidR="00171431" w:rsidRDefault="00171431">
      <w:pPr>
        <w:pStyle w:val="Header"/>
        <w:spacing w:line="240" w:lineRule="auto"/>
        <w:jc w:val="left"/>
        <w:rPr>
          <w:rFonts w:hint="cs"/>
          <w:b/>
          <w:bCs/>
          <w:szCs w:val="20"/>
          <w:rtl/>
        </w:rPr>
      </w:pPr>
    </w:p>
    <w:tbl>
      <w:tblPr>
        <w:bidiVisual/>
        <w:tblW w:w="8506" w:type="dxa"/>
        <w:tblInd w:w="56" w:type="dxa"/>
        <w:tblCellMar>
          <w:left w:w="107" w:type="dxa"/>
          <w:right w:w="107" w:type="dxa"/>
        </w:tblCellMar>
        <w:tblLook w:val="0000" w:firstRow="0" w:lastRow="0" w:firstColumn="0" w:lastColumn="0" w:noHBand="0" w:noVBand="0"/>
      </w:tblPr>
      <w:tblGrid>
        <w:gridCol w:w="1362"/>
        <w:gridCol w:w="1757"/>
        <w:gridCol w:w="3063"/>
        <w:gridCol w:w="2324"/>
      </w:tblGrid>
      <w:tr w:rsidR="00171431" w14:paraId="362D7802" w14:textId="77777777">
        <w:tc>
          <w:tcPr>
            <w:tcW w:w="1362" w:type="dxa"/>
          </w:tcPr>
          <w:p w14:paraId="4B7B4DE6" w14:textId="77777777" w:rsidR="00171431" w:rsidRDefault="00171431">
            <w:pPr>
              <w:spacing w:line="240" w:lineRule="auto"/>
              <w:rPr>
                <w:b/>
                <w:bCs/>
              </w:rPr>
            </w:pPr>
            <w:bookmarkStart w:id="1" w:name="FirstAppellant"/>
            <w:r>
              <w:rPr>
                <w:rFonts w:hint="cs"/>
                <w:b/>
                <w:bCs/>
                <w:rtl/>
              </w:rPr>
              <w:t>בעניין:</w:t>
            </w:r>
          </w:p>
        </w:tc>
        <w:tc>
          <w:tcPr>
            <w:tcW w:w="4820" w:type="dxa"/>
            <w:gridSpan w:val="2"/>
          </w:tcPr>
          <w:p w14:paraId="54685628" w14:textId="77777777" w:rsidR="00171431" w:rsidRDefault="00171431">
            <w:pPr>
              <w:spacing w:line="240" w:lineRule="auto"/>
              <w:rPr>
                <w:b/>
                <w:bCs/>
              </w:rPr>
            </w:pPr>
            <w:r>
              <w:rPr>
                <w:rFonts w:hint="cs"/>
                <w:b/>
                <w:bCs/>
                <w:rtl/>
              </w:rPr>
              <w:t>מדינת ישראל</w:t>
            </w:r>
          </w:p>
        </w:tc>
        <w:tc>
          <w:tcPr>
            <w:tcW w:w="2324" w:type="dxa"/>
          </w:tcPr>
          <w:p w14:paraId="41BE220F" w14:textId="77777777" w:rsidR="00171431" w:rsidRDefault="00171431">
            <w:pPr>
              <w:spacing w:line="240" w:lineRule="auto"/>
              <w:rPr>
                <w:b/>
                <w:bCs/>
              </w:rPr>
            </w:pPr>
          </w:p>
        </w:tc>
      </w:tr>
      <w:bookmarkEnd w:id="1"/>
      <w:tr w:rsidR="00171431" w14:paraId="5D907F9E" w14:textId="77777777">
        <w:tc>
          <w:tcPr>
            <w:tcW w:w="1362" w:type="dxa"/>
          </w:tcPr>
          <w:p w14:paraId="0961C769" w14:textId="77777777" w:rsidR="00171431" w:rsidRDefault="00171431">
            <w:pPr>
              <w:pStyle w:val="a"/>
              <w:spacing w:line="240" w:lineRule="auto"/>
              <w:rPr>
                <w:szCs w:val="26"/>
              </w:rPr>
            </w:pPr>
          </w:p>
        </w:tc>
        <w:tc>
          <w:tcPr>
            <w:tcW w:w="1757" w:type="dxa"/>
          </w:tcPr>
          <w:p w14:paraId="072BC317" w14:textId="77777777" w:rsidR="00171431" w:rsidRDefault="00171431">
            <w:pPr>
              <w:pStyle w:val="a"/>
              <w:spacing w:line="240" w:lineRule="auto"/>
            </w:pPr>
          </w:p>
        </w:tc>
        <w:tc>
          <w:tcPr>
            <w:tcW w:w="3063" w:type="dxa"/>
          </w:tcPr>
          <w:p w14:paraId="34E808D2" w14:textId="77777777" w:rsidR="00171431" w:rsidRDefault="00171431">
            <w:pPr>
              <w:pStyle w:val="a"/>
              <w:spacing w:line="240" w:lineRule="auto"/>
            </w:pPr>
          </w:p>
        </w:tc>
        <w:tc>
          <w:tcPr>
            <w:tcW w:w="2324" w:type="dxa"/>
          </w:tcPr>
          <w:p w14:paraId="44A7345C" w14:textId="77777777" w:rsidR="00171431" w:rsidRDefault="00171431">
            <w:pPr>
              <w:pStyle w:val="a"/>
              <w:spacing w:line="240" w:lineRule="auto"/>
            </w:pPr>
            <w:r>
              <w:rPr>
                <w:rFonts w:hint="cs"/>
                <w:rtl/>
              </w:rPr>
              <w:t>המאשימה</w:t>
            </w:r>
          </w:p>
        </w:tc>
      </w:tr>
      <w:tr w:rsidR="00171431" w14:paraId="5C611E08" w14:textId="77777777">
        <w:tc>
          <w:tcPr>
            <w:tcW w:w="1362" w:type="dxa"/>
          </w:tcPr>
          <w:p w14:paraId="0B7CB435" w14:textId="77777777" w:rsidR="00171431" w:rsidRDefault="00171431">
            <w:pPr>
              <w:pStyle w:val="a"/>
              <w:spacing w:line="240" w:lineRule="auto"/>
            </w:pPr>
          </w:p>
        </w:tc>
        <w:tc>
          <w:tcPr>
            <w:tcW w:w="4820" w:type="dxa"/>
            <w:gridSpan w:val="2"/>
          </w:tcPr>
          <w:p w14:paraId="4A1A06A2" w14:textId="77777777" w:rsidR="00171431" w:rsidRDefault="00171431">
            <w:pPr>
              <w:pStyle w:val="a"/>
              <w:spacing w:line="240" w:lineRule="auto"/>
              <w:jc w:val="center"/>
              <w:rPr>
                <w:sz w:val="26"/>
                <w:szCs w:val="28"/>
              </w:rPr>
            </w:pPr>
          </w:p>
          <w:p w14:paraId="637D433A" w14:textId="77777777" w:rsidR="00171431" w:rsidRDefault="00171431">
            <w:pPr>
              <w:pStyle w:val="a"/>
              <w:spacing w:line="240" w:lineRule="auto"/>
              <w:jc w:val="center"/>
              <w:rPr>
                <w:rFonts w:hint="cs"/>
                <w:sz w:val="26"/>
                <w:szCs w:val="28"/>
                <w:rtl/>
              </w:rPr>
            </w:pPr>
            <w:r>
              <w:rPr>
                <w:rFonts w:hint="cs"/>
                <w:sz w:val="26"/>
                <w:szCs w:val="28"/>
                <w:rtl/>
              </w:rPr>
              <w:t xml:space="preserve">- נ ג ד - </w:t>
            </w:r>
          </w:p>
          <w:p w14:paraId="5788E1C2" w14:textId="77777777" w:rsidR="00171431" w:rsidRDefault="00171431">
            <w:pPr>
              <w:pStyle w:val="a"/>
              <w:spacing w:line="240" w:lineRule="auto"/>
              <w:jc w:val="center"/>
            </w:pPr>
          </w:p>
        </w:tc>
        <w:tc>
          <w:tcPr>
            <w:tcW w:w="2324" w:type="dxa"/>
          </w:tcPr>
          <w:p w14:paraId="3949B993" w14:textId="77777777" w:rsidR="00171431" w:rsidRDefault="00171431">
            <w:pPr>
              <w:pStyle w:val="a"/>
              <w:spacing w:line="240" w:lineRule="auto"/>
            </w:pPr>
          </w:p>
        </w:tc>
      </w:tr>
      <w:tr w:rsidR="00171431" w14:paraId="03A1E7B2" w14:textId="77777777">
        <w:tc>
          <w:tcPr>
            <w:tcW w:w="1362" w:type="dxa"/>
          </w:tcPr>
          <w:p w14:paraId="14CA0CC0" w14:textId="77777777" w:rsidR="00171431" w:rsidRDefault="00171431">
            <w:pPr>
              <w:pStyle w:val="a"/>
              <w:spacing w:line="240" w:lineRule="auto"/>
              <w:rPr>
                <w:szCs w:val="26"/>
              </w:rPr>
            </w:pPr>
          </w:p>
        </w:tc>
        <w:tc>
          <w:tcPr>
            <w:tcW w:w="4820" w:type="dxa"/>
            <w:gridSpan w:val="2"/>
          </w:tcPr>
          <w:p w14:paraId="2657CE2F" w14:textId="77777777" w:rsidR="00171431" w:rsidRDefault="00171431">
            <w:pPr>
              <w:pStyle w:val="a"/>
              <w:spacing w:line="240" w:lineRule="auto"/>
            </w:pPr>
            <w:r>
              <w:rPr>
                <w:rFonts w:hint="cs"/>
                <w:rtl/>
              </w:rPr>
              <w:t>עאדל סאנורי</w:t>
            </w:r>
          </w:p>
        </w:tc>
        <w:tc>
          <w:tcPr>
            <w:tcW w:w="2324" w:type="dxa"/>
          </w:tcPr>
          <w:p w14:paraId="118DAFE7" w14:textId="77777777" w:rsidR="00171431" w:rsidRDefault="00171431">
            <w:pPr>
              <w:pStyle w:val="a"/>
              <w:spacing w:line="240" w:lineRule="auto"/>
            </w:pPr>
          </w:p>
        </w:tc>
      </w:tr>
      <w:tr w:rsidR="00171431" w14:paraId="5F767C48" w14:textId="77777777">
        <w:tc>
          <w:tcPr>
            <w:tcW w:w="1362" w:type="dxa"/>
          </w:tcPr>
          <w:p w14:paraId="754242AC" w14:textId="77777777" w:rsidR="00171431" w:rsidRDefault="00171431">
            <w:pPr>
              <w:pStyle w:val="a"/>
              <w:spacing w:line="240" w:lineRule="auto"/>
              <w:rPr>
                <w:szCs w:val="26"/>
              </w:rPr>
            </w:pPr>
          </w:p>
        </w:tc>
        <w:tc>
          <w:tcPr>
            <w:tcW w:w="1757" w:type="dxa"/>
          </w:tcPr>
          <w:p w14:paraId="0A04A45E" w14:textId="77777777" w:rsidR="00171431" w:rsidRDefault="00171431">
            <w:pPr>
              <w:pStyle w:val="a"/>
              <w:spacing w:line="240" w:lineRule="auto"/>
            </w:pPr>
          </w:p>
        </w:tc>
        <w:tc>
          <w:tcPr>
            <w:tcW w:w="3063" w:type="dxa"/>
          </w:tcPr>
          <w:p w14:paraId="6F226291" w14:textId="77777777" w:rsidR="00171431" w:rsidRDefault="00171431">
            <w:pPr>
              <w:pStyle w:val="a"/>
              <w:spacing w:line="240" w:lineRule="auto"/>
            </w:pPr>
          </w:p>
        </w:tc>
        <w:tc>
          <w:tcPr>
            <w:tcW w:w="2324" w:type="dxa"/>
          </w:tcPr>
          <w:p w14:paraId="152C4C44" w14:textId="77777777" w:rsidR="00171431" w:rsidRDefault="00171431">
            <w:pPr>
              <w:pStyle w:val="a"/>
              <w:spacing w:line="240" w:lineRule="auto"/>
            </w:pPr>
            <w:r>
              <w:rPr>
                <w:rFonts w:hint="cs"/>
                <w:rtl/>
              </w:rPr>
              <w:t>הנאשם</w:t>
            </w:r>
          </w:p>
        </w:tc>
      </w:tr>
    </w:tbl>
    <w:p w14:paraId="5F8ABD1B" w14:textId="77777777" w:rsidR="00171431" w:rsidRDefault="00171431">
      <w:pPr>
        <w:pStyle w:val="a"/>
        <w:spacing w:line="240" w:lineRule="auto"/>
        <w:rPr>
          <w:rFonts w:hint="cs"/>
          <w:b w:val="0"/>
          <w:bCs w:val="0"/>
          <w:rtl/>
        </w:rPr>
      </w:pPr>
    </w:p>
    <w:tbl>
      <w:tblPr>
        <w:bidiVisual/>
        <w:tblW w:w="8506" w:type="dxa"/>
        <w:tblInd w:w="56" w:type="dxa"/>
        <w:tblCellMar>
          <w:left w:w="107" w:type="dxa"/>
          <w:right w:w="107" w:type="dxa"/>
        </w:tblCellMar>
        <w:tblLook w:val="0000" w:firstRow="0" w:lastRow="0" w:firstColumn="0" w:lastColumn="0" w:noHBand="0" w:noVBand="0"/>
      </w:tblPr>
      <w:tblGrid>
        <w:gridCol w:w="1276"/>
        <w:gridCol w:w="7230"/>
      </w:tblGrid>
      <w:tr w:rsidR="00171431" w14:paraId="0639E4B6" w14:textId="77777777">
        <w:tc>
          <w:tcPr>
            <w:tcW w:w="1276" w:type="dxa"/>
          </w:tcPr>
          <w:p w14:paraId="6885A4AD" w14:textId="77777777" w:rsidR="00171431" w:rsidRDefault="00171431">
            <w:pPr>
              <w:pStyle w:val="a"/>
              <w:spacing w:line="240" w:lineRule="auto"/>
              <w:rPr>
                <w:sz w:val="24"/>
              </w:rPr>
            </w:pPr>
            <w:bookmarkStart w:id="2" w:name="FirstLawyer"/>
            <w:r>
              <w:rPr>
                <w:rFonts w:hint="cs"/>
                <w:sz w:val="24"/>
                <w:rtl/>
              </w:rPr>
              <w:t>נוכחים:</w:t>
            </w:r>
          </w:p>
        </w:tc>
        <w:tc>
          <w:tcPr>
            <w:tcW w:w="7230" w:type="dxa"/>
          </w:tcPr>
          <w:p w14:paraId="6A0B61F4" w14:textId="77777777" w:rsidR="00171431" w:rsidRDefault="00171431">
            <w:pPr>
              <w:pStyle w:val="a"/>
              <w:spacing w:line="240" w:lineRule="auto"/>
            </w:pPr>
            <w:r>
              <w:rPr>
                <w:rFonts w:hint="cs"/>
                <w:rtl/>
              </w:rPr>
              <w:t>ב"כ המאשימה - עו"ד סמי איליה</w:t>
            </w:r>
          </w:p>
          <w:p w14:paraId="51B9B710" w14:textId="77777777" w:rsidR="00171431" w:rsidRDefault="00171431">
            <w:pPr>
              <w:pStyle w:val="a"/>
              <w:spacing w:line="240" w:lineRule="auto"/>
              <w:rPr>
                <w:rFonts w:hint="cs"/>
                <w:rtl/>
              </w:rPr>
            </w:pPr>
            <w:r>
              <w:rPr>
                <w:rFonts w:hint="cs"/>
                <w:rtl/>
              </w:rPr>
              <w:t xml:space="preserve">ב"כ הנאשם - עו"ד חלאילה מוהנד מהסניגוריה הציבורית </w:t>
            </w:r>
          </w:p>
          <w:p w14:paraId="5CB0D074" w14:textId="77777777" w:rsidR="00171431" w:rsidRDefault="00171431">
            <w:pPr>
              <w:pStyle w:val="a"/>
              <w:spacing w:line="240" w:lineRule="auto"/>
            </w:pPr>
            <w:r>
              <w:rPr>
                <w:rFonts w:hint="cs"/>
                <w:rtl/>
              </w:rPr>
              <w:t xml:space="preserve">הנאשם - בעצמו </w:t>
            </w:r>
          </w:p>
        </w:tc>
      </w:tr>
    </w:tbl>
    <w:p w14:paraId="7607C32D" w14:textId="77777777" w:rsidR="003F7D3B" w:rsidRDefault="003F7D3B">
      <w:pPr>
        <w:rPr>
          <w:rtl/>
        </w:rPr>
      </w:pPr>
      <w:bookmarkStart w:id="3" w:name="LawTable"/>
      <w:bookmarkEnd w:id="2"/>
      <w:bookmarkEnd w:id="3"/>
    </w:p>
    <w:p w14:paraId="22D783DE" w14:textId="77777777" w:rsidR="003F7D3B" w:rsidRPr="003F7D3B" w:rsidRDefault="003F7D3B" w:rsidP="003F7D3B">
      <w:pPr>
        <w:spacing w:after="120" w:line="240" w:lineRule="exact"/>
        <w:ind w:left="283" w:hanging="283"/>
        <w:rPr>
          <w:rFonts w:ascii="FrankRuehl" w:hAnsi="FrankRuehl" w:cs="FrankRuehl"/>
          <w:sz w:val="24"/>
          <w:rtl/>
        </w:rPr>
      </w:pPr>
    </w:p>
    <w:p w14:paraId="40EAB27E" w14:textId="77777777" w:rsidR="003F7D3B" w:rsidRPr="003F7D3B" w:rsidRDefault="003F7D3B" w:rsidP="003F7D3B">
      <w:pPr>
        <w:spacing w:after="120" w:line="240" w:lineRule="exact"/>
        <w:ind w:left="283" w:hanging="283"/>
        <w:rPr>
          <w:rFonts w:ascii="FrankRuehl" w:hAnsi="FrankRuehl" w:cs="FrankRuehl"/>
          <w:sz w:val="24"/>
          <w:rtl/>
        </w:rPr>
      </w:pPr>
      <w:r w:rsidRPr="003F7D3B">
        <w:rPr>
          <w:rFonts w:ascii="FrankRuehl" w:hAnsi="FrankRuehl" w:cs="FrankRuehl"/>
          <w:sz w:val="24"/>
          <w:rtl/>
        </w:rPr>
        <w:t xml:space="preserve">חקיקה שאוזכרה: </w:t>
      </w:r>
    </w:p>
    <w:p w14:paraId="06CE5342" w14:textId="77777777" w:rsidR="003F7D3B" w:rsidRPr="003F7D3B" w:rsidRDefault="003F7D3B" w:rsidP="003F7D3B">
      <w:pPr>
        <w:spacing w:after="120" w:line="240" w:lineRule="exact"/>
        <w:ind w:left="283" w:hanging="283"/>
        <w:rPr>
          <w:rFonts w:ascii="FrankRuehl" w:hAnsi="FrankRuehl" w:cs="FrankRuehl"/>
          <w:sz w:val="24"/>
          <w:rtl/>
        </w:rPr>
      </w:pPr>
      <w:hyperlink r:id="rId6" w:history="1">
        <w:r w:rsidRPr="003F7D3B">
          <w:rPr>
            <w:rFonts w:ascii="FrankRuehl" w:hAnsi="FrankRuehl" w:cs="FrankRuehl"/>
            <w:color w:val="0000FF"/>
            <w:sz w:val="24"/>
            <w:u w:val="single"/>
            <w:rtl/>
          </w:rPr>
          <w:t>חוק העונשין, תשל"ז-1977</w:t>
        </w:r>
      </w:hyperlink>
      <w:r w:rsidRPr="003F7D3B">
        <w:rPr>
          <w:rFonts w:ascii="FrankRuehl" w:hAnsi="FrankRuehl" w:cs="FrankRuehl"/>
          <w:sz w:val="24"/>
          <w:rtl/>
        </w:rPr>
        <w:t xml:space="preserve">: סע'  </w:t>
      </w:r>
      <w:hyperlink r:id="rId7" w:history="1">
        <w:r w:rsidRPr="003F7D3B">
          <w:rPr>
            <w:rFonts w:ascii="FrankRuehl" w:hAnsi="FrankRuehl" w:cs="FrankRuehl"/>
            <w:color w:val="0000FF"/>
            <w:sz w:val="24"/>
            <w:u w:val="single"/>
            <w:rtl/>
          </w:rPr>
          <w:t>348(ג)</w:t>
        </w:r>
      </w:hyperlink>
      <w:r w:rsidRPr="003F7D3B">
        <w:rPr>
          <w:rFonts w:ascii="FrankRuehl" w:hAnsi="FrankRuehl" w:cs="FrankRuehl"/>
          <w:sz w:val="24"/>
          <w:rtl/>
        </w:rPr>
        <w:t xml:space="preserve">, </w:t>
      </w:r>
      <w:hyperlink r:id="rId8" w:history="1">
        <w:r w:rsidRPr="003F7D3B">
          <w:rPr>
            <w:rFonts w:ascii="FrankRuehl" w:hAnsi="FrankRuehl" w:cs="FrankRuehl"/>
            <w:color w:val="0000FF"/>
            <w:sz w:val="24"/>
            <w:u w:val="single"/>
            <w:rtl/>
          </w:rPr>
          <w:t>348(ו)</w:t>
        </w:r>
      </w:hyperlink>
    </w:p>
    <w:p w14:paraId="345CC965" w14:textId="77777777" w:rsidR="003F7D3B" w:rsidRPr="003F7D3B" w:rsidRDefault="003F7D3B" w:rsidP="003F7D3B">
      <w:pPr>
        <w:spacing w:after="120" w:line="240" w:lineRule="exact"/>
        <w:ind w:left="283" w:hanging="283"/>
        <w:rPr>
          <w:rFonts w:ascii="FrankRuehl" w:hAnsi="FrankRuehl" w:cs="FrankRuehl"/>
          <w:sz w:val="24"/>
          <w:rtl/>
        </w:rPr>
      </w:pPr>
      <w:hyperlink r:id="rId9" w:history="1">
        <w:r w:rsidRPr="003F7D3B">
          <w:rPr>
            <w:rFonts w:ascii="FrankRuehl" w:hAnsi="FrankRuehl" w:cs="FrankRuehl"/>
            <w:color w:val="0000FF"/>
            <w:sz w:val="24"/>
            <w:u w:val="single"/>
            <w:rtl/>
          </w:rPr>
          <w:t>פקודת הראיות [נוסח חדש], תשל"א-1971</w:t>
        </w:r>
      </w:hyperlink>
      <w:r w:rsidRPr="003F7D3B">
        <w:rPr>
          <w:rFonts w:ascii="FrankRuehl" w:hAnsi="FrankRuehl" w:cs="FrankRuehl"/>
          <w:sz w:val="24"/>
          <w:rtl/>
        </w:rPr>
        <w:t xml:space="preserve">: סע'  </w:t>
      </w:r>
      <w:hyperlink r:id="rId10" w:history="1">
        <w:r w:rsidRPr="003F7D3B">
          <w:rPr>
            <w:rFonts w:ascii="FrankRuehl" w:hAnsi="FrankRuehl" w:cs="FrankRuehl"/>
            <w:color w:val="0000FF"/>
            <w:sz w:val="24"/>
            <w:u w:val="single"/>
            <w:rtl/>
          </w:rPr>
          <w:t>53</w:t>
        </w:r>
      </w:hyperlink>
    </w:p>
    <w:p w14:paraId="66A6E6EE" w14:textId="77777777" w:rsidR="003F7D3B" w:rsidRDefault="003F7D3B" w:rsidP="003F7D3B">
      <w:pPr>
        <w:spacing w:after="120" w:line="240" w:lineRule="exact"/>
        <w:ind w:left="283" w:hanging="283"/>
        <w:rPr>
          <w:rFonts w:ascii="FrankRuehl" w:hAnsi="FrankRuehl" w:cs="FrankRuehl"/>
          <w:sz w:val="24"/>
          <w:rtl/>
        </w:rPr>
      </w:pPr>
    </w:p>
    <w:p w14:paraId="2BF61DFE" w14:textId="77777777" w:rsidR="003F7D3B" w:rsidRPr="003F7D3B" w:rsidRDefault="003F7D3B" w:rsidP="003F7D3B">
      <w:pPr>
        <w:spacing w:after="120" w:line="240" w:lineRule="exact"/>
        <w:ind w:left="283" w:hanging="283"/>
        <w:rPr>
          <w:rFonts w:ascii="FrankRuehl" w:hAnsi="FrankRuehl" w:cs="FrankRuehl"/>
          <w:sz w:val="24"/>
          <w:rtl/>
        </w:rPr>
      </w:pPr>
    </w:p>
    <w:p w14:paraId="1BE95179" w14:textId="77777777" w:rsidR="00171431" w:rsidRDefault="00171431">
      <w:pPr>
        <w:jc w:val="center"/>
        <w:rPr>
          <w:b/>
          <w:bCs/>
          <w:sz w:val="32"/>
          <w:szCs w:val="32"/>
          <w:u w:val="single"/>
          <w:rtl/>
        </w:rPr>
      </w:pPr>
      <w:bookmarkStart w:id="4" w:name="LawTable_End"/>
      <w:bookmarkStart w:id="5" w:name="סוג_מסמך"/>
      <w:bookmarkStart w:id="6" w:name="PsakDin"/>
      <w:bookmarkEnd w:id="4"/>
      <w:r>
        <w:rPr>
          <w:b/>
          <w:bCs/>
          <w:sz w:val="32"/>
          <w:szCs w:val="32"/>
          <w:u w:val="single"/>
          <w:rtl/>
        </w:rPr>
        <w:t>הכרעת דין</w:t>
      </w:r>
    </w:p>
    <w:bookmarkEnd w:id="6"/>
    <w:p w14:paraId="60E74B46" w14:textId="77777777" w:rsidR="00171431" w:rsidRDefault="00171431">
      <w:pPr>
        <w:rPr>
          <w:rFonts w:hint="cs"/>
          <w:rtl/>
        </w:rPr>
      </w:pPr>
    </w:p>
    <w:p w14:paraId="243F9EBD" w14:textId="77777777" w:rsidR="00171431" w:rsidRDefault="00171431">
      <w:pPr>
        <w:rPr>
          <w:rFonts w:hint="cs"/>
          <w:b/>
          <w:bCs/>
          <w:u w:val="single"/>
          <w:rtl/>
        </w:rPr>
      </w:pPr>
      <w:r>
        <w:rPr>
          <w:rFonts w:hint="cs"/>
          <w:b/>
          <w:bCs/>
          <w:u w:val="single"/>
          <w:rtl/>
        </w:rPr>
        <w:t>המבוא:</w:t>
      </w:r>
    </w:p>
    <w:p w14:paraId="37B97820" w14:textId="77777777" w:rsidR="00171431" w:rsidRDefault="00171431">
      <w:pPr>
        <w:rPr>
          <w:rFonts w:hint="cs"/>
          <w:rtl/>
        </w:rPr>
      </w:pPr>
      <w:bookmarkStart w:id="7" w:name="ABSTRACT_START"/>
      <w:bookmarkEnd w:id="7"/>
      <w:r>
        <w:rPr>
          <w:rFonts w:hint="cs"/>
          <w:rtl/>
        </w:rPr>
        <w:t xml:space="preserve">כנגד הנאשם הוגש כתב אישום בו הוא מואשם בעבירה של מעשה מגונה באדם עבירה לפי </w:t>
      </w:r>
      <w:hyperlink r:id="rId11" w:history="1">
        <w:r w:rsidR="003F7D3B" w:rsidRPr="003F7D3B">
          <w:rPr>
            <w:color w:val="0000FF"/>
            <w:u w:val="single"/>
            <w:rtl/>
          </w:rPr>
          <w:t>סעיף 348(ג)</w:t>
        </w:r>
      </w:hyperlink>
      <w:r>
        <w:rPr>
          <w:rFonts w:hint="cs"/>
          <w:rtl/>
        </w:rPr>
        <w:t xml:space="preserve"> ל</w:t>
      </w:r>
      <w:hyperlink r:id="rId12" w:history="1">
        <w:r w:rsidR="00233A9B" w:rsidRPr="00233A9B">
          <w:rPr>
            <w:rStyle w:val="Hyperlink"/>
            <w:rFonts w:hint="eastAsia"/>
            <w:rtl/>
          </w:rPr>
          <w:t>חוק</w:t>
        </w:r>
        <w:r w:rsidR="00233A9B" w:rsidRPr="00233A9B">
          <w:rPr>
            <w:rStyle w:val="Hyperlink"/>
            <w:rtl/>
          </w:rPr>
          <w:t xml:space="preserve"> העונשין</w:t>
        </w:r>
      </w:hyperlink>
      <w:r>
        <w:rPr>
          <w:rFonts w:hint="cs"/>
          <w:rtl/>
        </w:rPr>
        <w:t xml:space="preserve">, תשל"ז-1977 </w:t>
      </w:r>
      <w:bookmarkStart w:id="8" w:name="ABSTRACT_END"/>
      <w:bookmarkEnd w:id="8"/>
      <w:r>
        <w:rPr>
          <w:rFonts w:hint="cs"/>
          <w:rtl/>
        </w:rPr>
        <w:t>(להלן: "חוק העונשין").</w:t>
      </w:r>
    </w:p>
    <w:p w14:paraId="614237B1" w14:textId="77777777" w:rsidR="00171431" w:rsidRDefault="00171431">
      <w:pPr>
        <w:rPr>
          <w:rFonts w:hint="cs"/>
          <w:rtl/>
        </w:rPr>
      </w:pPr>
    </w:p>
    <w:p w14:paraId="445F79DC" w14:textId="77777777" w:rsidR="00171431" w:rsidRDefault="00171431">
      <w:pPr>
        <w:rPr>
          <w:rFonts w:hint="cs"/>
          <w:b/>
          <w:bCs/>
          <w:u w:val="single"/>
          <w:rtl/>
        </w:rPr>
      </w:pPr>
      <w:r>
        <w:rPr>
          <w:rFonts w:hint="cs"/>
          <w:b/>
          <w:bCs/>
          <w:u w:val="single"/>
          <w:rtl/>
        </w:rPr>
        <w:t xml:space="preserve">העובדות עפ"י כתב האישום: </w:t>
      </w:r>
    </w:p>
    <w:p w14:paraId="1DD2D0BB" w14:textId="77777777" w:rsidR="00171431" w:rsidRDefault="00171431">
      <w:pPr>
        <w:rPr>
          <w:rFonts w:hint="cs"/>
          <w:rtl/>
        </w:rPr>
      </w:pPr>
      <w:r>
        <w:rPr>
          <w:rFonts w:hint="cs"/>
          <w:rtl/>
        </w:rPr>
        <w:t>הנאשם הינו דודה של המתלוננת, ילידת 1983.</w:t>
      </w:r>
    </w:p>
    <w:p w14:paraId="3B9E4750" w14:textId="77777777" w:rsidR="00171431" w:rsidRDefault="00171431">
      <w:pPr>
        <w:rPr>
          <w:rFonts w:hint="cs"/>
          <w:rtl/>
        </w:rPr>
      </w:pPr>
      <w:r>
        <w:rPr>
          <w:rFonts w:hint="cs"/>
          <w:rtl/>
        </w:rPr>
        <w:t>ביום 5.4.03 בשעה 11:10, קרא הנאשם למתלוננת וביקש ממנה שתיגש לדירתו הממוקמת בתוך ביתה של המתלוננת.</w:t>
      </w:r>
    </w:p>
    <w:p w14:paraId="42229670" w14:textId="77777777" w:rsidR="00171431" w:rsidRDefault="00171431">
      <w:pPr>
        <w:rPr>
          <w:rFonts w:hint="cs"/>
          <w:rtl/>
        </w:rPr>
      </w:pPr>
      <w:r>
        <w:rPr>
          <w:rFonts w:hint="cs"/>
          <w:rtl/>
        </w:rPr>
        <w:t>משנכנסה המתלוננת לדירתו של הנאשם, תפס אותה הנאשם בכתפיה ובראשה וליקק את פניה. המתלוננת דחפה את הנאשם ויצאה מדירתו.</w:t>
      </w:r>
    </w:p>
    <w:p w14:paraId="43F22060" w14:textId="77777777" w:rsidR="00171431" w:rsidRDefault="00171431">
      <w:pPr>
        <w:rPr>
          <w:rFonts w:hint="cs"/>
          <w:rtl/>
        </w:rPr>
      </w:pPr>
      <w:r>
        <w:rPr>
          <w:rFonts w:hint="cs"/>
          <w:rtl/>
        </w:rPr>
        <w:t>במעשים המתוארים לעיל, עשה הנאשם במתלוננת מעשה מגונה לשם גירוי סיפוק או ביזוי מיניים.</w:t>
      </w:r>
    </w:p>
    <w:p w14:paraId="3AD0ECF9" w14:textId="77777777" w:rsidR="00171431" w:rsidRDefault="00171431">
      <w:pPr>
        <w:rPr>
          <w:rFonts w:hint="cs"/>
          <w:rtl/>
        </w:rPr>
      </w:pPr>
    </w:p>
    <w:p w14:paraId="7C1FEE16" w14:textId="77777777" w:rsidR="00171431" w:rsidRDefault="00171431">
      <w:pPr>
        <w:rPr>
          <w:rFonts w:hint="cs"/>
          <w:b/>
          <w:bCs/>
          <w:u w:val="single"/>
          <w:rtl/>
        </w:rPr>
      </w:pPr>
      <w:r>
        <w:rPr>
          <w:rFonts w:hint="cs"/>
          <w:b/>
          <w:bCs/>
          <w:u w:val="single"/>
          <w:rtl/>
        </w:rPr>
        <w:lastRenderedPageBreak/>
        <w:t>פרשת התביעה:</w:t>
      </w:r>
    </w:p>
    <w:p w14:paraId="6FFDB5D4" w14:textId="77777777" w:rsidR="00171431" w:rsidRDefault="00171431">
      <w:pPr>
        <w:rPr>
          <w:rFonts w:hint="cs"/>
          <w:rtl/>
        </w:rPr>
      </w:pPr>
      <w:r>
        <w:rPr>
          <w:rFonts w:hint="cs"/>
          <w:rtl/>
        </w:rPr>
        <w:t>התביעה לביסוס ראיותיה העידה  את המתלוננת והציגה 3 מוצגים.</w:t>
      </w:r>
    </w:p>
    <w:p w14:paraId="73357F52" w14:textId="77777777" w:rsidR="00171431" w:rsidRDefault="00171431">
      <w:pPr>
        <w:rPr>
          <w:rFonts w:hint="cs"/>
          <w:rtl/>
        </w:rPr>
      </w:pPr>
      <w:r>
        <w:rPr>
          <w:rFonts w:hint="cs"/>
          <w:rtl/>
        </w:rPr>
        <w:t xml:space="preserve">המתלוננת כיום סטודנטית לסיעוד ומתגוררת בחיפה בבית אמה. </w:t>
      </w:r>
    </w:p>
    <w:p w14:paraId="66626FFD" w14:textId="77777777" w:rsidR="00171431" w:rsidRDefault="00171431">
      <w:pPr>
        <w:rPr>
          <w:rFonts w:hint="cs"/>
          <w:rtl/>
        </w:rPr>
      </w:pPr>
      <w:r>
        <w:rPr>
          <w:rFonts w:hint="cs"/>
          <w:rtl/>
        </w:rPr>
        <w:t>בעדותה בביהמ"ש תיארה את ביתו של הנאשם כממוקם בתוך ביתה כ"בית בתוך בית" וכדי להיכנס לביתו, יש לעבור דרך ביתה.</w:t>
      </w:r>
    </w:p>
    <w:p w14:paraId="696F18D8" w14:textId="77777777" w:rsidR="00171431" w:rsidRDefault="00171431">
      <w:pPr>
        <w:rPr>
          <w:rFonts w:hint="cs"/>
          <w:rtl/>
        </w:rPr>
      </w:pPr>
    </w:p>
    <w:p w14:paraId="661911CC" w14:textId="77777777" w:rsidR="00171431" w:rsidRDefault="00171431">
      <w:pPr>
        <w:rPr>
          <w:rFonts w:hint="cs"/>
          <w:rtl/>
        </w:rPr>
      </w:pPr>
      <w:r>
        <w:rPr>
          <w:rFonts w:hint="cs"/>
          <w:rtl/>
        </w:rPr>
        <w:t xml:space="preserve">המתלוננת סיפרה בביהמ"ש על האירוע שהיה בחודש אפריל בשנת 2003 - נשוא כתב האישום (להלן: "האירוע") כך: </w:t>
      </w:r>
    </w:p>
    <w:p w14:paraId="6ACCBE8F" w14:textId="77777777" w:rsidR="00171431" w:rsidRDefault="00171431">
      <w:pPr>
        <w:rPr>
          <w:rFonts w:hint="cs"/>
          <w:b/>
          <w:bCs/>
          <w:rtl/>
        </w:rPr>
      </w:pPr>
    </w:p>
    <w:p w14:paraId="4BB77307" w14:textId="77777777" w:rsidR="00171431" w:rsidRDefault="00171431">
      <w:pPr>
        <w:pStyle w:val="a0"/>
        <w:rPr>
          <w:rFonts w:hint="cs"/>
          <w:bCs w:val="0"/>
          <w:rtl/>
        </w:rPr>
      </w:pPr>
      <w:r>
        <w:rPr>
          <w:rFonts w:hint="cs"/>
          <w:rtl/>
        </w:rPr>
        <w:t xml:space="preserve">"הייתי במטבח, אני לא זוכרת בדיוק מה עשיתי במטבח, הוא קרא לי מביתו, אני שמעתי ועשיתי את עצמי שאני לא שומעת אותו, אז הוא בא למטבח, נגע לי בכתפיים ואמר לי "בואי, תיכנסי", לא ידעתי בדיוק מה הוא עושה, אולי הוא רוצה עזרה בבית, נכנסתי לראות מה הוא רוצה כי הוא דוד שלי. כשנכנסתי, הוא התנפל עליי, תפס אותי בפנים, התחיל ללקק לי את הפנים עם הלשון שלו, זה ממש הגעיל אותי כאישה, אז דחפתי אותו, הוא ניסה להחזיק אותי, רצתי לדלת, פתחתי ויצאתי" </w:t>
      </w:r>
      <w:r>
        <w:rPr>
          <w:rFonts w:hint="cs"/>
          <w:bCs w:val="0"/>
          <w:rtl/>
        </w:rPr>
        <w:t>(פרוט' עמ' 7 ש' 16-22).</w:t>
      </w:r>
    </w:p>
    <w:p w14:paraId="57C4AFC7" w14:textId="77777777" w:rsidR="00171431" w:rsidRDefault="00171431">
      <w:pPr>
        <w:pStyle w:val="a0"/>
        <w:rPr>
          <w:rFonts w:hint="cs"/>
          <w:rtl/>
        </w:rPr>
      </w:pPr>
    </w:p>
    <w:p w14:paraId="2F985623" w14:textId="77777777" w:rsidR="00171431" w:rsidRDefault="00171431">
      <w:pPr>
        <w:pStyle w:val="a0"/>
        <w:rPr>
          <w:rFonts w:hint="cs"/>
          <w:rtl/>
        </w:rPr>
      </w:pPr>
    </w:p>
    <w:p w14:paraId="022D4553" w14:textId="77777777" w:rsidR="00171431" w:rsidRDefault="00171431">
      <w:pPr>
        <w:rPr>
          <w:rFonts w:hint="cs"/>
          <w:rtl/>
        </w:rPr>
      </w:pPr>
      <w:r>
        <w:rPr>
          <w:rFonts w:hint="cs"/>
          <w:rtl/>
        </w:rPr>
        <w:t>המתלוננת טענה כי בעת האירוע, נדף מהנאשם ריח של אלכוהול והוסיפה כי הוא נוהג לשתות אלכוהול.</w:t>
      </w:r>
    </w:p>
    <w:p w14:paraId="1DC93501" w14:textId="77777777" w:rsidR="00171431" w:rsidRDefault="00171431">
      <w:pPr>
        <w:rPr>
          <w:rFonts w:hint="cs"/>
          <w:rtl/>
        </w:rPr>
      </w:pPr>
      <w:r>
        <w:rPr>
          <w:rFonts w:hint="cs"/>
          <w:rtl/>
        </w:rPr>
        <w:t>היא העידה גם כי משפחתה אינה בקשרים טובים עם הנאשם ואינם נוהגים לשבת עימו בצוותא וכן שאמה שהיא אחותו אינה מדברת עמו שנים רבות.</w:t>
      </w:r>
    </w:p>
    <w:p w14:paraId="4B033584" w14:textId="77777777" w:rsidR="00171431" w:rsidRDefault="00171431">
      <w:pPr>
        <w:rPr>
          <w:rFonts w:hint="cs"/>
          <w:rtl/>
        </w:rPr>
      </w:pPr>
      <w:r>
        <w:rPr>
          <w:rFonts w:hint="cs"/>
          <w:rtl/>
        </w:rPr>
        <w:t>עוד הוסיפה כי בזמן האירוע, אמה ואחיה היו בבית וכאשר צרחה בעת האירוע, אמה שמעה אותה ופרצה בצעקות גם היא.</w:t>
      </w:r>
    </w:p>
    <w:p w14:paraId="5528E4BD" w14:textId="77777777" w:rsidR="00171431" w:rsidRDefault="00171431">
      <w:pPr>
        <w:rPr>
          <w:rFonts w:hint="cs"/>
          <w:rtl/>
        </w:rPr>
      </w:pPr>
      <w:r>
        <w:rPr>
          <w:rFonts w:hint="cs"/>
          <w:rtl/>
        </w:rPr>
        <w:t>לדברי המתלוננת, גם אשתו של דודה ובניו שמעו אותה צורחת.</w:t>
      </w:r>
    </w:p>
    <w:p w14:paraId="1CDC140F" w14:textId="77777777" w:rsidR="00171431" w:rsidRDefault="00171431">
      <w:pPr>
        <w:rPr>
          <w:rFonts w:hint="cs"/>
          <w:rtl/>
        </w:rPr>
      </w:pPr>
      <w:r>
        <w:rPr>
          <w:rFonts w:hint="cs"/>
          <w:rtl/>
        </w:rPr>
        <w:t>המתלוננת תיארה את היחסים ששררו בינה לבין הנאשם, עובר לאירוע, כיחסים טובים, למרות שלדבריה כבר בהיותה בת 15, הנאשם אמר לה שהוא רוצה לקיים עימה יחסים אינטימיים.</w:t>
      </w:r>
    </w:p>
    <w:p w14:paraId="41FA3E6B" w14:textId="77777777" w:rsidR="00171431" w:rsidRDefault="00171431">
      <w:pPr>
        <w:rPr>
          <w:rFonts w:hint="cs"/>
          <w:rtl/>
        </w:rPr>
      </w:pPr>
    </w:p>
    <w:p w14:paraId="383966D6" w14:textId="77777777" w:rsidR="00171431" w:rsidRDefault="00171431">
      <w:pPr>
        <w:rPr>
          <w:rFonts w:hint="cs"/>
          <w:b/>
          <w:bCs/>
          <w:u w:val="single"/>
          <w:rtl/>
        </w:rPr>
      </w:pPr>
      <w:r>
        <w:rPr>
          <w:rFonts w:hint="cs"/>
          <w:b/>
          <w:bCs/>
          <w:u w:val="single"/>
          <w:rtl/>
        </w:rPr>
        <w:t>פרשת ההגנה:</w:t>
      </w:r>
    </w:p>
    <w:p w14:paraId="0D2B0307" w14:textId="77777777" w:rsidR="00171431" w:rsidRDefault="00171431">
      <w:pPr>
        <w:rPr>
          <w:rFonts w:hint="cs"/>
          <w:rtl/>
        </w:rPr>
      </w:pPr>
      <w:r>
        <w:rPr>
          <w:rFonts w:hint="cs"/>
          <w:rtl/>
        </w:rPr>
        <w:t>ההגנה להוכחת ראיותיה העידה  את הנאשם.</w:t>
      </w:r>
    </w:p>
    <w:p w14:paraId="461FCA81" w14:textId="77777777" w:rsidR="00171431" w:rsidRDefault="00171431">
      <w:pPr>
        <w:rPr>
          <w:rFonts w:hint="cs"/>
          <w:rtl/>
        </w:rPr>
      </w:pPr>
      <w:r>
        <w:rPr>
          <w:rFonts w:hint="cs"/>
          <w:rtl/>
        </w:rPr>
        <w:t>הנאשם טען כי ביום האירוע, קרא למתלוננת שתיכנס לביתו כדי שתעזור לו לשאוב את השטיחים.</w:t>
      </w:r>
    </w:p>
    <w:p w14:paraId="4CA8A216" w14:textId="77777777" w:rsidR="00171431" w:rsidRDefault="00171431">
      <w:pPr>
        <w:rPr>
          <w:rFonts w:hint="cs"/>
          <w:rtl/>
        </w:rPr>
      </w:pPr>
      <w:r>
        <w:rPr>
          <w:rFonts w:hint="cs"/>
          <w:rtl/>
        </w:rPr>
        <w:t>לדבריו, הוא ניגש אל המתלוננת שהיתה במטבח לאחר שקמה משינה וישבה ליד שולחן האוכל, תפס אותה בכתפיה ונתן לה נשיקה בלחי ולפתע</w:t>
      </w:r>
      <w:r>
        <w:rPr>
          <w:rFonts w:hint="cs"/>
          <w:b/>
          <w:bCs/>
          <w:rtl/>
        </w:rPr>
        <w:t xml:space="preserve"> "היא התעוררה ואמרה אמא, אמא, אמא והזיזה את ראשה" </w:t>
      </w:r>
      <w:r>
        <w:rPr>
          <w:rFonts w:hint="cs"/>
          <w:rtl/>
        </w:rPr>
        <w:t>(פרוט'  עמ' 12 ש' 1-2).</w:t>
      </w:r>
    </w:p>
    <w:p w14:paraId="7C5EFD0E" w14:textId="77777777" w:rsidR="00171431" w:rsidRDefault="00171431">
      <w:pPr>
        <w:rPr>
          <w:rFonts w:hint="cs"/>
          <w:rtl/>
        </w:rPr>
      </w:pPr>
    </w:p>
    <w:p w14:paraId="631F04D6" w14:textId="77777777" w:rsidR="00171431" w:rsidRDefault="00171431">
      <w:pPr>
        <w:rPr>
          <w:rFonts w:hint="cs"/>
          <w:rtl/>
        </w:rPr>
      </w:pPr>
      <w:r>
        <w:rPr>
          <w:rFonts w:hint="cs"/>
          <w:rtl/>
        </w:rPr>
        <w:t xml:space="preserve">הנאשם הדגיש כי הדלת של ביתו היתה פתוחה ואמה של המתלוננת נמצאה במרחק 2 מטר ממנה. הוסיף כי מעולם לא נישק את המתלוננת עם הלשון, אולם העיד כי הוא נוהג לנשק את המתלוננת מאז שנולדה. </w:t>
      </w:r>
    </w:p>
    <w:p w14:paraId="38095E3C" w14:textId="77777777" w:rsidR="00171431" w:rsidRDefault="00171431">
      <w:pPr>
        <w:rPr>
          <w:rFonts w:hint="cs"/>
          <w:rtl/>
        </w:rPr>
      </w:pPr>
      <w:r>
        <w:rPr>
          <w:rFonts w:hint="cs"/>
          <w:rtl/>
        </w:rPr>
        <w:lastRenderedPageBreak/>
        <w:t>בנוגע לאופי הנשיקה העיד הנאשם  כי הוא ומשפחתו נוהגים לנשק בפה וכדבריו:</w:t>
      </w:r>
    </w:p>
    <w:p w14:paraId="5A70EB21" w14:textId="77777777" w:rsidR="00171431" w:rsidRDefault="00171431">
      <w:pPr>
        <w:rPr>
          <w:rFonts w:hint="cs"/>
          <w:b/>
          <w:bCs/>
          <w:rtl/>
        </w:rPr>
      </w:pPr>
    </w:p>
    <w:p w14:paraId="38F927D5" w14:textId="77777777" w:rsidR="00171431" w:rsidRDefault="00171431">
      <w:pPr>
        <w:pStyle w:val="a0"/>
        <w:rPr>
          <w:rFonts w:hint="cs"/>
          <w:bCs w:val="0"/>
          <w:rtl/>
        </w:rPr>
      </w:pPr>
      <w:r>
        <w:rPr>
          <w:rFonts w:hint="cs"/>
          <w:rtl/>
        </w:rPr>
        <w:t xml:space="preserve">"לא עם הלשון, בפה. נותנים נשיקות, הילדים קופצים עליי על הברכיים, זה כמו הילדים שלי. האחיות שלי מנשקות אותי בפה. האחיות וגם הבנות" </w:t>
      </w:r>
      <w:r>
        <w:rPr>
          <w:rFonts w:hint="cs"/>
          <w:bCs w:val="0"/>
          <w:rtl/>
        </w:rPr>
        <w:t>(פרוט' עמ' 13 ש' 2-3).</w:t>
      </w:r>
    </w:p>
    <w:p w14:paraId="4979DDDC" w14:textId="77777777" w:rsidR="00171431" w:rsidRDefault="00171431">
      <w:pPr>
        <w:pStyle w:val="a0"/>
        <w:rPr>
          <w:rFonts w:hint="cs"/>
          <w:rtl/>
        </w:rPr>
      </w:pPr>
    </w:p>
    <w:p w14:paraId="634125B3" w14:textId="77777777" w:rsidR="00171431" w:rsidRDefault="00171431">
      <w:pPr>
        <w:pStyle w:val="a0"/>
        <w:rPr>
          <w:rFonts w:hint="cs"/>
          <w:rtl/>
        </w:rPr>
      </w:pPr>
      <w:r>
        <w:rPr>
          <w:rFonts w:hint="cs"/>
          <w:rtl/>
        </w:rPr>
        <w:t xml:space="preserve"> </w:t>
      </w:r>
    </w:p>
    <w:p w14:paraId="555029A1" w14:textId="77777777" w:rsidR="00171431" w:rsidRDefault="00171431">
      <w:pPr>
        <w:rPr>
          <w:rFonts w:hint="cs"/>
          <w:b/>
          <w:bCs/>
          <w:u w:val="single"/>
          <w:rtl/>
        </w:rPr>
      </w:pPr>
      <w:r>
        <w:rPr>
          <w:rFonts w:hint="cs"/>
          <w:b/>
          <w:bCs/>
          <w:u w:val="single"/>
          <w:rtl/>
        </w:rPr>
        <w:t>הגירסאות לאירוע:</w:t>
      </w:r>
    </w:p>
    <w:p w14:paraId="7F59EB03" w14:textId="77777777" w:rsidR="00171431" w:rsidRDefault="00171431">
      <w:pPr>
        <w:rPr>
          <w:rFonts w:hint="cs"/>
          <w:rtl/>
        </w:rPr>
      </w:pPr>
      <w:r>
        <w:rPr>
          <w:rFonts w:hint="cs"/>
          <w:rtl/>
        </w:rPr>
        <w:t>לפני גירסאותיהם הסותרות של המתלוננת מחד ושל הנאשם מאידך.</w:t>
      </w:r>
    </w:p>
    <w:p w14:paraId="3799D703" w14:textId="77777777" w:rsidR="00171431" w:rsidRDefault="00171431">
      <w:pPr>
        <w:rPr>
          <w:rFonts w:hint="cs"/>
          <w:rtl/>
        </w:rPr>
      </w:pPr>
      <w:r>
        <w:rPr>
          <w:rFonts w:hint="cs"/>
          <w:rtl/>
        </w:rPr>
        <w:t xml:space="preserve">הנאשם אינו מכחיש כי נשק למתלוננת, אולם מכחיש הוא את אופי הנשיקה וטוען כי הנשיקה אינה בעלת אופי מיני, אלא מדובר בנשיקה תמימה מסוג הנשיקות המשפחתיות שנהג לנשקה מאז נולדה. </w:t>
      </w:r>
    </w:p>
    <w:p w14:paraId="23DA70EC" w14:textId="77777777" w:rsidR="00171431" w:rsidRDefault="00171431">
      <w:pPr>
        <w:rPr>
          <w:rFonts w:hint="cs"/>
          <w:rtl/>
        </w:rPr>
      </w:pPr>
      <w:r>
        <w:rPr>
          <w:rFonts w:hint="cs"/>
          <w:rtl/>
        </w:rPr>
        <w:t>לדברי המתלוננת, הנאשם קרא לה לדירתו וכשנכנסה, סגר מאחוריו את הדלת, תפס אותה בראשה ובלשונו ליקק את פניה.</w:t>
      </w:r>
    </w:p>
    <w:p w14:paraId="0E2AD79E" w14:textId="77777777" w:rsidR="00171431" w:rsidRDefault="00171431">
      <w:pPr>
        <w:rPr>
          <w:rFonts w:hint="cs"/>
          <w:rtl/>
        </w:rPr>
      </w:pPr>
      <w:r>
        <w:rPr>
          <w:rFonts w:hint="cs"/>
          <w:rtl/>
        </w:rPr>
        <w:t>היא הוסיפה כי מהנאשם נדף ריח של אלכוהול.</w:t>
      </w:r>
    </w:p>
    <w:p w14:paraId="1C9E7FA0" w14:textId="77777777" w:rsidR="00171431" w:rsidRDefault="00171431">
      <w:pPr>
        <w:rPr>
          <w:rFonts w:hint="cs"/>
          <w:rtl/>
        </w:rPr>
      </w:pPr>
    </w:p>
    <w:p w14:paraId="0792CB96" w14:textId="77777777" w:rsidR="00171431" w:rsidRDefault="00171431">
      <w:pPr>
        <w:rPr>
          <w:rFonts w:hint="cs"/>
          <w:b/>
          <w:bCs/>
          <w:u w:val="single"/>
          <w:rtl/>
        </w:rPr>
      </w:pPr>
      <w:r>
        <w:rPr>
          <w:rFonts w:hint="cs"/>
          <w:b/>
          <w:bCs/>
          <w:u w:val="single"/>
          <w:rtl/>
        </w:rPr>
        <w:t>טענות הצדדים:</w:t>
      </w:r>
    </w:p>
    <w:p w14:paraId="2598DE49" w14:textId="77777777" w:rsidR="00171431" w:rsidRDefault="00171431">
      <w:pPr>
        <w:rPr>
          <w:rFonts w:hint="cs"/>
          <w:rtl/>
        </w:rPr>
      </w:pPr>
      <w:r>
        <w:rPr>
          <w:rFonts w:hint="cs"/>
          <w:rtl/>
        </w:rPr>
        <w:t>ב"כ המאשימה טענה כי על סמך הראיות שהונחו בפני ביהמ"ש, יש להעדיף חד משמעית את דברי המתלוננת על אלה של הנאשם ולקבוע כי ההגנה לא הצליחה לפגום במכלול הראיות שהציגה התביעה ולכן התביעה הרימה את נטל הראיה מעבר לספק סביר והוכיחה כי הנאשם עבר את העבירה המיוחסת לו בכתב האישום ויסודות העבירה: הפיסי והנפשי, התקיימו.</w:t>
      </w:r>
    </w:p>
    <w:p w14:paraId="7494511C" w14:textId="77777777" w:rsidR="00171431" w:rsidRDefault="00171431">
      <w:pPr>
        <w:rPr>
          <w:rFonts w:hint="cs"/>
          <w:rtl/>
        </w:rPr>
      </w:pPr>
    </w:p>
    <w:p w14:paraId="78F8A105" w14:textId="77777777" w:rsidR="00171431" w:rsidRDefault="00171431">
      <w:pPr>
        <w:rPr>
          <w:rFonts w:hint="cs"/>
          <w:rtl/>
        </w:rPr>
      </w:pPr>
      <w:r>
        <w:rPr>
          <w:rFonts w:hint="cs"/>
          <w:rtl/>
        </w:rPr>
        <w:t>ב"כ הנאשם בסיכומיו, אינו חולק על כך שהנאשם נישק את המתלוננת - אחייניתו בתאריך הנקוב בכתב האישום, אולם המחלוקת הינה באופייה של הנשיקה.</w:t>
      </w:r>
    </w:p>
    <w:p w14:paraId="754634C6" w14:textId="77777777" w:rsidR="00171431" w:rsidRDefault="00171431">
      <w:pPr>
        <w:rPr>
          <w:rFonts w:hint="cs"/>
          <w:rtl/>
        </w:rPr>
      </w:pPr>
      <w:r>
        <w:rPr>
          <w:rFonts w:hint="cs"/>
          <w:rtl/>
        </w:rPr>
        <w:t>הסניגור טען כי המאשימה לא הביאה לעדות את הנוכחים בבית בעת האירוע - אמה ואחיה של המתלוננת, העדים שיכלו לדבריו להעיד על מצבה הנפשי של המתלוננת סמוך לאירוע.</w:t>
      </w:r>
    </w:p>
    <w:p w14:paraId="216388CB" w14:textId="77777777" w:rsidR="00171431" w:rsidRDefault="00171431">
      <w:pPr>
        <w:rPr>
          <w:rFonts w:hint="cs"/>
          <w:rtl/>
        </w:rPr>
      </w:pPr>
      <w:r>
        <w:rPr>
          <w:rFonts w:hint="cs"/>
          <w:rtl/>
        </w:rPr>
        <w:t>לכן, לאור זאת לדעתו, עדותה של המתלוננת אינה יכולה לבסס הרשעה כנדרש במשפט הפלילי, שעה שקיים מחדל חקירתי כה גדול.</w:t>
      </w:r>
    </w:p>
    <w:p w14:paraId="028386C7" w14:textId="77777777" w:rsidR="00171431" w:rsidRDefault="00171431">
      <w:pPr>
        <w:rPr>
          <w:rFonts w:hint="cs"/>
          <w:rtl/>
        </w:rPr>
      </w:pPr>
      <w:r>
        <w:rPr>
          <w:rFonts w:hint="cs"/>
          <w:rtl/>
        </w:rPr>
        <w:t>ב"כ הנאשם הסביר כי המניע של המתלוננת להתלונן על הנאשם הינו ביחסים העכורים הקיימים בין הנאשם לאמה של המתלוננת.</w:t>
      </w:r>
    </w:p>
    <w:p w14:paraId="0AD62829" w14:textId="77777777" w:rsidR="00171431" w:rsidRDefault="00171431">
      <w:pPr>
        <w:rPr>
          <w:rFonts w:hint="cs"/>
          <w:b/>
          <w:bCs/>
          <w:u w:val="single"/>
          <w:rtl/>
        </w:rPr>
      </w:pPr>
    </w:p>
    <w:p w14:paraId="54CF5249" w14:textId="77777777" w:rsidR="00171431" w:rsidRDefault="00171431">
      <w:pPr>
        <w:rPr>
          <w:rFonts w:hint="cs"/>
          <w:b/>
          <w:bCs/>
          <w:u w:val="single"/>
          <w:rtl/>
        </w:rPr>
      </w:pPr>
      <w:r>
        <w:rPr>
          <w:rFonts w:hint="cs"/>
          <w:b/>
          <w:bCs/>
          <w:u w:val="single"/>
          <w:rtl/>
        </w:rPr>
        <w:t>הדיון המשפטי:</w:t>
      </w:r>
    </w:p>
    <w:p w14:paraId="30949D7E" w14:textId="77777777" w:rsidR="00171431" w:rsidRDefault="00171431">
      <w:pPr>
        <w:rPr>
          <w:rFonts w:hint="cs"/>
          <w:rtl/>
        </w:rPr>
      </w:pPr>
      <w:r>
        <w:rPr>
          <w:rFonts w:hint="cs"/>
          <w:rtl/>
        </w:rPr>
        <w:t>הנאשם והמתלוננת היו העדים היחידים לאירוע הנטען ע"י המתלוננת והם היחידים שהעידו בקשר אליו בביהמ"ש.</w:t>
      </w:r>
    </w:p>
    <w:p w14:paraId="506AB34E" w14:textId="77777777" w:rsidR="00171431" w:rsidRDefault="00171431">
      <w:pPr>
        <w:rPr>
          <w:rFonts w:hint="cs"/>
          <w:rtl/>
        </w:rPr>
      </w:pPr>
      <w:r>
        <w:rPr>
          <w:rFonts w:hint="cs"/>
          <w:rtl/>
        </w:rPr>
        <w:t>בכדי להגיע לכלל דעה אם לזכות או להרשיע את הנאשם, עלי לקבוע אלו מן הגירסאות עדיפה עלי.</w:t>
      </w:r>
    </w:p>
    <w:p w14:paraId="286D8A95" w14:textId="77777777" w:rsidR="00171431" w:rsidRDefault="00171431">
      <w:pPr>
        <w:rPr>
          <w:rFonts w:hint="cs"/>
          <w:rtl/>
        </w:rPr>
      </w:pPr>
    </w:p>
    <w:p w14:paraId="0D6A4867" w14:textId="77777777" w:rsidR="00171431" w:rsidRDefault="00171431">
      <w:pPr>
        <w:rPr>
          <w:rFonts w:hint="cs"/>
          <w:rtl/>
        </w:rPr>
      </w:pPr>
      <w:r>
        <w:rPr>
          <w:rFonts w:hint="cs"/>
          <w:rtl/>
        </w:rPr>
        <w:t>בית המשפט העליון התייחס לבעייתיות ההרשעה והזיכוי בעבירות מין (</w:t>
      </w:r>
      <w:hyperlink r:id="rId13" w:history="1">
        <w:r w:rsidR="00233A9B" w:rsidRPr="00233A9B">
          <w:rPr>
            <w:rStyle w:val="Hyperlink"/>
            <w:rFonts w:hint="eastAsia"/>
            <w:rtl/>
          </w:rPr>
          <w:t>ע</w:t>
        </w:r>
        <w:r w:rsidR="00233A9B" w:rsidRPr="00233A9B">
          <w:rPr>
            <w:rStyle w:val="Hyperlink"/>
            <w:rtl/>
          </w:rPr>
          <w:t>.פ. 288/88, סעיד גנדור נ' מ"י, פ"ד מב</w:t>
        </w:r>
      </w:hyperlink>
      <w:r>
        <w:rPr>
          <w:rFonts w:hint="cs"/>
          <w:rtl/>
        </w:rPr>
        <w:t>(4), 48).</w:t>
      </w:r>
    </w:p>
    <w:p w14:paraId="41685BD4" w14:textId="77777777" w:rsidR="00171431" w:rsidRDefault="00171431">
      <w:pPr>
        <w:rPr>
          <w:rFonts w:hint="cs"/>
          <w:rtl/>
        </w:rPr>
      </w:pPr>
      <w:r>
        <w:rPr>
          <w:rFonts w:hint="cs"/>
          <w:rtl/>
        </w:rPr>
        <w:lastRenderedPageBreak/>
        <w:t>עבירות המין מבוצעות בצנעה ובד"כ ללא עדים. מחד, קרבן העבירה נתקל בקושי ראייתי למצוא עדים שיתמכו בגרסתו, ומאידך, "קורבן" כביכול בעבירות מין יכול לטפול עלילת שווא, בעוד שה"חשוד" יתקשה להתגונן כלפיה אם לא תידרש תוספת לעדות הקרבן.</w:t>
      </w:r>
    </w:p>
    <w:p w14:paraId="5B97A7A2" w14:textId="77777777" w:rsidR="00171431" w:rsidRDefault="00171431">
      <w:pPr>
        <w:rPr>
          <w:rFonts w:hint="cs"/>
          <w:rtl/>
        </w:rPr>
      </w:pPr>
    </w:p>
    <w:p w14:paraId="6406E6F6" w14:textId="77777777" w:rsidR="00171431" w:rsidRDefault="00171431">
      <w:pPr>
        <w:rPr>
          <w:rFonts w:hint="cs"/>
          <w:rtl/>
        </w:rPr>
      </w:pPr>
      <w:r>
        <w:rPr>
          <w:rFonts w:hint="cs"/>
          <w:rtl/>
        </w:rPr>
        <w:t>ניסיון החיים מלמד כי עדות נעדרת פגמים היא מקרה נדיר ואילו סתירות הנוגעות בפרטים שוליים מצביעות דווקא על טעות אנושית ואינן מטילות דופי במהימנות של עד (</w:t>
      </w:r>
      <w:hyperlink r:id="rId14" w:history="1">
        <w:r w:rsidR="00233A9B" w:rsidRPr="00233A9B">
          <w:rPr>
            <w:rStyle w:val="Hyperlink"/>
            <w:rFonts w:hint="eastAsia"/>
            <w:rtl/>
          </w:rPr>
          <w:t>ע</w:t>
        </w:r>
        <w:r w:rsidR="00233A9B" w:rsidRPr="00233A9B">
          <w:rPr>
            <w:rStyle w:val="Hyperlink"/>
            <w:rtl/>
          </w:rPr>
          <w:t>.פ. 5612/92, מ"י נ' באר ואח', פ"ד מח</w:t>
        </w:r>
      </w:hyperlink>
      <w:r>
        <w:rPr>
          <w:rFonts w:hint="cs"/>
          <w:rtl/>
        </w:rPr>
        <w:t>(1) 302, 317).</w:t>
      </w:r>
    </w:p>
    <w:p w14:paraId="77D767E5" w14:textId="77777777" w:rsidR="00171431" w:rsidRDefault="00171431">
      <w:pPr>
        <w:rPr>
          <w:rFonts w:hint="cs"/>
          <w:b/>
          <w:bCs/>
          <w:u w:val="single"/>
          <w:rtl/>
        </w:rPr>
      </w:pPr>
    </w:p>
    <w:p w14:paraId="1DB9B80D" w14:textId="77777777" w:rsidR="00171431" w:rsidRDefault="00171431">
      <w:pPr>
        <w:rPr>
          <w:rFonts w:hint="cs"/>
          <w:rtl/>
        </w:rPr>
      </w:pPr>
      <w:r>
        <w:rPr>
          <w:rFonts w:hint="cs"/>
          <w:rtl/>
        </w:rPr>
        <w:t xml:space="preserve">עפ"י </w:t>
      </w:r>
      <w:hyperlink r:id="rId15" w:history="1">
        <w:r w:rsidR="003F7D3B" w:rsidRPr="003F7D3B">
          <w:rPr>
            <w:color w:val="0000FF"/>
            <w:u w:val="single"/>
            <w:rtl/>
          </w:rPr>
          <w:t>סע' 53</w:t>
        </w:r>
      </w:hyperlink>
      <w:r>
        <w:rPr>
          <w:rFonts w:hint="cs"/>
          <w:rtl/>
        </w:rPr>
        <w:t xml:space="preserve"> ל</w:t>
      </w:r>
      <w:hyperlink r:id="rId16" w:history="1">
        <w:r w:rsidR="00233A9B" w:rsidRPr="00233A9B">
          <w:rPr>
            <w:rStyle w:val="Hyperlink"/>
            <w:rFonts w:hint="eastAsia"/>
            <w:rtl/>
          </w:rPr>
          <w:t>פקודת</w:t>
        </w:r>
        <w:r w:rsidR="00233A9B" w:rsidRPr="00233A9B">
          <w:rPr>
            <w:rStyle w:val="Hyperlink"/>
            <w:rtl/>
          </w:rPr>
          <w:t xml:space="preserve"> הראיות</w:t>
        </w:r>
      </w:hyperlink>
      <w:r>
        <w:rPr>
          <w:rFonts w:hint="cs"/>
          <w:rtl/>
        </w:rPr>
        <w:t xml:space="preserve"> [נוסח חדש], התשל"א-1971:</w:t>
      </w:r>
    </w:p>
    <w:p w14:paraId="78D687F0" w14:textId="77777777" w:rsidR="00171431" w:rsidRDefault="00171431">
      <w:pPr>
        <w:rPr>
          <w:rFonts w:hint="cs"/>
          <w:rtl/>
        </w:rPr>
      </w:pPr>
    </w:p>
    <w:p w14:paraId="5929EB63" w14:textId="77777777" w:rsidR="00171431" w:rsidRDefault="00171431">
      <w:pPr>
        <w:pStyle w:val="a0"/>
        <w:rPr>
          <w:rFonts w:hint="cs"/>
          <w:rtl/>
        </w:rPr>
      </w:pPr>
      <w:r>
        <w:rPr>
          <w:rFonts w:hint="cs"/>
          <w:rtl/>
        </w:rPr>
        <w:t>"ערכה של עדות בעל פה ומהימנותם של עדים הם עניין של ביהמ"ש להחליט בו על פי התנהגותם של העדים, נסיבות העניין ואותות האמת המתגלים בהמשך המשפט".</w:t>
      </w:r>
    </w:p>
    <w:p w14:paraId="38380FB4" w14:textId="77777777" w:rsidR="00171431" w:rsidRDefault="00171431">
      <w:pPr>
        <w:pStyle w:val="a0"/>
        <w:rPr>
          <w:rFonts w:hint="cs"/>
          <w:rtl/>
        </w:rPr>
      </w:pPr>
    </w:p>
    <w:p w14:paraId="59BF44F4" w14:textId="77777777" w:rsidR="00171431" w:rsidRDefault="00171431">
      <w:pPr>
        <w:pStyle w:val="a0"/>
        <w:rPr>
          <w:rFonts w:hint="cs"/>
          <w:rtl/>
        </w:rPr>
      </w:pPr>
    </w:p>
    <w:p w14:paraId="19C5394E" w14:textId="77777777" w:rsidR="00171431" w:rsidRDefault="00171431">
      <w:pPr>
        <w:rPr>
          <w:rFonts w:hint="cs"/>
          <w:rtl/>
        </w:rPr>
      </w:pPr>
      <w:r>
        <w:rPr>
          <w:rFonts w:hint="cs"/>
          <w:rtl/>
        </w:rPr>
        <w:t xml:space="preserve">אכן, לא פעם, במיוחד במצבים של עדויות סותרות שאינן נתמכות כדבעי בראיות חיצוניות, האמון הניתן על ידי בית המשפט בעדות מסוימת מבוסס בעיקר על תחושה פנימית של בית המשפט, הנובעת מ "אותות האמת המתגלים במשך המשפט" מתוך "התנהגותם של העדים". </w:t>
      </w:r>
    </w:p>
    <w:p w14:paraId="3E34380F" w14:textId="77777777" w:rsidR="00171431" w:rsidRDefault="00171431">
      <w:pPr>
        <w:rPr>
          <w:rFonts w:hint="cs"/>
          <w:b/>
          <w:bCs/>
          <w:u w:val="single"/>
          <w:rtl/>
        </w:rPr>
      </w:pPr>
    </w:p>
    <w:p w14:paraId="74575F4D" w14:textId="77777777" w:rsidR="00171431" w:rsidRDefault="00171431">
      <w:pPr>
        <w:rPr>
          <w:rFonts w:hint="cs"/>
          <w:rtl/>
        </w:rPr>
      </w:pPr>
      <w:r>
        <w:rPr>
          <w:rFonts w:hint="cs"/>
          <w:rtl/>
        </w:rPr>
        <w:t xml:space="preserve">ואמנם התנהגותם של העדים, ומה שנחזה כאותות אמת, אינם חזות הכל. </w:t>
      </w:r>
    </w:p>
    <w:p w14:paraId="56F01498" w14:textId="77777777" w:rsidR="00171431" w:rsidRDefault="00171431">
      <w:pPr>
        <w:rPr>
          <w:rFonts w:hint="cs"/>
          <w:rtl/>
        </w:rPr>
      </w:pPr>
      <w:r>
        <w:rPr>
          <w:rFonts w:hint="cs"/>
          <w:rtl/>
        </w:rPr>
        <w:t xml:space="preserve">החזות עלולה להטעות. היא עלולה אף להיות תחבולה ומרמה. לכן בית המשפט צריך להזהיר את עצמו לפני שהוא מבסס עצמו רק, או בעיקר, על התנהגותו של עד. </w:t>
      </w:r>
    </w:p>
    <w:p w14:paraId="5352DC5E" w14:textId="77777777" w:rsidR="00171431" w:rsidRDefault="00171431">
      <w:pPr>
        <w:rPr>
          <w:rFonts w:hint="cs"/>
          <w:rtl/>
        </w:rPr>
      </w:pPr>
      <w:r>
        <w:rPr>
          <w:rFonts w:hint="cs"/>
          <w:rtl/>
        </w:rPr>
        <w:t xml:space="preserve">עם זאת, התנהגותו של עד עשויה להיות אמצעי יעיל לקביעת ממצאים עובדתיים על ידי בית המשפט. </w:t>
      </w:r>
    </w:p>
    <w:p w14:paraId="2CDCD120" w14:textId="77777777" w:rsidR="00171431" w:rsidRDefault="00171431">
      <w:pPr>
        <w:rPr>
          <w:rFonts w:hint="cs"/>
          <w:rtl/>
        </w:rPr>
      </w:pPr>
      <w:r>
        <w:rPr>
          <w:rFonts w:hint="cs"/>
          <w:rtl/>
        </w:rPr>
        <w:t>בחקירתה הנגדית העידה המתלוננת כי היחסים בינה לבין הנאשם היו בעבר יחסים טובים וכשהיתה ילדה קטנה, הנאשם נהג לקחת אותה לטיולים ומידי פעם לנשק אותה.</w:t>
      </w:r>
    </w:p>
    <w:p w14:paraId="2E4F7D56" w14:textId="77777777" w:rsidR="00171431" w:rsidRDefault="00171431">
      <w:pPr>
        <w:rPr>
          <w:rFonts w:hint="cs"/>
          <w:rtl/>
        </w:rPr>
      </w:pPr>
    </w:p>
    <w:p w14:paraId="3A88155F" w14:textId="77777777" w:rsidR="00171431" w:rsidRDefault="00171431">
      <w:pPr>
        <w:rPr>
          <w:rFonts w:hint="cs"/>
          <w:rtl/>
        </w:rPr>
      </w:pPr>
      <w:r>
        <w:rPr>
          <w:rFonts w:hint="cs"/>
          <w:rtl/>
        </w:rPr>
        <w:t>התרשמתי מן המתלוננת כי נשיקה זו של הנאשם לא היתה נשיקה אליה היתה מורגלת מאחר והיתה נסערת מנשיקתו היוצאת דופן ובעלת האופי המסויים של הנאשם בעת האירוע.</w:t>
      </w:r>
    </w:p>
    <w:p w14:paraId="11A8C225" w14:textId="77777777" w:rsidR="00171431" w:rsidRDefault="00171431">
      <w:pPr>
        <w:rPr>
          <w:rFonts w:hint="cs"/>
          <w:rtl/>
        </w:rPr>
      </w:pPr>
    </w:p>
    <w:p w14:paraId="122CB6BF" w14:textId="77777777" w:rsidR="00171431" w:rsidRDefault="00171431">
      <w:pPr>
        <w:rPr>
          <w:rFonts w:hint="cs"/>
          <w:rtl/>
        </w:rPr>
      </w:pPr>
      <w:r>
        <w:rPr>
          <w:rFonts w:hint="cs"/>
          <w:rtl/>
        </w:rPr>
        <w:t>ואודות סוג הנשיקה העידה המתלוננת כדלקמן:</w:t>
      </w:r>
    </w:p>
    <w:p w14:paraId="586B84CB" w14:textId="77777777" w:rsidR="00171431" w:rsidRDefault="00171431">
      <w:pPr>
        <w:rPr>
          <w:rFonts w:hint="cs"/>
          <w:rtl/>
        </w:rPr>
      </w:pPr>
    </w:p>
    <w:p w14:paraId="2FD23D8F" w14:textId="77777777" w:rsidR="00171431" w:rsidRDefault="00171431">
      <w:pPr>
        <w:pStyle w:val="a0"/>
        <w:rPr>
          <w:rFonts w:hint="cs"/>
          <w:bCs w:val="0"/>
          <w:rtl/>
        </w:rPr>
      </w:pPr>
      <w:r>
        <w:rPr>
          <w:rFonts w:hint="cs"/>
          <w:rtl/>
        </w:rPr>
        <w:t xml:space="preserve">"...הוא הוציא את הלשון וליקק לי את הפנים, זה נשיקה של כלב ולא של אוהב ולא של דוד" </w:t>
      </w:r>
      <w:r>
        <w:rPr>
          <w:rFonts w:hint="cs"/>
          <w:bCs w:val="0"/>
          <w:rtl/>
        </w:rPr>
        <w:t>(פרוט' עמ' 11 ש' 6-7)</w:t>
      </w:r>
    </w:p>
    <w:p w14:paraId="2F905A50" w14:textId="77777777" w:rsidR="00171431" w:rsidRDefault="00171431">
      <w:pPr>
        <w:pStyle w:val="a0"/>
        <w:rPr>
          <w:rFonts w:hint="cs"/>
          <w:rtl/>
        </w:rPr>
      </w:pPr>
    </w:p>
    <w:p w14:paraId="4FE56DDA" w14:textId="77777777" w:rsidR="00171431" w:rsidRDefault="00171431">
      <w:pPr>
        <w:pStyle w:val="a0"/>
        <w:rPr>
          <w:rFonts w:hint="cs"/>
          <w:rtl/>
        </w:rPr>
      </w:pPr>
    </w:p>
    <w:p w14:paraId="2FB42647" w14:textId="77777777" w:rsidR="00171431" w:rsidRDefault="00171431">
      <w:pPr>
        <w:rPr>
          <w:rFonts w:hint="cs"/>
          <w:rtl/>
        </w:rPr>
      </w:pPr>
      <w:r>
        <w:rPr>
          <w:rFonts w:hint="cs"/>
          <w:rtl/>
        </w:rPr>
        <w:t>אין מחלוקת כי הנאשם נשק למתלוננת, הוא מודה בכך, אולם הכחיש שליקק את פניה והכחיש את טענותיה לגבי אופי הנשיקה.</w:t>
      </w:r>
    </w:p>
    <w:p w14:paraId="2D2D42B8" w14:textId="77777777" w:rsidR="00171431" w:rsidRDefault="00171431">
      <w:pPr>
        <w:rPr>
          <w:rFonts w:hint="cs"/>
          <w:rtl/>
        </w:rPr>
      </w:pPr>
    </w:p>
    <w:p w14:paraId="3C6546EA" w14:textId="77777777" w:rsidR="00171431" w:rsidRDefault="00171431">
      <w:pPr>
        <w:rPr>
          <w:rFonts w:hint="cs"/>
          <w:rtl/>
        </w:rPr>
      </w:pPr>
      <w:r>
        <w:rPr>
          <w:rFonts w:hint="cs"/>
          <w:rtl/>
        </w:rPr>
        <w:t>לדבריו, בעת שנשק למתלוננת כדרכו תמיד, היא התעצבנה ו</w:t>
      </w:r>
      <w:r>
        <w:rPr>
          <w:rFonts w:hint="cs"/>
          <w:b/>
          <w:bCs/>
          <w:rtl/>
        </w:rPr>
        <w:t xml:space="preserve">"היא קיבלה חררה ופתאום צעקה אמא, אמא, תזמיני משטרה" </w:t>
      </w:r>
      <w:r>
        <w:rPr>
          <w:rFonts w:hint="cs"/>
          <w:rtl/>
        </w:rPr>
        <w:t>(פרוט' עמ' 14 ש' 7).</w:t>
      </w:r>
    </w:p>
    <w:p w14:paraId="145E5015" w14:textId="77777777" w:rsidR="00171431" w:rsidRDefault="00171431">
      <w:pPr>
        <w:rPr>
          <w:rFonts w:hint="cs"/>
          <w:rtl/>
        </w:rPr>
      </w:pPr>
    </w:p>
    <w:p w14:paraId="0132FDA4" w14:textId="77777777" w:rsidR="00171431" w:rsidRDefault="00171431">
      <w:pPr>
        <w:rPr>
          <w:rFonts w:hint="cs"/>
          <w:rtl/>
        </w:rPr>
      </w:pPr>
      <w:r>
        <w:rPr>
          <w:rFonts w:hint="cs"/>
          <w:rtl/>
        </w:rPr>
        <w:t>גם מדברי הנאשם, ניתן ללמוד ולהבין כי נשיקתו את המתלוננת היתה באופיה למורת רוחה של המתלוננת והראיה לכך שגם מדבריו עולה שלאחר נשיקתו אותה "הקימה" המתלוננת קול צעקה.</w:t>
      </w:r>
    </w:p>
    <w:p w14:paraId="1C391F0C" w14:textId="77777777" w:rsidR="00171431" w:rsidRDefault="00171431">
      <w:pPr>
        <w:rPr>
          <w:rFonts w:hint="cs"/>
          <w:rtl/>
        </w:rPr>
      </w:pPr>
    </w:p>
    <w:p w14:paraId="5668D81D" w14:textId="77777777" w:rsidR="00171431" w:rsidRDefault="00171431">
      <w:pPr>
        <w:rPr>
          <w:rFonts w:hint="cs"/>
          <w:rtl/>
        </w:rPr>
      </w:pPr>
      <w:r>
        <w:rPr>
          <w:rFonts w:hint="cs"/>
          <w:rtl/>
        </w:rPr>
        <w:t>אינני מקבלת את גירסתו של הנאשם כי המתלוננת רצתה להתנקם בו מפני שיחסיו עם משפחתה מעורערים ולכן באה בגירסתה זו לנשיקה אשר נשק אותה.</w:t>
      </w:r>
    </w:p>
    <w:p w14:paraId="0F37C431" w14:textId="77777777" w:rsidR="00171431" w:rsidRDefault="00171431">
      <w:pPr>
        <w:rPr>
          <w:rFonts w:hint="cs"/>
          <w:rtl/>
        </w:rPr>
      </w:pPr>
      <w:r>
        <w:rPr>
          <w:rFonts w:hint="cs"/>
          <w:rtl/>
        </w:rPr>
        <w:t>מדובר במתלוננת בוגרת, אחייניתו של הנאשם, אשר העידה ביושר ובאמינות ואמרה כי בילדותה היחסים ביניהם היו קרובים ואף יצאו לטיולים יחד וגם נהג לנשקה מידי פעם, אולם במעשיו האחרונים בכך שליקק את פניה, הגיבה בצורה קשה מאוד וצעקה. חיזוק לתגובתה ניתן למצוא בעדות הנאשם עצמו אשר הודה כי נישק אותה וכי היא צעקה לאחר מכן.</w:t>
      </w:r>
    </w:p>
    <w:p w14:paraId="696E39F4" w14:textId="77777777" w:rsidR="00171431" w:rsidRDefault="00171431">
      <w:pPr>
        <w:rPr>
          <w:rFonts w:hint="cs"/>
          <w:rtl/>
        </w:rPr>
      </w:pPr>
    </w:p>
    <w:p w14:paraId="44B241A6" w14:textId="77777777" w:rsidR="00171431" w:rsidRDefault="00171431">
      <w:pPr>
        <w:rPr>
          <w:rFonts w:hint="cs"/>
          <w:rtl/>
        </w:rPr>
      </w:pPr>
      <w:r>
        <w:rPr>
          <w:rFonts w:hint="cs"/>
          <w:rtl/>
        </w:rPr>
        <w:t xml:space="preserve">לאחר שמיעת וניתוח העדויות שנשמעו ובחינת הראיות שהוגשו, הגעתי לכלל דעה כי אני מעדיפה את גירסת המתלוננת על פני גירסת הנאשם לאירוע שהיה ביניהם, כאשר עדות המתלוננת מתקבלת על ידי כעדות אמינה לכל אורכה, גם לגבי מכלול היחסים בינה לבין הנאשם וגם לגבי האירוע עצמו ונתמכת בדבריו של הנאשם לגבי עצם מתן הנשיקה, ואילו הנאשם בדבריו מנסה להרחיקו מאופי האירוע ולתת לו צביון תמים ורגיל. </w:t>
      </w:r>
    </w:p>
    <w:p w14:paraId="058D4863" w14:textId="77777777" w:rsidR="00171431" w:rsidRDefault="00171431">
      <w:pPr>
        <w:rPr>
          <w:rFonts w:hint="cs"/>
          <w:b/>
          <w:bCs/>
          <w:u w:val="single"/>
          <w:rtl/>
        </w:rPr>
      </w:pPr>
    </w:p>
    <w:p w14:paraId="181EB198" w14:textId="77777777" w:rsidR="00171431" w:rsidRDefault="00171431">
      <w:pPr>
        <w:rPr>
          <w:rFonts w:hint="cs"/>
          <w:b/>
          <w:bCs/>
          <w:u w:val="single"/>
          <w:rtl/>
        </w:rPr>
      </w:pPr>
      <w:r>
        <w:rPr>
          <w:rFonts w:hint="cs"/>
          <w:b/>
          <w:bCs/>
          <w:u w:val="single"/>
          <w:rtl/>
        </w:rPr>
        <w:t>עבירת מעשה מגונה:</w:t>
      </w:r>
    </w:p>
    <w:p w14:paraId="6C8FCD76" w14:textId="77777777" w:rsidR="00171431" w:rsidRDefault="00171431">
      <w:pPr>
        <w:rPr>
          <w:rFonts w:hint="cs"/>
          <w:rtl/>
        </w:rPr>
      </w:pPr>
      <w:r>
        <w:rPr>
          <w:rFonts w:hint="cs"/>
          <w:rtl/>
        </w:rPr>
        <w:t xml:space="preserve">הנאשם מואשם בעבירה של ביצוע מעשה מגונה באדם - עבירה על </w:t>
      </w:r>
      <w:hyperlink r:id="rId17" w:history="1">
        <w:r w:rsidR="003F7D3B" w:rsidRPr="003F7D3B">
          <w:rPr>
            <w:color w:val="0000FF"/>
            <w:u w:val="single"/>
            <w:rtl/>
          </w:rPr>
          <w:t>סעיף 348(ג)</w:t>
        </w:r>
      </w:hyperlink>
      <w:r>
        <w:rPr>
          <w:rFonts w:hint="cs"/>
          <w:rtl/>
        </w:rPr>
        <w:t xml:space="preserve"> ל</w:t>
      </w:r>
      <w:hyperlink r:id="rId18" w:history="1">
        <w:r w:rsidR="00233A9B" w:rsidRPr="00233A9B">
          <w:rPr>
            <w:rStyle w:val="Hyperlink"/>
            <w:rFonts w:hint="eastAsia"/>
            <w:rtl/>
          </w:rPr>
          <w:t>חוק</w:t>
        </w:r>
        <w:r w:rsidR="00233A9B" w:rsidRPr="00233A9B">
          <w:rPr>
            <w:rStyle w:val="Hyperlink"/>
            <w:rtl/>
          </w:rPr>
          <w:t xml:space="preserve"> העונשין</w:t>
        </w:r>
      </w:hyperlink>
      <w:r>
        <w:rPr>
          <w:rFonts w:hint="cs"/>
          <w:rtl/>
        </w:rPr>
        <w:t>.</w:t>
      </w:r>
    </w:p>
    <w:p w14:paraId="63CA1F60" w14:textId="77777777" w:rsidR="00171431" w:rsidRDefault="00171431">
      <w:pPr>
        <w:rPr>
          <w:rFonts w:hint="cs"/>
          <w:rtl/>
        </w:rPr>
      </w:pPr>
    </w:p>
    <w:p w14:paraId="5C229B49" w14:textId="77777777" w:rsidR="00171431" w:rsidRDefault="003F7D3B">
      <w:pPr>
        <w:rPr>
          <w:rFonts w:hint="cs"/>
          <w:rtl/>
        </w:rPr>
      </w:pPr>
      <w:hyperlink r:id="rId19" w:history="1">
        <w:r w:rsidRPr="003F7D3B">
          <w:rPr>
            <w:color w:val="0000FF"/>
            <w:u w:val="single"/>
            <w:rtl/>
          </w:rPr>
          <w:t>סעיף 348(ג)</w:t>
        </w:r>
      </w:hyperlink>
      <w:r w:rsidR="00171431">
        <w:rPr>
          <w:rFonts w:hint="cs"/>
          <w:rtl/>
        </w:rPr>
        <w:t xml:space="preserve"> ל</w:t>
      </w:r>
      <w:hyperlink r:id="rId20" w:history="1">
        <w:r w:rsidR="00233A9B" w:rsidRPr="00233A9B">
          <w:rPr>
            <w:rStyle w:val="Hyperlink"/>
            <w:rFonts w:hint="eastAsia"/>
            <w:rtl/>
          </w:rPr>
          <w:t>חוק</w:t>
        </w:r>
        <w:r w:rsidR="00233A9B" w:rsidRPr="00233A9B">
          <w:rPr>
            <w:rStyle w:val="Hyperlink"/>
            <w:rtl/>
          </w:rPr>
          <w:t xml:space="preserve"> העונשין</w:t>
        </w:r>
      </w:hyperlink>
      <w:r w:rsidR="00171431">
        <w:rPr>
          <w:rFonts w:hint="cs"/>
          <w:rtl/>
        </w:rPr>
        <w:t>:</w:t>
      </w:r>
    </w:p>
    <w:p w14:paraId="36AC3190" w14:textId="77777777" w:rsidR="00171431" w:rsidRDefault="00171431">
      <w:pPr>
        <w:rPr>
          <w:rFonts w:hint="cs"/>
          <w:rtl/>
        </w:rPr>
      </w:pPr>
    </w:p>
    <w:p w14:paraId="06F62653" w14:textId="77777777" w:rsidR="00171431" w:rsidRDefault="00171431">
      <w:pPr>
        <w:pStyle w:val="a0"/>
        <w:rPr>
          <w:rFonts w:hint="cs"/>
          <w:rtl/>
        </w:rPr>
      </w:pPr>
      <w:r>
        <w:rPr>
          <w:rFonts w:hint="cs"/>
          <w:rtl/>
        </w:rPr>
        <w:t>"העושה מעשה מגונה באדם בלא הסכמתו אך שלא בנסיבות כאמור בסעיפים קטנים (א), (ב) או (ג1), דינו - מאסר שלוש שנים".</w:t>
      </w:r>
    </w:p>
    <w:p w14:paraId="2C28FCCB" w14:textId="77777777" w:rsidR="00171431" w:rsidRDefault="00171431">
      <w:pPr>
        <w:pStyle w:val="a0"/>
        <w:rPr>
          <w:rFonts w:hint="cs"/>
          <w:rtl/>
        </w:rPr>
      </w:pPr>
    </w:p>
    <w:p w14:paraId="3B76CBE4" w14:textId="77777777" w:rsidR="00171431" w:rsidRDefault="00171431">
      <w:pPr>
        <w:pStyle w:val="a0"/>
        <w:rPr>
          <w:rFonts w:hint="cs"/>
          <w:rtl/>
        </w:rPr>
      </w:pPr>
    </w:p>
    <w:p w14:paraId="5778C2FE" w14:textId="77777777" w:rsidR="00171431" w:rsidRDefault="003F7D3B">
      <w:pPr>
        <w:rPr>
          <w:rFonts w:hint="cs"/>
          <w:rtl/>
        </w:rPr>
      </w:pPr>
      <w:hyperlink r:id="rId21" w:history="1">
        <w:r w:rsidRPr="003F7D3B">
          <w:rPr>
            <w:color w:val="0000FF"/>
            <w:u w:val="single"/>
            <w:rtl/>
          </w:rPr>
          <w:t>סעיף 348(ו)</w:t>
        </w:r>
      </w:hyperlink>
      <w:r w:rsidR="00171431">
        <w:rPr>
          <w:rFonts w:hint="cs"/>
          <w:rtl/>
        </w:rPr>
        <w:t xml:space="preserve"> ל</w:t>
      </w:r>
      <w:hyperlink r:id="rId22" w:history="1">
        <w:r w:rsidR="00233A9B" w:rsidRPr="00233A9B">
          <w:rPr>
            <w:rStyle w:val="Hyperlink"/>
            <w:rFonts w:hint="eastAsia"/>
            <w:rtl/>
          </w:rPr>
          <w:t>חוק</w:t>
        </w:r>
        <w:r w:rsidR="00233A9B" w:rsidRPr="00233A9B">
          <w:rPr>
            <w:rStyle w:val="Hyperlink"/>
            <w:rtl/>
          </w:rPr>
          <w:t xml:space="preserve"> העונשין</w:t>
        </w:r>
      </w:hyperlink>
      <w:r w:rsidR="00171431">
        <w:rPr>
          <w:rFonts w:hint="cs"/>
          <w:rtl/>
        </w:rPr>
        <w:t xml:space="preserve"> מגדיר מהו מעשה מגונה:</w:t>
      </w:r>
    </w:p>
    <w:p w14:paraId="4EDD69F5" w14:textId="77777777" w:rsidR="00171431" w:rsidRDefault="00171431">
      <w:pPr>
        <w:rPr>
          <w:rFonts w:hint="cs"/>
          <w:rtl/>
        </w:rPr>
      </w:pPr>
    </w:p>
    <w:p w14:paraId="1F36B41F" w14:textId="77777777" w:rsidR="00171431" w:rsidRDefault="00171431">
      <w:pPr>
        <w:pStyle w:val="a0"/>
        <w:rPr>
          <w:rFonts w:hint="cs"/>
          <w:rtl/>
        </w:rPr>
      </w:pPr>
      <w:r>
        <w:rPr>
          <w:rFonts w:hint="cs"/>
          <w:rtl/>
        </w:rPr>
        <w:t>"בסימן זה, "מעשה מגונה" - מעשה לשם גירוי, סיפוק או ביזוי מיניים".</w:t>
      </w:r>
    </w:p>
    <w:p w14:paraId="10A8D41E" w14:textId="77777777" w:rsidR="00171431" w:rsidRDefault="00171431">
      <w:pPr>
        <w:pStyle w:val="a0"/>
        <w:rPr>
          <w:rFonts w:hint="cs"/>
          <w:rtl/>
        </w:rPr>
      </w:pPr>
    </w:p>
    <w:p w14:paraId="37DE47FC" w14:textId="77777777" w:rsidR="00171431" w:rsidRDefault="00171431">
      <w:pPr>
        <w:pStyle w:val="a0"/>
        <w:rPr>
          <w:rFonts w:hint="cs"/>
          <w:rtl/>
        </w:rPr>
      </w:pPr>
    </w:p>
    <w:p w14:paraId="657C5427" w14:textId="77777777" w:rsidR="00171431" w:rsidRDefault="00171431">
      <w:pPr>
        <w:rPr>
          <w:rFonts w:hint="cs"/>
          <w:rtl/>
        </w:rPr>
      </w:pPr>
      <w:r>
        <w:rPr>
          <w:rFonts w:hint="cs"/>
          <w:rtl/>
        </w:rPr>
        <w:t>כאשר הנאשם ליקק את פניה של המתלוננת, המתלוננת הביעה את התנגדותה ודחפה אותו, פתחה את דלת ביתו ויצאה במהרה מביתו.</w:t>
      </w:r>
    </w:p>
    <w:p w14:paraId="6DB5528D" w14:textId="77777777" w:rsidR="00171431" w:rsidRDefault="00171431">
      <w:pPr>
        <w:rPr>
          <w:rFonts w:hint="cs"/>
          <w:rtl/>
        </w:rPr>
      </w:pPr>
      <w:r>
        <w:rPr>
          <w:rFonts w:hint="cs"/>
          <w:rtl/>
        </w:rPr>
        <w:t xml:space="preserve">הנאשם מודה בקיום מעשה הנשיקה, אם כי מסתייג מתיאורה, ומודה כי מיד לאחר שנתן אותה למתלוננת פתחה היא בצעקות, כך שברור כי נעשה מעשה בניגוד לרצונה של המתלוננת ובכך מתקיים היסוד הפיסי. </w:t>
      </w:r>
    </w:p>
    <w:p w14:paraId="602CEB20" w14:textId="77777777" w:rsidR="00171431" w:rsidRDefault="00171431">
      <w:pPr>
        <w:rPr>
          <w:rFonts w:hint="cs"/>
          <w:rtl/>
        </w:rPr>
      </w:pPr>
    </w:p>
    <w:p w14:paraId="364506DD" w14:textId="77777777" w:rsidR="00171431" w:rsidRDefault="00171431">
      <w:pPr>
        <w:rPr>
          <w:rFonts w:hint="cs"/>
          <w:rtl/>
        </w:rPr>
      </w:pPr>
      <w:r>
        <w:rPr>
          <w:rFonts w:hint="cs"/>
          <w:rtl/>
        </w:rPr>
        <w:t>באשר לקיום היסוד הנפשי של העבירה - לשון הגדרתה של העבירה אינה מציגה דרישה להלך נפש מסויים. לכן, יש לראות את העבירה כעבירה של כוונה "סתם", אשר די לעניין ההרשעה קיומה של פזיזות כלפי רכיבי היסוד הפיסי.</w:t>
      </w:r>
    </w:p>
    <w:p w14:paraId="112516C4" w14:textId="77777777" w:rsidR="00171431" w:rsidRDefault="00171431">
      <w:pPr>
        <w:rPr>
          <w:rFonts w:hint="cs"/>
          <w:rtl/>
        </w:rPr>
      </w:pPr>
    </w:p>
    <w:p w14:paraId="56E725CF" w14:textId="77777777" w:rsidR="00171431" w:rsidRDefault="00171431">
      <w:pPr>
        <w:rPr>
          <w:rFonts w:hint="cs"/>
          <w:rtl/>
        </w:rPr>
      </w:pPr>
      <w:r>
        <w:rPr>
          <w:rFonts w:hint="cs"/>
          <w:rtl/>
        </w:rPr>
        <w:t xml:space="preserve">עם זאת, הגישה הרווחת היא כי הנקיטה במושג "לשם" בהגדרתו של "מעשה מגונה" </w:t>
      </w:r>
      <w:hyperlink r:id="rId23" w:history="1">
        <w:r w:rsidR="003F7D3B" w:rsidRPr="003F7D3B">
          <w:rPr>
            <w:color w:val="0000FF"/>
            <w:u w:val="single"/>
            <w:rtl/>
          </w:rPr>
          <w:t>בס"ק (ו)</w:t>
        </w:r>
      </w:hyperlink>
      <w:r>
        <w:rPr>
          <w:rFonts w:hint="cs"/>
          <w:rtl/>
        </w:rPr>
        <w:t>, מחייבת דרישה לקיומה של "כוונה מיוחדת" ומכוחה יש מקום להרשעה אך ורק אם נלוותה למעשה כוונה מיוחדת להשיג אחת משלוש התכליות בהגדרה הנ"ל (י.קדמי "על הדין בפלילים", חלק שני, עמ' 785).</w:t>
      </w:r>
    </w:p>
    <w:p w14:paraId="7CA25069" w14:textId="77777777" w:rsidR="00171431" w:rsidRDefault="00171431">
      <w:pPr>
        <w:rPr>
          <w:rFonts w:hint="cs"/>
          <w:rtl/>
        </w:rPr>
      </w:pPr>
    </w:p>
    <w:p w14:paraId="79F3C0A8" w14:textId="77777777" w:rsidR="00171431" w:rsidRDefault="00171431">
      <w:pPr>
        <w:rPr>
          <w:rFonts w:hint="cs"/>
          <w:rtl/>
        </w:rPr>
      </w:pPr>
      <w:r>
        <w:rPr>
          <w:rFonts w:hint="cs"/>
          <w:rtl/>
        </w:rPr>
        <w:t xml:space="preserve">לשיטתי, גם אם ננקוט בגישה הדורשת כוונה מיוחדת, יש לראות כי למעשה הנאשם נלוותה הכוונה המיוחדת של גירוי וסיפוק הדרישה לקיום היסוד הנפשי. </w:t>
      </w:r>
    </w:p>
    <w:p w14:paraId="1732D842" w14:textId="77777777" w:rsidR="00171431" w:rsidRDefault="00171431">
      <w:pPr>
        <w:rPr>
          <w:rFonts w:hint="cs"/>
          <w:b/>
          <w:bCs/>
          <w:u w:val="single"/>
          <w:rtl/>
        </w:rPr>
      </w:pPr>
    </w:p>
    <w:p w14:paraId="149F0CC2" w14:textId="77777777" w:rsidR="00171431" w:rsidRDefault="00171431">
      <w:pPr>
        <w:rPr>
          <w:rFonts w:hint="cs"/>
          <w:b/>
          <w:bCs/>
          <w:u w:val="single"/>
          <w:rtl/>
        </w:rPr>
      </w:pPr>
      <w:r>
        <w:rPr>
          <w:rFonts w:hint="cs"/>
          <w:b/>
          <w:bCs/>
          <w:u w:val="single"/>
          <w:rtl/>
        </w:rPr>
        <w:t>לסיכום:</w:t>
      </w:r>
    </w:p>
    <w:p w14:paraId="34B92B78" w14:textId="77777777" w:rsidR="00171431" w:rsidRDefault="00171431">
      <w:pPr>
        <w:rPr>
          <w:rFonts w:hint="cs"/>
          <w:rtl/>
        </w:rPr>
      </w:pPr>
      <w:r>
        <w:rPr>
          <w:rFonts w:hint="cs"/>
          <w:rtl/>
        </w:rPr>
        <w:t>לשיטתי, התביעה הוכיחה בראיותיה ברמה הנדרשת במשפט פלילי כי הנאשם ביצע את העבירה אשר יוחסה לו בכתב האישום.</w:t>
      </w:r>
    </w:p>
    <w:p w14:paraId="3EC56EE3" w14:textId="77777777" w:rsidR="00171431" w:rsidRDefault="00171431">
      <w:pPr>
        <w:rPr>
          <w:rFonts w:hint="cs"/>
          <w:rtl/>
        </w:rPr>
      </w:pPr>
      <w:r>
        <w:rPr>
          <w:rFonts w:hint="cs"/>
          <w:rtl/>
        </w:rPr>
        <w:t xml:space="preserve">הנאשם ליקק את פניה של המתלוננת ללא הסכמתה לשם גירוי, סיפוק או ביזוי מיניים, ולכן אני מרשיעה את הנאשם בעבירה של מעשה מגונה באדם בלא הסכמתו - עבירה לפי </w:t>
      </w:r>
      <w:hyperlink r:id="rId24" w:history="1">
        <w:r w:rsidR="003F7D3B" w:rsidRPr="003F7D3B">
          <w:rPr>
            <w:color w:val="0000FF"/>
            <w:u w:val="single"/>
            <w:rtl/>
          </w:rPr>
          <w:t>סעיף  348(ג)</w:t>
        </w:r>
      </w:hyperlink>
      <w:r>
        <w:rPr>
          <w:rFonts w:hint="cs"/>
          <w:rtl/>
        </w:rPr>
        <w:t xml:space="preserve"> ל</w:t>
      </w:r>
      <w:hyperlink r:id="rId25" w:history="1">
        <w:r w:rsidR="00233A9B" w:rsidRPr="00233A9B">
          <w:rPr>
            <w:rStyle w:val="Hyperlink"/>
            <w:rFonts w:hint="eastAsia"/>
            <w:rtl/>
          </w:rPr>
          <w:t>חוק</w:t>
        </w:r>
        <w:r w:rsidR="00233A9B" w:rsidRPr="00233A9B">
          <w:rPr>
            <w:rStyle w:val="Hyperlink"/>
            <w:rtl/>
          </w:rPr>
          <w:t xml:space="preserve"> העונשין</w:t>
        </w:r>
      </w:hyperlink>
      <w:r>
        <w:rPr>
          <w:rFonts w:hint="cs"/>
          <w:rtl/>
        </w:rPr>
        <w:t>.</w:t>
      </w:r>
      <w:bookmarkEnd w:id="5"/>
    </w:p>
    <w:p w14:paraId="373BE191" w14:textId="77777777" w:rsidR="00171431" w:rsidRDefault="00171431">
      <w:pPr>
        <w:rPr>
          <w:rFonts w:hint="cs"/>
          <w:rtl/>
        </w:rPr>
      </w:pPr>
    </w:p>
    <w:p w14:paraId="0F494F1F" w14:textId="77777777" w:rsidR="00171431" w:rsidRDefault="00171431">
      <w:pPr>
        <w:rPr>
          <w:rFonts w:hint="cs"/>
          <w:b/>
          <w:bCs/>
          <w:color w:val="000000"/>
          <w:rtl/>
        </w:rPr>
      </w:pPr>
      <w:r>
        <w:rPr>
          <w:rFonts w:hint="cs"/>
          <w:b/>
          <w:bCs/>
          <w:color w:val="000000"/>
          <w:rtl/>
        </w:rPr>
        <w:t xml:space="preserve">ניתנה היום ו' באייר, תשס"ו (4 במאי 2006) במעמד הצדדים. </w:t>
      </w:r>
    </w:p>
    <w:p w14:paraId="0A6D0AC4" w14:textId="77777777" w:rsidR="00171431" w:rsidRDefault="00171431">
      <w:pPr>
        <w:rPr>
          <w:rFonts w:hint="cs"/>
          <w:b/>
          <w:bCs/>
          <w:color w:val="000080"/>
          <w:rtl/>
        </w:rPr>
      </w:pPr>
    </w:p>
    <w:tbl>
      <w:tblPr>
        <w:tblW w:w="0" w:type="auto"/>
        <w:tblInd w:w="6578" w:type="dxa"/>
        <w:tblBorders>
          <w:top w:val="single" w:sz="4" w:space="0" w:color="auto"/>
        </w:tblBorders>
        <w:tblLook w:val="0000" w:firstRow="0" w:lastRow="0" w:firstColumn="0" w:lastColumn="0" w:noHBand="0" w:noVBand="0"/>
      </w:tblPr>
      <w:tblGrid>
        <w:gridCol w:w="1951"/>
      </w:tblGrid>
      <w:tr w:rsidR="00171431" w14:paraId="608CECB0" w14:textId="77777777">
        <w:tc>
          <w:tcPr>
            <w:tcW w:w="1951" w:type="dxa"/>
            <w:tcBorders>
              <w:top w:val="single" w:sz="4" w:space="0" w:color="auto"/>
              <w:left w:val="nil"/>
              <w:bottom w:val="nil"/>
              <w:right w:val="nil"/>
            </w:tcBorders>
          </w:tcPr>
          <w:p w14:paraId="1442C504" w14:textId="77777777" w:rsidR="00171431" w:rsidRDefault="00171431">
            <w:pPr>
              <w:jc w:val="center"/>
              <w:rPr>
                <w:b/>
                <w:bCs/>
              </w:rPr>
            </w:pPr>
            <w:r>
              <w:rPr>
                <w:rFonts w:hint="cs"/>
                <w:b/>
                <w:bCs/>
                <w:rtl/>
              </w:rPr>
              <w:t>ניצה שרון, שופטת סגנית נשיא</w:t>
            </w:r>
          </w:p>
        </w:tc>
      </w:tr>
    </w:tbl>
    <w:p w14:paraId="19610BA9" w14:textId="77777777" w:rsidR="00171431" w:rsidRDefault="00171431">
      <w:pPr>
        <w:rPr>
          <w:rFonts w:hint="cs"/>
          <w:sz w:val="24"/>
          <w:rtl/>
        </w:rPr>
      </w:pPr>
    </w:p>
    <w:p w14:paraId="3B08FF34" w14:textId="77777777" w:rsidR="00171431" w:rsidRDefault="00171431">
      <w:pPr>
        <w:rPr>
          <w:rFonts w:hint="cs"/>
          <w:b/>
          <w:bCs/>
          <w:sz w:val="24"/>
          <w:u w:val="single"/>
          <w:rtl/>
        </w:rPr>
      </w:pPr>
      <w:r>
        <w:rPr>
          <w:rFonts w:hint="cs"/>
          <w:b/>
          <w:bCs/>
          <w:sz w:val="24"/>
          <w:u w:val="single"/>
          <w:rtl/>
        </w:rPr>
        <w:t>עו"ד איליה:</w:t>
      </w:r>
    </w:p>
    <w:p w14:paraId="63333931" w14:textId="77777777" w:rsidR="00171431" w:rsidRDefault="00171431">
      <w:pPr>
        <w:rPr>
          <w:rFonts w:hint="cs"/>
          <w:sz w:val="24"/>
          <w:rtl/>
        </w:rPr>
      </w:pPr>
      <w:r>
        <w:rPr>
          <w:rFonts w:hint="cs"/>
          <w:sz w:val="24"/>
          <w:rtl/>
        </w:rPr>
        <w:t xml:space="preserve">אני מבקש לדחות את הטיעונים לעונש כי גיליון ההרשעות שבידי אינו מעודכן. </w:t>
      </w:r>
    </w:p>
    <w:p w14:paraId="3F25FBB2" w14:textId="77777777" w:rsidR="00171431" w:rsidRDefault="00171431">
      <w:pPr>
        <w:rPr>
          <w:rFonts w:hint="cs"/>
          <w:sz w:val="24"/>
          <w:rtl/>
        </w:rPr>
      </w:pPr>
    </w:p>
    <w:p w14:paraId="2F35AEE9" w14:textId="77777777" w:rsidR="00171431" w:rsidRDefault="00171431">
      <w:pPr>
        <w:rPr>
          <w:rFonts w:hint="cs"/>
          <w:b/>
          <w:bCs/>
          <w:sz w:val="24"/>
          <w:u w:val="single"/>
          <w:rtl/>
        </w:rPr>
      </w:pPr>
      <w:r>
        <w:rPr>
          <w:rFonts w:hint="cs"/>
          <w:b/>
          <w:bCs/>
          <w:sz w:val="24"/>
          <w:u w:val="single"/>
          <w:rtl/>
        </w:rPr>
        <w:t>עו"ד חלאילה:</w:t>
      </w:r>
    </w:p>
    <w:p w14:paraId="3983F2EB" w14:textId="77777777" w:rsidR="00171431" w:rsidRDefault="00171431">
      <w:pPr>
        <w:rPr>
          <w:rFonts w:hint="cs"/>
          <w:sz w:val="24"/>
          <w:rtl/>
        </w:rPr>
      </w:pPr>
      <w:r>
        <w:rPr>
          <w:rFonts w:hint="cs"/>
          <w:sz w:val="24"/>
          <w:rtl/>
        </w:rPr>
        <w:t xml:space="preserve">אני מסכים שחברי יטען לעונש ובמידה ויש עדכון לגיליון הרשעות קודמות, אין לי התנגדות שחברי ימציא אותו לתיק ביהמ"ש ואליי. </w:t>
      </w:r>
    </w:p>
    <w:p w14:paraId="160AE5C9" w14:textId="77777777" w:rsidR="00171431" w:rsidRDefault="00171431">
      <w:pPr>
        <w:rPr>
          <w:rFonts w:hint="cs"/>
          <w:sz w:val="24"/>
          <w:rtl/>
        </w:rPr>
      </w:pPr>
    </w:p>
    <w:p w14:paraId="3B1DFD47" w14:textId="77777777" w:rsidR="00171431" w:rsidRDefault="00171431">
      <w:pPr>
        <w:rPr>
          <w:rFonts w:hint="cs"/>
          <w:b/>
          <w:bCs/>
          <w:sz w:val="24"/>
          <w:u w:val="single"/>
          <w:rtl/>
        </w:rPr>
      </w:pPr>
      <w:r>
        <w:rPr>
          <w:rFonts w:hint="cs"/>
          <w:b/>
          <w:bCs/>
          <w:sz w:val="24"/>
          <w:u w:val="single"/>
          <w:rtl/>
        </w:rPr>
        <w:t>עו"ד איליה טוען לעונש:</w:t>
      </w:r>
    </w:p>
    <w:p w14:paraId="088A5B8C" w14:textId="77777777" w:rsidR="00171431" w:rsidRDefault="00171431">
      <w:pPr>
        <w:rPr>
          <w:rFonts w:hint="cs"/>
          <w:sz w:val="24"/>
          <w:rtl/>
        </w:rPr>
      </w:pPr>
      <w:r>
        <w:rPr>
          <w:rFonts w:hint="cs"/>
          <w:sz w:val="24"/>
          <w:rtl/>
        </w:rPr>
        <w:t xml:space="preserve">הנאשם הורשע אחרי ניהול תיק הוכחות, ולאחר שביהמ"ש התרשם מהעדים ובמיוחד מהמתלוננת. מדובר במעשים שנעשו בנסיבות שהן חמורות, כאשר לאשם היתה כוונה לבצע מעשים אלה, לא מדובר במשהו אקראי, הדברים נעשו בדירתו של הנאשם והדבר מצביע על תכנון ועל היות הנסיבות חמורות. </w:t>
      </w:r>
    </w:p>
    <w:p w14:paraId="3EE6B9AA" w14:textId="77777777" w:rsidR="00171431" w:rsidRDefault="00171431">
      <w:pPr>
        <w:rPr>
          <w:rFonts w:hint="cs"/>
          <w:b/>
          <w:bCs/>
          <w:sz w:val="24"/>
          <w:u w:val="single"/>
          <w:rtl/>
        </w:rPr>
      </w:pPr>
      <w:r>
        <w:rPr>
          <w:rFonts w:hint="cs"/>
          <w:sz w:val="24"/>
          <w:rtl/>
        </w:rPr>
        <w:t xml:space="preserve">ביהמ"ש הרשיע את הנאשם בעבירה זו. לנאשם הרשעות קודמות שאותן אגיש ובמידה וימצא גיליון עדכני יותר, אגיש לביהמ"ש. </w:t>
      </w:r>
      <w:r>
        <w:rPr>
          <w:rFonts w:hint="cs"/>
          <w:b/>
          <w:bCs/>
          <w:sz w:val="24"/>
          <w:u w:val="single"/>
          <w:rtl/>
        </w:rPr>
        <w:t>הוגש וסומן ת/4.</w:t>
      </w:r>
    </w:p>
    <w:p w14:paraId="346D8441" w14:textId="77777777" w:rsidR="00171431" w:rsidRDefault="00171431">
      <w:pPr>
        <w:rPr>
          <w:rFonts w:hint="cs"/>
          <w:sz w:val="24"/>
          <w:rtl/>
        </w:rPr>
      </w:pPr>
      <w:r>
        <w:rPr>
          <w:rFonts w:hint="cs"/>
          <w:sz w:val="24"/>
          <w:rtl/>
        </w:rPr>
        <w:t xml:space="preserve">אמנם, לנאשם בהרשעותיו הקודמות עבירות שעניינן עבירות אלימות ואולם יש לייחס חומרה מיוחדת לעבירה בה הורשע הנאשם בתיק זה. מדובר בעבירה שהיא עבירת מין, העבירה נעשתה כאמור בתכנון ביוזמת הנאשם ויש לשרש מעשים אלה הפוגעים בחברה ויש במעשיו של הנאשם כדי לעורר סלידה, ניסיונו לכפות את עצמו על מתלוננת בשל דחף מיני. </w:t>
      </w:r>
    </w:p>
    <w:p w14:paraId="68776EC1" w14:textId="77777777" w:rsidR="00171431" w:rsidRDefault="00171431">
      <w:pPr>
        <w:rPr>
          <w:rFonts w:hint="cs"/>
          <w:sz w:val="24"/>
          <w:rtl/>
        </w:rPr>
      </w:pPr>
      <w:r>
        <w:rPr>
          <w:rFonts w:hint="cs"/>
          <w:sz w:val="24"/>
          <w:rtl/>
        </w:rPr>
        <w:t xml:space="preserve">ראוי כי עבירות אלו הנמנות בעבירות מין, כי ינתן להן ביטוי הולם גם בענישה שתהיה בה גם הרתעה כלפי אחרים מלשוב ולבצע מעשים מעין אלה. </w:t>
      </w:r>
    </w:p>
    <w:p w14:paraId="48E0C458" w14:textId="77777777" w:rsidR="00171431" w:rsidRDefault="00171431">
      <w:pPr>
        <w:rPr>
          <w:rFonts w:hint="cs"/>
          <w:sz w:val="24"/>
          <w:rtl/>
        </w:rPr>
      </w:pPr>
      <w:r>
        <w:rPr>
          <w:rFonts w:hint="cs"/>
          <w:sz w:val="24"/>
          <w:rtl/>
        </w:rPr>
        <w:t>אנו סבורים כי יש להשית על הנאשם עונש של מאסר בפועל שלא בעבודות שירות וכן עונש של מאסר על תנאי על כל פרק עבירות המין שב</w:t>
      </w:r>
      <w:hyperlink r:id="rId26" w:history="1">
        <w:r w:rsidR="00233A9B" w:rsidRPr="00233A9B">
          <w:rPr>
            <w:rStyle w:val="Hyperlink"/>
            <w:rFonts w:hint="eastAsia"/>
            <w:sz w:val="24"/>
            <w:rtl/>
          </w:rPr>
          <w:t>חוק</w:t>
        </w:r>
        <w:r w:rsidR="00233A9B" w:rsidRPr="00233A9B">
          <w:rPr>
            <w:rStyle w:val="Hyperlink"/>
            <w:sz w:val="24"/>
            <w:rtl/>
          </w:rPr>
          <w:t xml:space="preserve"> העונשין</w:t>
        </w:r>
      </w:hyperlink>
      <w:r>
        <w:rPr>
          <w:rFonts w:hint="cs"/>
          <w:sz w:val="24"/>
          <w:rtl/>
        </w:rPr>
        <w:t xml:space="preserve">, למן היום שבו יסיים לרצות את עונשו בתיק זה, כמו כן אנו סבורים כי ראוי שהנאשם ישלם פיצוי למתלוננת בשל מעשיו ואנו משאירים לשיקול דעת ביהמ"ש לעניין הסכום הראוי. </w:t>
      </w:r>
    </w:p>
    <w:p w14:paraId="71D942D3" w14:textId="77777777" w:rsidR="00171431" w:rsidRDefault="00171431">
      <w:pPr>
        <w:rPr>
          <w:rFonts w:hint="cs"/>
          <w:sz w:val="24"/>
          <w:rtl/>
        </w:rPr>
      </w:pPr>
    </w:p>
    <w:p w14:paraId="36E59735" w14:textId="77777777" w:rsidR="00171431" w:rsidRDefault="00171431">
      <w:pPr>
        <w:rPr>
          <w:rFonts w:hint="cs"/>
          <w:b/>
          <w:bCs/>
          <w:sz w:val="24"/>
          <w:u w:val="single"/>
          <w:rtl/>
        </w:rPr>
      </w:pPr>
      <w:r>
        <w:rPr>
          <w:rFonts w:hint="cs"/>
          <w:b/>
          <w:bCs/>
          <w:sz w:val="24"/>
          <w:u w:val="single"/>
          <w:rtl/>
        </w:rPr>
        <w:t>עו"ד חלאילה טוען לעונש:</w:t>
      </w:r>
    </w:p>
    <w:p w14:paraId="20E69E27" w14:textId="77777777" w:rsidR="00171431" w:rsidRDefault="00171431">
      <w:pPr>
        <w:rPr>
          <w:rFonts w:hint="cs"/>
          <w:sz w:val="24"/>
          <w:rtl/>
        </w:rPr>
      </w:pPr>
      <w:r>
        <w:rPr>
          <w:rFonts w:hint="cs"/>
          <w:sz w:val="24"/>
          <w:rtl/>
        </w:rPr>
        <w:t xml:space="preserve">אני מבקש להקל עם הנאשם ולהסתפק בעונש שצופה פני העתיד. אין לו עבר בעבירות מסוג זה וזה מאוד חשוב. </w:t>
      </w:r>
    </w:p>
    <w:p w14:paraId="4A4E0619" w14:textId="77777777" w:rsidR="00171431" w:rsidRDefault="00171431">
      <w:pPr>
        <w:rPr>
          <w:rFonts w:hint="cs"/>
          <w:sz w:val="24"/>
          <w:rtl/>
        </w:rPr>
      </w:pPr>
      <w:r>
        <w:rPr>
          <w:rFonts w:hint="cs"/>
          <w:sz w:val="24"/>
          <w:rtl/>
        </w:rPr>
        <w:t xml:space="preserve">מחומר הראיות שהובא בפני ביהמ"ש, הנאשם היה שיכור בעת ביצוע העבירה והמתלוננת אישרה זאת בעדותה. הנאשם היום בן 60, אדם מבוגר, מצבו הבריאותי קשה ביותר ואני מבקש שהנאשם יפרט זאת. עברו הוא עבר לא מכביד, ובהעדר עבר בעבירות מין, ברור שאדם בן 60 שזהו עבירתו היחידה בעניין זה, אינו עבריין מין ולא נשקפת ממנו סכנה לחברה. </w:t>
      </w:r>
    </w:p>
    <w:p w14:paraId="2E4CD54F" w14:textId="77777777" w:rsidR="00171431" w:rsidRDefault="00171431">
      <w:pPr>
        <w:rPr>
          <w:rFonts w:hint="cs"/>
          <w:sz w:val="24"/>
          <w:rtl/>
        </w:rPr>
      </w:pPr>
      <w:r>
        <w:rPr>
          <w:rFonts w:hint="cs"/>
          <w:sz w:val="24"/>
          <w:rtl/>
        </w:rPr>
        <w:t xml:space="preserve">הטיעון האחרון שלי הוא הטיעון של מבחן המציאות ואני מתכוון לכך שהעבירה בוצעה לפני זמן, פרק הזמן שחלף מדבר בעד עצמו, לא רק בהקשר של אי ביצוע עבירות באופן כללי. </w:t>
      </w:r>
    </w:p>
    <w:p w14:paraId="54A00493" w14:textId="77777777" w:rsidR="00171431" w:rsidRDefault="00171431">
      <w:pPr>
        <w:rPr>
          <w:rFonts w:hint="cs"/>
          <w:sz w:val="24"/>
          <w:rtl/>
        </w:rPr>
      </w:pPr>
      <w:r>
        <w:rPr>
          <w:rFonts w:hint="cs"/>
          <w:sz w:val="24"/>
          <w:rtl/>
        </w:rPr>
        <w:t xml:space="preserve">המתלוננת עדיין מתגוררת באותו בית שבו בוצעה העבירה הזאת וחלף 3 שנים ואין שום חיכוך ביניהם, בצירוף העובדה שהוא ביצע את העבירה שהוא שיכור, אני הייתי מגדיר זאת כרוח שטות חולפת שזה מקרה חד פעמי, כל הנסיבות מראות שאין שום סיכון שנשקף מהנאשם לא לחברה ולא למתלוננת. </w:t>
      </w:r>
    </w:p>
    <w:p w14:paraId="19DC632E" w14:textId="77777777" w:rsidR="00171431" w:rsidRDefault="00171431">
      <w:pPr>
        <w:rPr>
          <w:rFonts w:hint="cs"/>
          <w:sz w:val="24"/>
          <w:rtl/>
        </w:rPr>
      </w:pPr>
      <w:r>
        <w:rPr>
          <w:rFonts w:hint="cs"/>
          <w:sz w:val="24"/>
          <w:rtl/>
        </w:rPr>
        <w:t xml:space="preserve">לכן, אני מבקש לתת משקל מצטבר לכל השיקולים האלה ולהסתפק בעונש צופה פני העתיד שיהיה חרב מעל צווארו של הנאשם. </w:t>
      </w:r>
    </w:p>
    <w:p w14:paraId="36D5A524" w14:textId="77777777" w:rsidR="00171431" w:rsidRDefault="00171431">
      <w:pPr>
        <w:rPr>
          <w:rFonts w:hint="cs"/>
          <w:sz w:val="24"/>
          <w:rtl/>
        </w:rPr>
      </w:pPr>
      <w:r>
        <w:rPr>
          <w:rFonts w:hint="cs"/>
          <w:sz w:val="24"/>
          <w:rtl/>
        </w:rPr>
        <w:t>הנאשם יפרט את התחלואים מהם הוא סובל.</w:t>
      </w:r>
    </w:p>
    <w:p w14:paraId="3D2D3038" w14:textId="77777777" w:rsidR="00171431" w:rsidRDefault="00171431">
      <w:pPr>
        <w:rPr>
          <w:rFonts w:hint="cs"/>
          <w:sz w:val="24"/>
          <w:rtl/>
        </w:rPr>
      </w:pPr>
    </w:p>
    <w:p w14:paraId="099F9B87" w14:textId="77777777" w:rsidR="00171431" w:rsidRDefault="00171431">
      <w:pPr>
        <w:rPr>
          <w:rFonts w:hint="cs"/>
          <w:b/>
          <w:bCs/>
          <w:sz w:val="24"/>
          <w:u w:val="single"/>
          <w:rtl/>
        </w:rPr>
      </w:pPr>
      <w:r>
        <w:rPr>
          <w:rFonts w:hint="cs"/>
          <w:b/>
          <w:bCs/>
          <w:sz w:val="24"/>
          <w:u w:val="single"/>
          <w:rtl/>
        </w:rPr>
        <w:t>הנאשם:</w:t>
      </w:r>
    </w:p>
    <w:p w14:paraId="4B1E52F3" w14:textId="77777777" w:rsidR="00171431" w:rsidRDefault="00171431">
      <w:pPr>
        <w:rPr>
          <w:rFonts w:hint="cs"/>
          <w:sz w:val="24"/>
          <w:rtl/>
        </w:rPr>
      </w:pPr>
      <w:r>
        <w:rPr>
          <w:rFonts w:hint="cs"/>
          <w:sz w:val="24"/>
          <w:rtl/>
        </w:rPr>
        <w:t xml:space="preserve">שברתי פעם שניה את יד ימין, יש לי מגבלה ביד זו, עשיתי סי.טי ונורולוגיה ומצאו לי מוגלה בלסת התחתונה ואני גם לא שומע טוב. עשיתי מאמץ לב וברחתי הביתה. עכשיו הרגל השמאלית כואבת לי, עשיתי מאמץ, יומיים הייתי במיטה ולא יכולתי לקום. </w:t>
      </w:r>
    </w:p>
    <w:p w14:paraId="65610400" w14:textId="77777777" w:rsidR="00171431" w:rsidRDefault="00171431">
      <w:pPr>
        <w:rPr>
          <w:rFonts w:hint="cs"/>
          <w:sz w:val="24"/>
          <w:rtl/>
        </w:rPr>
      </w:pPr>
      <w:r>
        <w:rPr>
          <w:rFonts w:hint="cs"/>
          <w:sz w:val="24"/>
          <w:rtl/>
        </w:rPr>
        <w:t xml:space="preserve">אני מטופל כעת אצל כולם. אני יכול להציג את כל הניירת והצילומים וכל מה שיש לי. </w:t>
      </w:r>
    </w:p>
    <w:p w14:paraId="55E35807" w14:textId="77777777" w:rsidR="00171431" w:rsidRDefault="00171431">
      <w:pPr>
        <w:rPr>
          <w:sz w:val="24"/>
          <w:rtl/>
        </w:rPr>
      </w:pPr>
    </w:p>
    <w:p w14:paraId="0DB4F131" w14:textId="77777777" w:rsidR="003F7D3B" w:rsidRDefault="003F7D3B">
      <w:pPr>
        <w:rPr>
          <w:rFonts w:hint="cs"/>
          <w:sz w:val="24"/>
          <w:rtl/>
        </w:rPr>
      </w:pPr>
    </w:p>
    <w:p w14:paraId="7195A6CF" w14:textId="77777777" w:rsidR="00171431" w:rsidRDefault="00171431">
      <w:pPr>
        <w:pStyle w:val="Heading1"/>
        <w:rPr>
          <w:rFonts w:hint="cs"/>
          <w:rtl/>
        </w:rPr>
      </w:pPr>
      <w:bookmarkStart w:id="9" w:name="Decision1"/>
      <w:r>
        <w:rPr>
          <w:rFonts w:hint="cs"/>
          <w:rtl/>
        </w:rPr>
        <w:t>החלטה</w:t>
      </w:r>
    </w:p>
    <w:p w14:paraId="152D5461" w14:textId="77777777" w:rsidR="00171431" w:rsidRDefault="00171431">
      <w:pPr>
        <w:pStyle w:val="Heading3"/>
        <w:rPr>
          <w:rFonts w:hint="cs"/>
          <w:b w:val="0"/>
          <w:bCs w:val="0"/>
          <w:color w:val="FFFFFF"/>
          <w:sz w:val="2"/>
          <w:szCs w:val="2"/>
          <w:rtl/>
        </w:rPr>
      </w:pPr>
    </w:p>
    <w:p w14:paraId="070AC66A" w14:textId="77777777" w:rsidR="00171431" w:rsidRDefault="00171431">
      <w:pPr>
        <w:rPr>
          <w:color w:val="FFFFFF"/>
          <w:sz w:val="2"/>
          <w:szCs w:val="2"/>
          <w:rtl/>
        </w:rPr>
      </w:pPr>
      <w:r>
        <w:rPr>
          <w:color w:val="FFFFFF"/>
          <w:sz w:val="2"/>
          <w:szCs w:val="2"/>
          <w:rtl/>
        </w:rPr>
        <w:t>5129371</w:t>
      </w:r>
    </w:p>
    <w:p w14:paraId="436A7453" w14:textId="77777777" w:rsidR="00171431" w:rsidRDefault="00171431">
      <w:pPr>
        <w:rPr>
          <w:rFonts w:hint="cs"/>
          <w:rtl/>
        </w:rPr>
      </w:pPr>
      <w:r>
        <w:rPr>
          <w:color w:val="FFFFFF"/>
          <w:sz w:val="2"/>
          <w:szCs w:val="2"/>
          <w:rtl/>
        </w:rPr>
        <w:t>54678313</w:t>
      </w:r>
    </w:p>
    <w:p w14:paraId="65FD673F" w14:textId="77777777" w:rsidR="00171431" w:rsidRDefault="00171431">
      <w:pPr>
        <w:suppressLineNumbers/>
        <w:rPr>
          <w:rFonts w:hint="cs"/>
          <w:b/>
          <w:bCs/>
          <w:rtl/>
        </w:rPr>
      </w:pPr>
      <w:r>
        <w:rPr>
          <w:rFonts w:hint="cs"/>
          <w:b/>
          <w:bCs/>
          <w:rtl/>
        </w:rPr>
        <w:t xml:space="preserve">נקבע לגזר דין ליום 17.5.06 בשעה 11:00. </w:t>
      </w:r>
    </w:p>
    <w:p w14:paraId="456EC696" w14:textId="77777777" w:rsidR="00171431" w:rsidRDefault="00171431">
      <w:pPr>
        <w:suppressLineNumbers/>
        <w:rPr>
          <w:rFonts w:hint="cs"/>
          <w:b/>
          <w:bCs/>
          <w:rtl/>
        </w:rPr>
      </w:pPr>
    </w:p>
    <w:p w14:paraId="45C53525" w14:textId="77777777" w:rsidR="00171431" w:rsidRDefault="00171431">
      <w:pPr>
        <w:suppressLineNumbers/>
        <w:rPr>
          <w:rFonts w:hint="cs"/>
          <w:b/>
          <w:bCs/>
          <w:color w:val="FFFFFF"/>
          <w:sz w:val="2"/>
          <w:szCs w:val="2"/>
          <w:rtl/>
        </w:rPr>
      </w:pPr>
    </w:p>
    <w:p w14:paraId="39949F50" w14:textId="77777777" w:rsidR="00171431" w:rsidRDefault="00171431">
      <w:pPr>
        <w:suppressLineNumbers/>
        <w:rPr>
          <w:b/>
          <w:bCs/>
          <w:color w:val="FFFFFF"/>
          <w:sz w:val="2"/>
          <w:szCs w:val="2"/>
          <w:rtl/>
        </w:rPr>
      </w:pPr>
      <w:r>
        <w:rPr>
          <w:b/>
          <w:bCs/>
          <w:color w:val="FFFFFF"/>
          <w:sz w:val="2"/>
          <w:szCs w:val="2"/>
          <w:rtl/>
        </w:rPr>
        <w:t>5129371</w:t>
      </w:r>
    </w:p>
    <w:p w14:paraId="15B095DC" w14:textId="77777777" w:rsidR="00171431" w:rsidRDefault="00171431">
      <w:pPr>
        <w:suppressLineNumbers/>
        <w:rPr>
          <w:rFonts w:hint="cs"/>
          <w:b/>
          <w:bCs/>
          <w:rtl/>
        </w:rPr>
      </w:pPr>
      <w:r>
        <w:rPr>
          <w:b/>
          <w:bCs/>
          <w:color w:val="FFFFFF"/>
          <w:sz w:val="2"/>
          <w:szCs w:val="2"/>
          <w:rtl/>
        </w:rPr>
        <w:t>54678313</w:t>
      </w:r>
      <w:r>
        <w:rPr>
          <w:rFonts w:hint="cs"/>
          <w:b/>
          <w:bCs/>
          <w:rtl/>
        </w:rPr>
        <w:t xml:space="preserve">ניתנה היום ו' באייר, תשס"ו (4 במאי 2006) במעמד הצדדים. </w:t>
      </w:r>
    </w:p>
    <w:p w14:paraId="3271CB93" w14:textId="77777777" w:rsidR="00171431" w:rsidRDefault="00171431">
      <w:pPr>
        <w:keepNext/>
        <w:jc w:val="left"/>
        <w:rPr>
          <w:rFonts w:hAnsi="David" w:hint="cs"/>
          <w:color w:val="000000"/>
          <w:sz w:val="22"/>
          <w:szCs w:val="22"/>
          <w:rtl/>
        </w:rPr>
      </w:pPr>
    </w:p>
    <w:p w14:paraId="529B9826" w14:textId="77777777" w:rsidR="00171431" w:rsidRDefault="00171431">
      <w:pPr>
        <w:keepNext/>
        <w:jc w:val="left"/>
        <w:rPr>
          <w:rFonts w:hAnsi="David"/>
          <w:color w:val="000000"/>
          <w:sz w:val="22"/>
          <w:szCs w:val="22"/>
          <w:rtl/>
        </w:rPr>
      </w:pPr>
      <w:r>
        <w:rPr>
          <w:rFonts w:hAnsi="David"/>
          <w:color w:val="000000"/>
          <w:sz w:val="22"/>
          <w:szCs w:val="22"/>
          <w:rtl/>
        </w:rPr>
        <w:t>ניצה שרון 54678313-1790/05</w:t>
      </w:r>
    </w:p>
    <w:p w14:paraId="3628CA2A" w14:textId="77777777" w:rsidR="00171431" w:rsidRDefault="00171431">
      <w:pPr>
        <w:suppressLineNumbers/>
        <w:jc w:val="right"/>
        <w:rPr>
          <w:rFonts w:hint="cs"/>
          <w:sz w:val="24"/>
          <w:rtl/>
        </w:rPr>
      </w:pPr>
      <w:r>
        <w:rPr>
          <w:rFonts w:hint="cs"/>
          <w:rtl/>
        </w:rPr>
        <w:t xml:space="preserve">                                                      </w:t>
      </w:r>
    </w:p>
    <w:tbl>
      <w:tblPr>
        <w:tblW w:w="0" w:type="auto"/>
        <w:tblInd w:w="6578" w:type="dxa"/>
        <w:tblBorders>
          <w:top w:val="single" w:sz="4" w:space="0" w:color="auto"/>
        </w:tblBorders>
        <w:tblLook w:val="0000" w:firstRow="0" w:lastRow="0" w:firstColumn="0" w:lastColumn="0" w:noHBand="0" w:noVBand="0"/>
      </w:tblPr>
      <w:tblGrid>
        <w:gridCol w:w="1951"/>
      </w:tblGrid>
      <w:tr w:rsidR="00171431" w14:paraId="1F4FF6EA" w14:textId="77777777">
        <w:tc>
          <w:tcPr>
            <w:tcW w:w="1951" w:type="dxa"/>
            <w:tcBorders>
              <w:top w:val="single" w:sz="4" w:space="0" w:color="auto"/>
              <w:left w:val="nil"/>
              <w:bottom w:val="nil"/>
              <w:right w:val="nil"/>
            </w:tcBorders>
          </w:tcPr>
          <w:p w14:paraId="55E0775C" w14:textId="77777777" w:rsidR="00171431" w:rsidRDefault="00171431">
            <w:pPr>
              <w:jc w:val="center"/>
              <w:rPr>
                <w:b/>
                <w:bCs/>
              </w:rPr>
            </w:pPr>
            <w:r>
              <w:rPr>
                <w:rFonts w:hint="cs"/>
                <w:b/>
                <w:bCs/>
                <w:rtl/>
              </w:rPr>
              <w:t>ניצה שרון, שופטת סגנית נשיא</w:t>
            </w:r>
          </w:p>
        </w:tc>
      </w:tr>
    </w:tbl>
    <w:p w14:paraId="59C03776" w14:textId="77777777" w:rsidR="003F7D3B" w:rsidRDefault="003F7D3B">
      <w:pPr>
        <w:rPr>
          <w:sz w:val="24"/>
          <w:rtl/>
        </w:rPr>
      </w:pPr>
    </w:p>
    <w:p w14:paraId="3E1C9C82" w14:textId="77777777" w:rsidR="00171431" w:rsidRDefault="00171431">
      <w:pPr>
        <w:rPr>
          <w:rFonts w:hint="cs"/>
          <w:sz w:val="24"/>
          <w:rtl/>
        </w:rPr>
      </w:pPr>
      <w:r>
        <w:rPr>
          <w:rFonts w:hint="cs"/>
          <w:sz w:val="24"/>
          <w:rtl/>
        </w:rPr>
        <w:t>הקלדנית: עירית ת.</w:t>
      </w:r>
    </w:p>
    <w:bookmarkEnd w:id="9"/>
    <w:p w14:paraId="6AACFD9E" w14:textId="77777777" w:rsidR="00171431" w:rsidRDefault="00171431">
      <w:pPr>
        <w:jc w:val="left"/>
        <w:rPr>
          <w:color w:val="000000"/>
          <w:rtl/>
        </w:rPr>
      </w:pPr>
      <w:r>
        <w:rPr>
          <w:color w:val="000000"/>
          <w:rtl/>
        </w:rPr>
        <w:t>נוסח מסמך זה כפוף לשינויי ניסוח ועריכה</w:t>
      </w:r>
    </w:p>
    <w:sectPr w:rsidR="00171431">
      <w:headerReference w:type="even" r:id="rId27"/>
      <w:headerReference w:type="default" r:id="rId28"/>
      <w:footerReference w:type="even" r:id="rId29"/>
      <w:footerReference w:type="default" r:id="rId30"/>
      <w:endnotePr>
        <w:numFmt w:val="lowerLetter"/>
      </w:endnotePr>
      <w:pgSz w:w="12240" w:h="15840"/>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C680C" w14:textId="77777777" w:rsidR="00554138" w:rsidRDefault="00554138">
      <w:r>
        <w:separator/>
      </w:r>
    </w:p>
  </w:endnote>
  <w:endnote w:type="continuationSeparator" w:id="0">
    <w:p w14:paraId="42247056" w14:textId="77777777" w:rsidR="00554138" w:rsidRDefault="00554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5570D" w14:textId="77777777" w:rsidR="00CF5BB8" w:rsidRDefault="00CF5BB8">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2E1960F8" w14:textId="77777777" w:rsidR="00CF5BB8" w:rsidRDefault="00CF5BB8">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EA9DC5E" w14:textId="77777777" w:rsidR="00CF5BB8" w:rsidRDefault="00CF5BB8">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C:\nevo\03-2006-05-04 - 629\s05001790-265.doc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92F93" w14:textId="77777777" w:rsidR="00CF5BB8" w:rsidRDefault="00CF5BB8">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CA6B64">
      <w:rPr>
        <w:rFonts w:hAnsi="FrankRuehl" w:cs="FrankRuehl"/>
        <w:noProof/>
        <w:sz w:val="24"/>
        <w:rtl/>
      </w:rPr>
      <w:t>1</w:t>
    </w:r>
    <w:r>
      <w:rPr>
        <w:rFonts w:hAnsi="FrankRuehl" w:cs="FrankRuehl"/>
        <w:sz w:val="24"/>
        <w:rtl/>
      </w:rPr>
      <w:fldChar w:fldCharType="end"/>
    </w:r>
  </w:p>
  <w:p w14:paraId="6E72C2C9" w14:textId="77777777" w:rsidR="00CF5BB8" w:rsidRDefault="00CF5BB8">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3A7958D" w14:textId="77777777" w:rsidR="00CF5BB8" w:rsidRDefault="00CF5BB8">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C:\nevo\03-2006-05-04 - 629\s05001790-265.doc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A80CD" w14:textId="77777777" w:rsidR="00554138" w:rsidRDefault="00554138">
      <w:r>
        <w:separator/>
      </w:r>
    </w:p>
  </w:footnote>
  <w:footnote w:type="continuationSeparator" w:id="0">
    <w:p w14:paraId="29B01F9B" w14:textId="77777777" w:rsidR="00554138" w:rsidRDefault="005541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6341C" w14:textId="77777777" w:rsidR="00CF5BB8" w:rsidRDefault="00CF5BB8">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(חי') 1790/05</w:t>
    </w:r>
    <w:r>
      <w:rPr>
        <w:rFonts w:hAnsi="David"/>
        <w:color w:val="000000"/>
        <w:sz w:val="22"/>
        <w:szCs w:val="22"/>
        <w:rtl/>
      </w:rPr>
      <w:tab/>
      <w:t xml:space="preserve"> מדינת ישראל נ' עאדל סאנורי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11137" w14:textId="77777777" w:rsidR="00CF5BB8" w:rsidRDefault="00CF5BB8">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(חי') 1790/05</w:t>
    </w:r>
    <w:r>
      <w:rPr>
        <w:rFonts w:hAnsi="David"/>
        <w:color w:val="000000"/>
        <w:sz w:val="22"/>
        <w:szCs w:val="22"/>
        <w:rtl/>
      </w:rPr>
      <w:tab/>
      <w:t xml:space="preserve"> מדינת ישראל נ' עאדל סאנורי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 - Normal"/>
    <w:docVar w:name="MyInfo" w:val="This document was extracted from Nevo's site"/>
  </w:docVars>
  <w:rsids>
    <w:rsidRoot w:val="00171431"/>
    <w:rsid w:val="00171431"/>
    <w:rsid w:val="00233A9B"/>
    <w:rsid w:val="003F7D3B"/>
    <w:rsid w:val="00430606"/>
    <w:rsid w:val="00554138"/>
    <w:rsid w:val="00B21F6E"/>
    <w:rsid w:val="00CA6B64"/>
    <w:rsid w:val="00CF5BB8"/>
    <w:rsid w:val="00EA6F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83DBC8F"/>
  <w15:chartTrackingRefBased/>
  <w15:docId w15:val="{3DD4F180-18A1-4A6D-B197-B56AE4DEC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a0">
    <w:name w:val="צטוט"/>
    <w:basedOn w:val="Normal"/>
    <w:autoRedefine/>
    <w:pPr>
      <w:spacing w:line="240" w:lineRule="auto"/>
      <w:ind w:left="567" w:right="567"/>
    </w:pPr>
    <w:rPr>
      <w:bCs/>
    </w:rPr>
  </w:style>
  <w:style w:type="paragraph" w:customStyle="1" w:styleId="10">
    <w:name w:val="חתימה1"/>
    <w:basedOn w:val="Heading2"/>
    <w:pPr>
      <w:suppressLineNumbers/>
    </w:pPr>
    <w:rPr>
      <w:rFonts w:hAnsi="Arial"/>
      <w:bCs w:val="0"/>
      <w:szCs w:val="24"/>
    </w:rPr>
  </w:style>
  <w:style w:type="paragraph" w:customStyle="1" w:styleId="a1">
    <w:name w:val="החלטה"/>
    <w:basedOn w:val="1"/>
    <w:pPr>
      <w:suppressLineNumbers/>
    </w:pPr>
    <w:rPr>
      <w:bCs/>
    </w:rPr>
  </w:style>
  <w:style w:type="paragraph" w:customStyle="1" w:styleId="a2">
    <w:name w:val="חקירה"/>
    <w:basedOn w:val="1"/>
    <w:pPr>
      <w:suppressLineNumbers/>
    </w:pPr>
  </w:style>
  <w:style w:type="character" w:styleId="PageNumber">
    <w:name w:val="page number"/>
    <w:rPr>
      <w:rFonts w:cs="David"/>
    </w:rPr>
  </w:style>
  <w:style w:type="character" w:styleId="Hyperlink">
    <w:name w:val="Hyperlink"/>
    <w:rsid w:val="00233A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f" TargetMode="External"/><Relationship Id="rId13" Type="http://schemas.openxmlformats.org/officeDocument/2006/relationships/hyperlink" Target="http://www.nevo.co.il/case/17946334"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 TargetMode="External"/><Relationship Id="rId3" Type="http://schemas.openxmlformats.org/officeDocument/2006/relationships/webSettings" Target="webSettings.xml"/><Relationship Id="rId21" Type="http://schemas.openxmlformats.org/officeDocument/2006/relationships/hyperlink" Target="http://www.nevo.co.il/law/70301/348.f" TargetMode="External"/><Relationship Id="rId7" Type="http://schemas.openxmlformats.org/officeDocument/2006/relationships/hyperlink" Target="http://www.nevo.co.il/law/70301/348.c"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348.c" TargetMode="External"/><Relationship Id="rId25" Type="http://schemas.openxmlformats.org/officeDocument/2006/relationships/hyperlink" Target="http://www.nevo.co.il/law/70301" TargetMode="External"/><Relationship Id="rId2" Type="http://schemas.openxmlformats.org/officeDocument/2006/relationships/settings" Target="settings.xml"/><Relationship Id="rId16" Type="http://schemas.openxmlformats.org/officeDocument/2006/relationships/hyperlink" Target="http://www.nevo.co.il/law/98569" TargetMode="External"/><Relationship Id="rId20" Type="http://schemas.openxmlformats.org/officeDocument/2006/relationships/hyperlink" Target="http://www.nevo.co.il/law/70301"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8.c" TargetMode="External"/><Relationship Id="rId24" Type="http://schemas.openxmlformats.org/officeDocument/2006/relationships/hyperlink" Target="http://www.nevo.co.il/law/70301/348.c"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98569/53" TargetMode="External"/><Relationship Id="rId23" Type="http://schemas.openxmlformats.org/officeDocument/2006/relationships/hyperlink" Target="http://www.nevo.co.il/law/70301/348.f" TargetMode="External"/><Relationship Id="rId28" Type="http://schemas.openxmlformats.org/officeDocument/2006/relationships/header" Target="header2.xml"/><Relationship Id="rId10" Type="http://schemas.openxmlformats.org/officeDocument/2006/relationships/hyperlink" Target="http://www.nevo.co.il/law/98569/53" TargetMode="External"/><Relationship Id="rId19" Type="http://schemas.openxmlformats.org/officeDocument/2006/relationships/hyperlink" Target="http://www.nevo.co.il/law/70301/348.c"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98569" TargetMode="External"/><Relationship Id="rId14" Type="http://schemas.openxmlformats.org/officeDocument/2006/relationships/hyperlink" Target="http://www.nevo.co.il/case/6024185" TargetMode="External"/><Relationship Id="rId22" Type="http://schemas.openxmlformats.org/officeDocument/2006/relationships/hyperlink" Target="http://www.nevo.co.il/law/70301"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1938</Words>
  <Characters>11052</Characters>
  <Application>Microsoft Office Word</Application>
  <DocSecurity>0</DocSecurity>
  <Lines>92</Lines>
  <Paragraphs>25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nevo.co.il</vt:lpstr>
      <vt:lpstr>nevo.co.il</vt:lpstr>
    </vt:vector>
  </TitlesOfParts>
  <Company> </Company>
  <LinksUpToDate>false</LinksUpToDate>
  <CharactersWithSpaces>12965</CharactersWithSpaces>
  <SharedDoc>false</SharedDoc>
  <HLinks>
    <vt:vector size="126" baseType="variant">
      <vt:variant>
        <vt:i4>7995492</vt:i4>
      </vt:variant>
      <vt:variant>
        <vt:i4>60</vt:i4>
      </vt:variant>
      <vt:variant>
        <vt:i4>0</vt:i4>
      </vt:variant>
      <vt:variant>
        <vt:i4>5</vt:i4>
      </vt:variant>
      <vt:variant>
        <vt:lpwstr>http://www.nevo.co.il/law/70301</vt:lpwstr>
      </vt:variant>
      <vt:variant>
        <vt:lpwstr/>
      </vt:variant>
      <vt:variant>
        <vt:i4>7995492</vt:i4>
      </vt:variant>
      <vt:variant>
        <vt:i4>57</vt:i4>
      </vt:variant>
      <vt:variant>
        <vt:i4>0</vt:i4>
      </vt:variant>
      <vt:variant>
        <vt:i4>5</vt:i4>
      </vt:variant>
      <vt:variant>
        <vt:lpwstr>http://www.nevo.co.il/law/70301</vt:lpwstr>
      </vt:variant>
      <vt:variant>
        <vt:lpwstr/>
      </vt:variant>
      <vt:variant>
        <vt:i4>5177438</vt:i4>
      </vt:variant>
      <vt:variant>
        <vt:i4>54</vt:i4>
      </vt:variant>
      <vt:variant>
        <vt:i4>0</vt:i4>
      </vt:variant>
      <vt:variant>
        <vt:i4>5</vt:i4>
      </vt:variant>
      <vt:variant>
        <vt:lpwstr>http://www.nevo.co.il/law/70301/348.c</vt:lpwstr>
      </vt:variant>
      <vt:variant>
        <vt:lpwstr/>
      </vt:variant>
      <vt:variant>
        <vt:i4>5177438</vt:i4>
      </vt:variant>
      <vt:variant>
        <vt:i4>51</vt:i4>
      </vt:variant>
      <vt:variant>
        <vt:i4>0</vt:i4>
      </vt:variant>
      <vt:variant>
        <vt:i4>5</vt:i4>
      </vt:variant>
      <vt:variant>
        <vt:lpwstr>http://www.nevo.co.il/law/70301/348.f</vt:lpwstr>
      </vt:variant>
      <vt:variant>
        <vt:lpwstr/>
      </vt:variant>
      <vt:variant>
        <vt:i4>7995492</vt:i4>
      </vt:variant>
      <vt:variant>
        <vt:i4>48</vt:i4>
      </vt:variant>
      <vt:variant>
        <vt:i4>0</vt:i4>
      </vt:variant>
      <vt:variant>
        <vt:i4>5</vt:i4>
      </vt:variant>
      <vt:variant>
        <vt:lpwstr>http://www.nevo.co.il/law/70301</vt:lpwstr>
      </vt:variant>
      <vt:variant>
        <vt:lpwstr/>
      </vt:variant>
      <vt:variant>
        <vt:i4>5177438</vt:i4>
      </vt:variant>
      <vt:variant>
        <vt:i4>45</vt:i4>
      </vt:variant>
      <vt:variant>
        <vt:i4>0</vt:i4>
      </vt:variant>
      <vt:variant>
        <vt:i4>5</vt:i4>
      </vt:variant>
      <vt:variant>
        <vt:lpwstr>http://www.nevo.co.il/law/70301/348.f</vt:lpwstr>
      </vt:variant>
      <vt:variant>
        <vt:lpwstr/>
      </vt:variant>
      <vt:variant>
        <vt:i4>7995492</vt:i4>
      </vt:variant>
      <vt:variant>
        <vt:i4>42</vt:i4>
      </vt:variant>
      <vt:variant>
        <vt:i4>0</vt:i4>
      </vt:variant>
      <vt:variant>
        <vt:i4>5</vt:i4>
      </vt:variant>
      <vt:variant>
        <vt:lpwstr>http://www.nevo.co.il/law/70301</vt:lpwstr>
      </vt:variant>
      <vt:variant>
        <vt:lpwstr/>
      </vt:variant>
      <vt:variant>
        <vt:i4>5177438</vt:i4>
      </vt:variant>
      <vt:variant>
        <vt:i4>39</vt:i4>
      </vt:variant>
      <vt:variant>
        <vt:i4>0</vt:i4>
      </vt:variant>
      <vt:variant>
        <vt:i4>5</vt:i4>
      </vt:variant>
      <vt:variant>
        <vt:lpwstr>http://www.nevo.co.il/law/70301/348.c</vt:lpwstr>
      </vt:variant>
      <vt:variant>
        <vt:lpwstr/>
      </vt:variant>
      <vt:variant>
        <vt:i4>7995492</vt:i4>
      </vt:variant>
      <vt:variant>
        <vt:i4>36</vt:i4>
      </vt:variant>
      <vt:variant>
        <vt:i4>0</vt:i4>
      </vt:variant>
      <vt:variant>
        <vt:i4>5</vt:i4>
      </vt:variant>
      <vt:variant>
        <vt:lpwstr>http://www.nevo.co.il/law/70301</vt:lpwstr>
      </vt:variant>
      <vt:variant>
        <vt:lpwstr/>
      </vt:variant>
      <vt:variant>
        <vt:i4>5177438</vt:i4>
      </vt:variant>
      <vt:variant>
        <vt:i4>33</vt:i4>
      </vt:variant>
      <vt:variant>
        <vt:i4>0</vt:i4>
      </vt:variant>
      <vt:variant>
        <vt:i4>5</vt:i4>
      </vt:variant>
      <vt:variant>
        <vt:lpwstr>http://www.nevo.co.il/law/70301/348.c</vt:lpwstr>
      </vt:variant>
      <vt:variant>
        <vt:lpwstr/>
      </vt:variant>
      <vt:variant>
        <vt:i4>7602284</vt:i4>
      </vt:variant>
      <vt:variant>
        <vt:i4>30</vt:i4>
      </vt:variant>
      <vt:variant>
        <vt:i4>0</vt:i4>
      </vt:variant>
      <vt:variant>
        <vt:i4>5</vt:i4>
      </vt:variant>
      <vt:variant>
        <vt:lpwstr>http://www.nevo.co.il/law/98569</vt:lpwstr>
      </vt:variant>
      <vt:variant>
        <vt:lpwstr/>
      </vt:variant>
      <vt:variant>
        <vt:i4>6815840</vt:i4>
      </vt:variant>
      <vt:variant>
        <vt:i4>27</vt:i4>
      </vt:variant>
      <vt:variant>
        <vt:i4>0</vt:i4>
      </vt:variant>
      <vt:variant>
        <vt:i4>5</vt:i4>
      </vt:variant>
      <vt:variant>
        <vt:lpwstr>http://www.nevo.co.il/law/98569/53</vt:lpwstr>
      </vt:variant>
      <vt:variant>
        <vt:lpwstr/>
      </vt:variant>
      <vt:variant>
        <vt:i4>3145848</vt:i4>
      </vt:variant>
      <vt:variant>
        <vt:i4>24</vt:i4>
      </vt:variant>
      <vt:variant>
        <vt:i4>0</vt:i4>
      </vt:variant>
      <vt:variant>
        <vt:i4>5</vt:i4>
      </vt:variant>
      <vt:variant>
        <vt:lpwstr>http://www.nevo.co.il/case/6024185</vt:lpwstr>
      </vt:variant>
      <vt:variant>
        <vt:lpwstr/>
      </vt:variant>
      <vt:variant>
        <vt:i4>3997812</vt:i4>
      </vt:variant>
      <vt:variant>
        <vt:i4>21</vt:i4>
      </vt:variant>
      <vt:variant>
        <vt:i4>0</vt:i4>
      </vt:variant>
      <vt:variant>
        <vt:i4>5</vt:i4>
      </vt:variant>
      <vt:variant>
        <vt:lpwstr>http://www.nevo.co.il/case/17946334</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5177438</vt:i4>
      </vt:variant>
      <vt:variant>
        <vt:i4>15</vt:i4>
      </vt:variant>
      <vt:variant>
        <vt:i4>0</vt:i4>
      </vt:variant>
      <vt:variant>
        <vt:i4>5</vt:i4>
      </vt:variant>
      <vt:variant>
        <vt:lpwstr>http://www.nevo.co.il/law/70301/348.c</vt:lpwstr>
      </vt:variant>
      <vt:variant>
        <vt:lpwstr/>
      </vt:variant>
      <vt:variant>
        <vt:i4>6815840</vt:i4>
      </vt:variant>
      <vt:variant>
        <vt:i4>12</vt:i4>
      </vt:variant>
      <vt:variant>
        <vt:i4>0</vt:i4>
      </vt:variant>
      <vt:variant>
        <vt:i4>5</vt:i4>
      </vt:variant>
      <vt:variant>
        <vt:lpwstr>http://www.nevo.co.il/law/98569/53</vt:lpwstr>
      </vt:variant>
      <vt:variant>
        <vt:lpwstr/>
      </vt:variant>
      <vt:variant>
        <vt:i4>7602284</vt:i4>
      </vt:variant>
      <vt:variant>
        <vt:i4>9</vt:i4>
      </vt:variant>
      <vt:variant>
        <vt:i4>0</vt:i4>
      </vt:variant>
      <vt:variant>
        <vt:i4>5</vt:i4>
      </vt:variant>
      <vt:variant>
        <vt:lpwstr>http://www.nevo.co.il/law/98569</vt:lpwstr>
      </vt:variant>
      <vt:variant>
        <vt:lpwstr/>
      </vt:variant>
      <vt:variant>
        <vt:i4>5177438</vt:i4>
      </vt:variant>
      <vt:variant>
        <vt:i4>6</vt:i4>
      </vt:variant>
      <vt:variant>
        <vt:i4>0</vt:i4>
      </vt:variant>
      <vt:variant>
        <vt:i4>5</vt:i4>
      </vt:variant>
      <vt:variant>
        <vt:lpwstr>http://www.nevo.co.il/law/70301/348.f</vt:lpwstr>
      </vt:variant>
      <vt:variant>
        <vt:lpwstr/>
      </vt:variant>
      <vt:variant>
        <vt:i4>5177438</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2006-04-09T08:52:00Z</cp:lastPrinted>
  <dcterms:created xsi:type="dcterms:W3CDTF">2022-05-24T10:24:00Z</dcterms:created>
  <dcterms:modified xsi:type="dcterms:W3CDTF">2022-05-24T10:24:00Z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1790</vt:lpwstr>
  </property>
  <property fmtid="{D5CDD505-2E9C-101B-9397-08002B2CF9AE}" pid="6" name="PROCYEAR">
    <vt:lpwstr>05</vt:lpwstr>
  </property>
  <property fmtid="{D5CDD505-2E9C-101B-9397-08002B2CF9AE}" pid="7" name="APPELLANT">
    <vt:lpwstr>מדינת ישראל</vt:lpwstr>
  </property>
  <property fmtid="{D5CDD505-2E9C-101B-9397-08002B2CF9AE}" pid="8" name="APPELLEE">
    <vt:lpwstr>עאדל סאנורי</vt:lpwstr>
  </property>
  <property fmtid="{D5CDD505-2E9C-101B-9397-08002B2CF9AE}" pid="9" name="LAWYER">
    <vt:lpwstr>סמי איליה;חלאילה מוהנד</vt:lpwstr>
  </property>
  <property fmtid="{D5CDD505-2E9C-101B-9397-08002B2CF9AE}" pid="10" name="JUDGE">
    <vt:lpwstr>ניצה שרון</vt:lpwstr>
  </property>
  <property fmtid="{D5CDD505-2E9C-101B-9397-08002B2CF9AE}" pid="11" name="CITY">
    <vt:lpwstr>חי'</vt:lpwstr>
  </property>
  <property fmtid="{D5CDD505-2E9C-101B-9397-08002B2CF9AE}" pid="12" name="DATE">
    <vt:lpwstr>20060504</vt:lpwstr>
  </property>
  <property fmtid="{D5CDD505-2E9C-101B-9397-08002B2CF9AE}" pid="13" name="WORDNUMPAGES">
    <vt:lpwstr>9</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CASESLISTTMP1">
    <vt:lpwstr>17946334;6024185</vt:lpwstr>
  </property>
  <property fmtid="{D5CDD505-2E9C-101B-9397-08002B2CF9AE}" pid="32" name="LAWLISTTMP1">
    <vt:lpwstr>70301/348.c:4;348.f:2</vt:lpwstr>
  </property>
  <property fmtid="{D5CDD505-2E9C-101B-9397-08002B2CF9AE}" pid="33" name="LAWLISTTMP2">
    <vt:lpwstr>98569/053</vt:lpwstr>
  </property>
</Properties>
</file>