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839B" w14:textId="77777777" w:rsidR="002C6C97" w:rsidRDefault="002C6C97">
      <w:pPr>
        <w:jc w:val="center"/>
        <w:rPr>
          <w:rFonts w:ascii="Arial" w:hAnsi="Arial" w:cs="Arial"/>
          <w:sz w:val="18"/>
          <w:szCs w:val="20"/>
          <w:rtl/>
        </w:rPr>
      </w:pPr>
      <w:bookmarkStart w:id="0" w:name="LastJudge"/>
      <w:r>
        <w:rPr>
          <w:rFonts w:ascii="Arial" w:hAnsi="Arial" w:cs="Arial"/>
          <w:b/>
          <w:bCs/>
          <w:sz w:val="26"/>
          <w:szCs w:val="28"/>
          <w:rtl/>
        </w:rPr>
        <w:t>בתי 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2"/>
        <w:gridCol w:w="822"/>
        <w:gridCol w:w="2092"/>
      </w:tblGrid>
      <w:tr w:rsidR="002C6C97" w14:paraId="73334E5E" w14:textId="77777777">
        <w:trPr>
          <w:cantSplit/>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7103B5B6" w14:textId="77777777" w:rsidR="002C6C97" w:rsidRDefault="002C6C97">
            <w:pPr>
              <w:jc w:val="left"/>
              <w:rPr>
                <w:rFonts w:ascii="Arial" w:hAnsi="Arial" w:cs="Arial"/>
                <w:sz w:val="24"/>
              </w:rPr>
            </w:pPr>
            <w:r>
              <w:rPr>
                <w:rFonts w:ascii="Arial" w:hAnsi="Arial" w:cs="Arial"/>
                <w:sz w:val="24"/>
                <w:rtl/>
              </w:rPr>
              <w:t>בית משפט השלום פתח-תקוה</w:t>
            </w:r>
          </w:p>
        </w:tc>
        <w:tc>
          <w:tcPr>
            <w:tcW w:w="2914" w:type="dxa"/>
            <w:gridSpan w:val="2"/>
            <w:tcBorders>
              <w:top w:val="single" w:sz="4" w:space="0" w:color="auto"/>
              <w:left w:val="single" w:sz="4" w:space="0" w:color="auto"/>
              <w:bottom w:val="single" w:sz="4" w:space="0" w:color="auto"/>
              <w:right w:val="single" w:sz="4" w:space="0" w:color="auto"/>
            </w:tcBorders>
          </w:tcPr>
          <w:p w14:paraId="365EF03E" w14:textId="77777777" w:rsidR="002C6C97" w:rsidRDefault="002C6C97">
            <w:pPr>
              <w:jc w:val="left"/>
              <w:rPr>
                <w:rFonts w:ascii="Arial" w:hAnsi="Arial" w:cs="Arial"/>
                <w:sz w:val="24"/>
              </w:rPr>
            </w:pPr>
            <w:r>
              <w:rPr>
                <w:rFonts w:ascii="Arial" w:hAnsi="Arial" w:cs="Arial"/>
                <w:sz w:val="24"/>
                <w:rtl/>
              </w:rPr>
              <w:t>פ  002497/05</w:t>
            </w:r>
          </w:p>
        </w:tc>
      </w:tr>
      <w:tr w:rsidR="002C6C97" w14:paraId="0CEA38F1"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2524FCE" w14:textId="77777777" w:rsidR="002C6C97" w:rsidRDefault="002C6C97">
            <w:pPr>
              <w:bidi w:val="0"/>
              <w:spacing w:line="240" w:lineRule="auto"/>
              <w:jc w:val="left"/>
              <w:rPr>
                <w:rFonts w:ascii="Arial" w:hAnsi="Arial" w:cs="Arial"/>
                <w:sz w:val="24"/>
              </w:rPr>
            </w:pPr>
          </w:p>
        </w:tc>
        <w:tc>
          <w:tcPr>
            <w:tcW w:w="2914" w:type="dxa"/>
            <w:gridSpan w:val="2"/>
            <w:tcBorders>
              <w:top w:val="single" w:sz="4" w:space="0" w:color="auto"/>
              <w:left w:val="single" w:sz="4" w:space="0" w:color="auto"/>
              <w:bottom w:val="single" w:sz="4" w:space="0" w:color="auto"/>
              <w:right w:val="single" w:sz="4" w:space="0" w:color="auto"/>
            </w:tcBorders>
          </w:tcPr>
          <w:p w14:paraId="7ACC5BC9" w14:textId="77777777" w:rsidR="002C6C97" w:rsidRDefault="002C6C97">
            <w:pPr>
              <w:jc w:val="left"/>
              <w:rPr>
                <w:rFonts w:ascii="Arial" w:hAnsi="Arial" w:cs="Arial"/>
                <w:sz w:val="24"/>
              </w:rPr>
            </w:pPr>
          </w:p>
        </w:tc>
      </w:tr>
      <w:tr w:rsidR="002C6C97" w14:paraId="2E39AA22"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1097200A" w14:textId="77777777" w:rsidR="002C6C97" w:rsidRDefault="002C6C97">
            <w:pPr>
              <w:jc w:val="left"/>
              <w:rPr>
                <w:rFonts w:ascii="Arial" w:hAnsi="Arial" w:cs="Arial"/>
                <w:b/>
                <w:bCs/>
                <w:sz w:val="24"/>
              </w:rPr>
            </w:pPr>
            <w:r>
              <w:rPr>
                <w:rFonts w:ascii="Arial" w:hAnsi="Arial" w:cs="Arial"/>
                <w:b/>
                <w:bCs/>
                <w:sz w:val="24"/>
                <w:rtl/>
              </w:rPr>
              <w:t>בפני:</w:t>
            </w:r>
          </w:p>
        </w:tc>
        <w:tc>
          <w:tcPr>
            <w:tcW w:w="4842" w:type="dxa"/>
            <w:tcBorders>
              <w:top w:val="single" w:sz="4" w:space="0" w:color="auto"/>
              <w:left w:val="single" w:sz="4" w:space="0" w:color="auto"/>
              <w:bottom w:val="single" w:sz="4" w:space="0" w:color="auto"/>
              <w:right w:val="single" w:sz="4" w:space="0" w:color="auto"/>
            </w:tcBorders>
          </w:tcPr>
          <w:p w14:paraId="10B4D2BD" w14:textId="77777777" w:rsidR="002C6C97" w:rsidRDefault="002C6C97">
            <w:pPr>
              <w:jc w:val="left"/>
              <w:rPr>
                <w:rFonts w:ascii="Arial" w:hAnsi="Arial" w:cs="Arial"/>
                <w:b/>
                <w:bCs/>
                <w:sz w:val="24"/>
              </w:rPr>
            </w:pPr>
            <w:r>
              <w:rPr>
                <w:rFonts w:ascii="Arial" w:hAnsi="Arial" w:cs="Arial"/>
                <w:b/>
                <w:bCs/>
                <w:sz w:val="24"/>
                <w:rtl/>
              </w:rPr>
              <w:t>כב' השופטת דבורה עטר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4054B7F" w14:textId="77777777" w:rsidR="002C6C97" w:rsidRDefault="002C6C97">
            <w:pPr>
              <w:jc w:val="left"/>
              <w:rPr>
                <w:rFonts w:ascii="Arial" w:hAnsi="Arial" w:cs="Arial"/>
                <w:b/>
                <w:bCs/>
                <w:sz w:val="24"/>
              </w:rPr>
            </w:pPr>
            <w:r>
              <w:rPr>
                <w:rFonts w:ascii="Arial" w:hAnsi="Arial" w:cs="Arial"/>
                <w:b/>
                <w:bCs/>
                <w:sz w:val="24"/>
                <w:rtl/>
              </w:rPr>
              <w:t>תאריך:</w:t>
            </w:r>
          </w:p>
        </w:tc>
        <w:tc>
          <w:tcPr>
            <w:tcW w:w="2092" w:type="dxa"/>
            <w:tcBorders>
              <w:top w:val="single" w:sz="4" w:space="0" w:color="auto"/>
              <w:left w:val="single" w:sz="4" w:space="0" w:color="auto"/>
              <w:bottom w:val="single" w:sz="4" w:space="0" w:color="auto"/>
              <w:right w:val="single" w:sz="4" w:space="0" w:color="auto"/>
            </w:tcBorders>
          </w:tcPr>
          <w:p w14:paraId="5A2DE867" w14:textId="77777777" w:rsidR="002C6C97" w:rsidRDefault="002C6C97">
            <w:pPr>
              <w:jc w:val="left"/>
              <w:rPr>
                <w:rFonts w:ascii="Arial" w:hAnsi="Arial" w:cs="Arial"/>
                <w:b/>
                <w:bCs/>
                <w:sz w:val="24"/>
              </w:rPr>
            </w:pPr>
            <w:r>
              <w:rPr>
                <w:rFonts w:ascii="Arial" w:hAnsi="Arial" w:cs="Arial"/>
                <w:b/>
                <w:bCs/>
                <w:sz w:val="24"/>
                <w:rtl/>
              </w:rPr>
              <w:t>29/03/2007</w:t>
            </w:r>
          </w:p>
        </w:tc>
      </w:tr>
    </w:tbl>
    <w:p w14:paraId="7540B7B6" w14:textId="77777777" w:rsidR="002C6C97" w:rsidRDefault="002C6C97">
      <w:pPr>
        <w:jc w:val="center"/>
        <w:rPr>
          <w:rFonts w:ascii="Arial" w:hAnsi="Arial"/>
          <w:b/>
          <w:bCs/>
          <w:sz w:val="28"/>
          <w:szCs w:val="28"/>
          <w:rtl/>
        </w:rPr>
      </w:pPr>
    </w:p>
    <w:tbl>
      <w:tblPr>
        <w:bidiVisual/>
        <w:tblW w:w="8732" w:type="dxa"/>
        <w:tblInd w:w="-85" w:type="dxa"/>
        <w:tblCellMar>
          <w:left w:w="107" w:type="dxa"/>
          <w:right w:w="107" w:type="dxa"/>
        </w:tblCellMar>
        <w:tblLook w:val="0000" w:firstRow="0" w:lastRow="0" w:firstColumn="0" w:lastColumn="0" w:noHBand="0" w:noVBand="0"/>
      </w:tblPr>
      <w:tblGrid>
        <w:gridCol w:w="85"/>
        <w:gridCol w:w="1332"/>
        <w:gridCol w:w="86"/>
        <w:gridCol w:w="1757"/>
        <w:gridCol w:w="3063"/>
        <w:gridCol w:w="2324"/>
        <w:gridCol w:w="85"/>
      </w:tblGrid>
      <w:tr w:rsidR="002C6C97" w14:paraId="3F1515F0" w14:textId="77777777">
        <w:tc>
          <w:tcPr>
            <w:tcW w:w="1503" w:type="dxa"/>
            <w:gridSpan w:val="3"/>
          </w:tcPr>
          <w:p w14:paraId="4ED4A765" w14:textId="77777777" w:rsidR="002C6C97" w:rsidRDefault="002C6C97">
            <w:pPr>
              <w:rPr>
                <w:rFonts w:ascii="Arial" w:hAnsi="Arial"/>
                <w:b/>
                <w:bCs/>
                <w:szCs w:val="26"/>
              </w:rPr>
            </w:pPr>
            <w:bookmarkStart w:id="1" w:name="FirstAppellant"/>
            <w:r>
              <w:rPr>
                <w:rFonts w:ascii="Arial" w:hAnsi="Arial" w:hint="cs"/>
                <w:b/>
                <w:bCs/>
                <w:rtl/>
              </w:rPr>
              <w:t>בעניין:</w:t>
            </w:r>
          </w:p>
        </w:tc>
        <w:tc>
          <w:tcPr>
            <w:tcW w:w="4820" w:type="dxa"/>
            <w:gridSpan w:val="2"/>
          </w:tcPr>
          <w:p w14:paraId="4F26A548" w14:textId="77777777" w:rsidR="002C6C97" w:rsidRDefault="002C6C97">
            <w:pPr>
              <w:rPr>
                <w:rFonts w:ascii="Arial" w:hAnsi="Arial"/>
                <w:b/>
                <w:bCs/>
              </w:rPr>
            </w:pPr>
            <w:r>
              <w:rPr>
                <w:rFonts w:ascii="Arial" w:hAnsi="Arial" w:hint="cs"/>
                <w:b/>
                <w:bCs/>
                <w:rtl/>
              </w:rPr>
              <w:t xml:space="preserve">מדינת ישראל </w:t>
            </w:r>
          </w:p>
        </w:tc>
        <w:tc>
          <w:tcPr>
            <w:tcW w:w="2409" w:type="dxa"/>
            <w:gridSpan w:val="2"/>
          </w:tcPr>
          <w:p w14:paraId="189FA1F6" w14:textId="77777777" w:rsidR="002C6C97" w:rsidRDefault="002C6C97">
            <w:pPr>
              <w:rPr>
                <w:rFonts w:ascii="Arial" w:hAnsi="Arial"/>
                <w:b/>
                <w:bCs/>
              </w:rPr>
            </w:pPr>
          </w:p>
        </w:tc>
      </w:tr>
      <w:bookmarkEnd w:id="1"/>
      <w:tr w:rsidR="002C6C97" w14:paraId="05F89FF3" w14:textId="77777777">
        <w:tc>
          <w:tcPr>
            <w:tcW w:w="1503" w:type="dxa"/>
            <w:gridSpan w:val="3"/>
          </w:tcPr>
          <w:p w14:paraId="26F75B2D" w14:textId="77777777" w:rsidR="002C6C97" w:rsidRDefault="002C6C97">
            <w:pPr>
              <w:pStyle w:val="Heading5"/>
              <w:rPr>
                <w:rFonts w:cs="David"/>
                <w:u w:val="none"/>
              </w:rPr>
            </w:pPr>
          </w:p>
        </w:tc>
        <w:tc>
          <w:tcPr>
            <w:tcW w:w="1757" w:type="dxa"/>
          </w:tcPr>
          <w:p w14:paraId="7A718FA8" w14:textId="77777777" w:rsidR="002C6C97" w:rsidRDefault="002C6C97">
            <w:pPr>
              <w:rPr>
                <w:rFonts w:ascii="Arial" w:hAnsi="Arial"/>
                <w:b/>
                <w:bCs/>
              </w:rPr>
            </w:pPr>
          </w:p>
        </w:tc>
        <w:tc>
          <w:tcPr>
            <w:tcW w:w="3063" w:type="dxa"/>
          </w:tcPr>
          <w:p w14:paraId="71A116B7" w14:textId="77777777" w:rsidR="002C6C97" w:rsidRDefault="002C6C97">
            <w:pPr>
              <w:rPr>
                <w:rFonts w:ascii="Arial" w:hAnsi="Arial"/>
                <w:b/>
                <w:bCs/>
              </w:rPr>
            </w:pPr>
          </w:p>
        </w:tc>
        <w:tc>
          <w:tcPr>
            <w:tcW w:w="2409" w:type="dxa"/>
            <w:gridSpan w:val="2"/>
          </w:tcPr>
          <w:p w14:paraId="4BF15FE5" w14:textId="77777777" w:rsidR="002C6C97" w:rsidRDefault="002C6C97">
            <w:pPr>
              <w:pStyle w:val="Heading4"/>
              <w:rPr>
                <w:rFonts w:ascii="Arial" w:hAnsi="Arial"/>
                <w:u w:val="none"/>
              </w:rPr>
            </w:pPr>
            <w:r>
              <w:rPr>
                <w:rFonts w:ascii="Arial" w:hAnsi="Arial" w:hint="cs"/>
                <w:u w:val="none"/>
                <w:rtl/>
              </w:rPr>
              <w:t>המאשימה</w:t>
            </w:r>
          </w:p>
        </w:tc>
      </w:tr>
      <w:tr w:rsidR="002C6C97" w14:paraId="354171DC" w14:textId="77777777">
        <w:tc>
          <w:tcPr>
            <w:tcW w:w="1503" w:type="dxa"/>
            <w:gridSpan w:val="3"/>
          </w:tcPr>
          <w:p w14:paraId="2E1CD2E5" w14:textId="77777777" w:rsidR="002C6C97" w:rsidRDefault="002C6C97">
            <w:pPr>
              <w:rPr>
                <w:rFonts w:ascii="Arial" w:hAnsi="Arial"/>
                <w:b/>
                <w:bCs/>
              </w:rPr>
            </w:pPr>
          </w:p>
        </w:tc>
        <w:tc>
          <w:tcPr>
            <w:tcW w:w="4820" w:type="dxa"/>
            <w:gridSpan w:val="2"/>
          </w:tcPr>
          <w:p w14:paraId="22D355B6" w14:textId="77777777" w:rsidR="002C6C97" w:rsidRDefault="002C6C97">
            <w:pPr>
              <w:jc w:val="center"/>
              <w:rPr>
                <w:rFonts w:ascii="Arial" w:hAnsi="Arial"/>
                <w:b/>
                <w:bCs/>
              </w:rPr>
            </w:pPr>
            <w:r>
              <w:rPr>
                <w:rFonts w:ascii="Arial" w:hAnsi="Arial" w:hint="cs"/>
                <w:b/>
                <w:bCs/>
                <w:rtl/>
              </w:rPr>
              <w:t>נ ג ד</w:t>
            </w:r>
          </w:p>
        </w:tc>
        <w:tc>
          <w:tcPr>
            <w:tcW w:w="2409" w:type="dxa"/>
            <w:gridSpan w:val="2"/>
          </w:tcPr>
          <w:p w14:paraId="208BFBA3" w14:textId="77777777" w:rsidR="002C6C97" w:rsidRDefault="002C6C97">
            <w:pPr>
              <w:rPr>
                <w:rFonts w:ascii="Arial" w:hAnsi="Arial"/>
                <w:b/>
                <w:bCs/>
              </w:rPr>
            </w:pPr>
          </w:p>
        </w:tc>
      </w:tr>
      <w:tr w:rsidR="002C6C97" w14:paraId="16D63577" w14:textId="77777777">
        <w:tc>
          <w:tcPr>
            <w:tcW w:w="1503" w:type="dxa"/>
            <w:gridSpan w:val="3"/>
          </w:tcPr>
          <w:p w14:paraId="2AB9D000" w14:textId="77777777" w:rsidR="002C6C97" w:rsidRDefault="002C6C97">
            <w:pPr>
              <w:rPr>
                <w:rFonts w:ascii="Arial" w:hAnsi="Arial"/>
                <w:b/>
                <w:bCs/>
                <w:szCs w:val="26"/>
              </w:rPr>
            </w:pPr>
          </w:p>
        </w:tc>
        <w:tc>
          <w:tcPr>
            <w:tcW w:w="4820" w:type="dxa"/>
            <w:gridSpan w:val="2"/>
          </w:tcPr>
          <w:p w14:paraId="356D69FD" w14:textId="77777777" w:rsidR="002C6C97" w:rsidRDefault="002C6C97">
            <w:pPr>
              <w:rPr>
                <w:rFonts w:ascii="Arial" w:hAnsi="Arial"/>
                <w:b/>
                <w:bCs/>
              </w:rPr>
            </w:pPr>
            <w:r>
              <w:rPr>
                <w:rFonts w:ascii="Arial" w:hAnsi="Arial" w:hint="cs"/>
                <w:b/>
                <w:bCs/>
                <w:rtl/>
              </w:rPr>
              <w:t>ארביב יוסף</w:t>
            </w:r>
          </w:p>
        </w:tc>
        <w:tc>
          <w:tcPr>
            <w:tcW w:w="2409" w:type="dxa"/>
            <w:gridSpan w:val="2"/>
          </w:tcPr>
          <w:p w14:paraId="4187EE85" w14:textId="77777777" w:rsidR="002C6C97" w:rsidRDefault="002C6C97">
            <w:pPr>
              <w:rPr>
                <w:rFonts w:ascii="Arial" w:hAnsi="Arial"/>
                <w:b/>
                <w:bCs/>
              </w:rPr>
            </w:pPr>
          </w:p>
        </w:tc>
      </w:tr>
      <w:tr w:rsidR="002C6C97" w14:paraId="70328EE3" w14:textId="77777777">
        <w:tc>
          <w:tcPr>
            <w:tcW w:w="1503" w:type="dxa"/>
            <w:gridSpan w:val="3"/>
          </w:tcPr>
          <w:p w14:paraId="32CDE535" w14:textId="77777777" w:rsidR="002C6C97" w:rsidRDefault="002C6C97">
            <w:pPr>
              <w:rPr>
                <w:rFonts w:ascii="Arial" w:hAnsi="Arial"/>
                <w:b/>
                <w:bCs/>
                <w:szCs w:val="26"/>
              </w:rPr>
            </w:pPr>
          </w:p>
        </w:tc>
        <w:tc>
          <w:tcPr>
            <w:tcW w:w="1757" w:type="dxa"/>
          </w:tcPr>
          <w:p w14:paraId="1FDEE6F7" w14:textId="77777777" w:rsidR="002C6C97" w:rsidRDefault="002C6C97">
            <w:pPr>
              <w:rPr>
                <w:rFonts w:ascii="Arial" w:hAnsi="Arial"/>
                <w:b/>
                <w:bCs/>
              </w:rPr>
            </w:pPr>
          </w:p>
        </w:tc>
        <w:tc>
          <w:tcPr>
            <w:tcW w:w="3063" w:type="dxa"/>
          </w:tcPr>
          <w:p w14:paraId="454F5ADC" w14:textId="77777777" w:rsidR="002C6C97" w:rsidRDefault="002C6C97">
            <w:pPr>
              <w:rPr>
                <w:rFonts w:ascii="Arial" w:hAnsi="Arial"/>
                <w:b/>
                <w:bCs/>
              </w:rPr>
            </w:pPr>
          </w:p>
        </w:tc>
        <w:tc>
          <w:tcPr>
            <w:tcW w:w="2409" w:type="dxa"/>
            <w:gridSpan w:val="2"/>
          </w:tcPr>
          <w:p w14:paraId="105D8E8E" w14:textId="77777777" w:rsidR="002C6C97" w:rsidRDefault="002C6C97">
            <w:pPr>
              <w:pStyle w:val="Heading7"/>
              <w:rPr>
                <w:rFonts w:cs="David"/>
                <w:u w:val="none"/>
              </w:rPr>
            </w:pPr>
            <w:r>
              <w:rPr>
                <w:rFonts w:cs="David" w:hint="cs"/>
                <w:u w:val="none"/>
                <w:rtl/>
              </w:rPr>
              <w:t>הנאשם</w:t>
            </w:r>
          </w:p>
        </w:tc>
      </w:tr>
      <w:tr w:rsidR="002C6C97" w14:paraId="6A0830F3" w14:textId="77777777">
        <w:trPr>
          <w:gridBefore w:val="1"/>
          <w:gridAfter w:val="1"/>
          <w:wBefore w:w="85" w:type="dxa"/>
          <w:wAfter w:w="85" w:type="dxa"/>
        </w:trPr>
        <w:tc>
          <w:tcPr>
            <w:tcW w:w="1332" w:type="dxa"/>
          </w:tcPr>
          <w:p w14:paraId="5EA0883C" w14:textId="77777777" w:rsidR="002C6C97" w:rsidRDefault="002C6C97">
            <w:pPr>
              <w:rPr>
                <w:rFonts w:ascii="Arial" w:hAnsi="Arial"/>
                <w:b/>
                <w:bCs/>
                <w:szCs w:val="26"/>
              </w:rPr>
            </w:pPr>
            <w:bookmarkStart w:id="2" w:name="FirstLawyer"/>
            <w:r>
              <w:rPr>
                <w:rFonts w:ascii="Arial" w:hAnsi="Arial" w:hint="cs"/>
                <w:b/>
                <w:bCs/>
                <w:szCs w:val="26"/>
                <w:rtl/>
              </w:rPr>
              <w:t>נוכחים:</w:t>
            </w:r>
          </w:p>
        </w:tc>
        <w:tc>
          <w:tcPr>
            <w:tcW w:w="7230" w:type="dxa"/>
            <w:gridSpan w:val="4"/>
          </w:tcPr>
          <w:p w14:paraId="4F9743AE" w14:textId="77777777" w:rsidR="002C6C97" w:rsidRDefault="002C6C97">
            <w:pPr>
              <w:rPr>
                <w:rFonts w:ascii="Arial" w:hAnsi="Arial"/>
                <w:b/>
                <w:bCs/>
              </w:rPr>
            </w:pPr>
            <w:r>
              <w:rPr>
                <w:rFonts w:ascii="Arial" w:hAnsi="Arial" w:hint="cs"/>
                <w:b/>
                <w:bCs/>
                <w:rtl/>
              </w:rPr>
              <w:t>ב"כ המאשימה – עו"ד צורי</w:t>
            </w:r>
          </w:p>
          <w:p w14:paraId="790C5AE6" w14:textId="77777777" w:rsidR="002C6C97" w:rsidRDefault="002C6C97">
            <w:pPr>
              <w:rPr>
                <w:rFonts w:ascii="Arial" w:hAnsi="Arial"/>
                <w:b/>
                <w:bCs/>
              </w:rPr>
            </w:pPr>
            <w:r>
              <w:rPr>
                <w:rFonts w:ascii="Arial" w:hAnsi="Arial" w:hint="cs"/>
                <w:b/>
                <w:bCs/>
                <w:rtl/>
              </w:rPr>
              <w:t xml:space="preserve">הנאשם ובא כוחו – עו"ד ברגמן </w:t>
            </w:r>
          </w:p>
        </w:tc>
      </w:tr>
    </w:tbl>
    <w:p w14:paraId="574ABCCF" w14:textId="77777777" w:rsidR="00F34CA8" w:rsidRDefault="00F34CA8">
      <w:pPr>
        <w:jc w:val="center"/>
        <w:rPr>
          <w:rFonts w:ascii="Arial" w:hAnsi="Arial"/>
          <w:sz w:val="28"/>
          <w:szCs w:val="28"/>
          <w:rtl/>
        </w:rPr>
      </w:pPr>
      <w:bookmarkStart w:id="3" w:name="LawTable"/>
      <w:bookmarkEnd w:id="2"/>
      <w:bookmarkEnd w:id="3"/>
    </w:p>
    <w:p w14:paraId="693A2591" w14:textId="77777777" w:rsidR="00F34CA8" w:rsidRPr="00F34CA8" w:rsidRDefault="00F34CA8" w:rsidP="00F34CA8">
      <w:pPr>
        <w:spacing w:after="120" w:line="240" w:lineRule="exact"/>
        <w:ind w:left="283" w:hanging="283"/>
        <w:rPr>
          <w:rFonts w:ascii="FrankRuehl" w:hAnsi="FrankRuehl" w:cs="FrankRuehl"/>
          <w:sz w:val="24"/>
          <w:rtl/>
        </w:rPr>
      </w:pPr>
    </w:p>
    <w:p w14:paraId="76C019BE" w14:textId="77777777" w:rsidR="00F34CA8" w:rsidRPr="00F34CA8" w:rsidRDefault="00F34CA8" w:rsidP="00F34CA8">
      <w:pPr>
        <w:spacing w:after="120" w:line="240" w:lineRule="exact"/>
        <w:ind w:left="283" w:hanging="283"/>
        <w:rPr>
          <w:rFonts w:ascii="FrankRuehl" w:hAnsi="FrankRuehl" w:cs="FrankRuehl"/>
          <w:sz w:val="24"/>
          <w:rtl/>
        </w:rPr>
      </w:pPr>
      <w:r w:rsidRPr="00F34CA8">
        <w:rPr>
          <w:rFonts w:ascii="FrankRuehl" w:hAnsi="FrankRuehl" w:cs="FrankRuehl"/>
          <w:sz w:val="24"/>
          <w:rtl/>
        </w:rPr>
        <w:t xml:space="preserve">חקיקה שאוזכרה: </w:t>
      </w:r>
    </w:p>
    <w:p w14:paraId="42A887B5" w14:textId="77777777" w:rsidR="00F34CA8" w:rsidRPr="00F34CA8" w:rsidRDefault="00F34CA8" w:rsidP="00F34CA8">
      <w:pPr>
        <w:spacing w:after="120" w:line="240" w:lineRule="exact"/>
        <w:ind w:left="283" w:hanging="283"/>
        <w:rPr>
          <w:rFonts w:ascii="FrankRuehl" w:hAnsi="FrankRuehl" w:cs="FrankRuehl"/>
          <w:sz w:val="24"/>
          <w:rtl/>
        </w:rPr>
      </w:pPr>
      <w:hyperlink r:id="rId7" w:history="1">
        <w:r w:rsidRPr="00F34CA8">
          <w:rPr>
            <w:rFonts w:ascii="FrankRuehl" w:hAnsi="FrankRuehl" w:cs="FrankRuehl"/>
            <w:color w:val="0000FF"/>
            <w:sz w:val="24"/>
            <w:u w:val="single"/>
            <w:rtl/>
          </w:rPr>
          <w:t>חוק העונשין, תשל"ז-1977</w:t>
        </w:r>
      </w:hyperlink>
      <w:r w:rsidRPr="00F34CA8">
        <w:rPr>
          <w:rFonts w:ascii="FrankRuehl" w:hAnsi="FrankRuehl" w:cs="FrankRuehl"/>
          <w:sz w:val="24"/>
          <w:rtl/>
        </w:rPr>
        <w:t xml:space="preserve">: סע'  </w:t>
      </w:r>
      <w:hyperlink r:id="rId8" w:history="1">
        <w:r w:rsidRPr="00F34CA8">
          <w:rPr>
            <w:rFonts w:ascii="FrankRuehl" w:hAnsi="FrankRuehl" w:cs="FrankRuehl"/>
            <w:color w:val="0000FF"/>
            <w:sz w:val="24"/>
            <w:u w:val="single"/>
            <w:rtl/>
          </w:rPr>
          <w:t>348</w:t>
        </w:r>
      </w:hyperlink>
      <w:r w:rsidRPr="00F34CA8">
        <w:rPr>
          <w:rFonts w:ascii="FrankRuehl" w:hAnsi="FrankRuehl" w:cs="FrankRuehl"/>
          <w:sz w:val="24"/>
          <w:rtl/>
        </w:rPr>
        <w:t xml:space="preserve">, </w:t>
      </w:r>
      <w:hyperlink r:id="rId9" w:history="1">
        <w:r w:rsidRPr="00F34CA8">
          <w:rPr>
            <w:rFonts w:ascii="FrankRuehl" w:hAnsi="FrankRuehl" w:cs="FrankRuehl"/>
            <w:color w:val="0000FF"/>
            <w:sz w:val="24"/>
            <w:u w:val="single"/>
            <w:rtl/>
          </w:rPr>
          <w:t>348(ג)(1)</w:t>
        </w:r>
      </w:hyperlink>
      <w:r w:rsidRPr="00F34CA8">
        <w:rPr>
          <w:rFonts w:ascii="FrankRuehl" w:hAnsi="FrankRuehl" w:cs="FrankRuehl"/>
          <w:sz w:val="24"/>
          <w:rtl/>
        </w:rPr>
        <w:t xml:space="preserve">, </w:t>
      </w:r>
      <w:hyperlink r:id="rId10" w:history="1">
        <w:r w:rsidRPr="00F34CA8">
          <w:rPr>
            <w:rFonts w:ascii="FrankRuehl" w:hAnsi="FrankRuehl" w:cs="FrankRuehl"/>
            <w:color w:val="0000FF"/>
            <w:sz w:val="24"/>
            <w:u w:val="single"/>
            <w:rtl/>
          </w:rPr>
          <w:t>349</w:t>
        </w:r>
      </w:hyperlink>
      <w:r w:rsidRPr="00F34CA8">
        <w:rPr>
          <w:rFonts w:ascii="FrankRuehl" w:hAnsi="FrankRuehl" w:cs="FrankRuehl"/>
          <w:sz w:val="24"/>
          <w:rtl/>
        </w:rPr>
        <w:t xml:space="preserve">, </w:t>
      </w:r>
      <w:hyperlink r:id="rId11" w:history="1">
        <w:r w:rsidRPr="00F34CA8">
          <w:rPr>
            <w:rFonts w:ascii="FrankRuehl" w:hAnsi="FrankRuehl" w:cs="FrankRuehl"/>
            <w:color w:val="0000FF"/>
            <w:sz w:val="24"/>
            <w:u w:val="single"/>
            <w:rtl/>
          </w:rPr>
          <w:t>428</w:t>
        </w:r>
      </w:hyperlink>
    </w:p>
    <w:p w14:paraId="566B03FE" w14:textId="77777777" w:rsidR="00F34CA8" w:rsidRPr="00F34CA8" w:rsidRDefault="00F34CA8" w:rsidP="00F34CA8">
      <w:pPr>
        <w:spacing w:after="120" w:line="240" w:lineRule="exact"/>
        <w:ind w:left="283" w:hanging="283"/>
        <w:rPr>
          <w:rFonts w:ascii="FrankRuehl" w:hAnsi="FrankRuehl" w:cs="FrankRuehl"/>
          <w:sz w:val="24"/>
          <w:rtl/>
        </w:rPr>
      </w:pPr>
      <w:hyperlink r:id="rId12" w:history="1">
        <w:r w:rsidRPr="00F34CA8">
          <w:rPr>
            <w:rFonts w:ascii="FrankRuehl" w:hAnsi="FrankRuehl" w:cs="FrankRuehl"/>
            <w:color w:val="0000FF"/>
            <w:sz w:val="24"/>
            <w:u w:val="single"/>
            <w:rtl/>
          </w:rPr>
          <w:t>חוק למניעת הטרדה מינית, תשנ"ח-1998</w:t>
        </w:r>
      </w:hyperlink>
      <w:r w:rsidRPr="00F34CA8">
        <w:rPr>
          <w:rFonts w:ascii="FrankRuehl" w:hAnsi="FrankRuehl" w:cs="FrankRuehl"/>
          <w:sz w:val="24"/>
          <w:rtl/>
        </w:rPr>
        <w:t xml:space="preserve">: סע'  </w:t>
      </w:r>
      <w:hyperlink r:id="rId13" w:history="1">
        <w:r w:rsidRPr="00F34CA8">
          <w:rPr>
            <w:rFonts w:ascii="FrankRuehl" w:hAnsi="FrankRuehl" w:cs="FrankRuehl"/>
            <w:color w:val="0000FF"/>
            <w:sz w:val="24"/>
            <w:u w:val="single"/>
            <w:rtl/>
          </w:rPr>
          <w:t>סק (א)(3)</w:t>
        </w:r>
      </w:hyperlink>
      <w:r w:rsidRPr="00F34CA8">
        <w:rPr>
          <w:rFonts w:ascii="FrankRuehl" w:hAnsi="FrankRuehl" w:cs="FrankRuehl"/>
          <w:sz w:val="24"/>
          <w:rtl/>
        </w:rPr>
        <w:t xml:space="preserve">, </w:t>
      </w:r>
      <w:hyperlink r:id="rId14" w:history="1">
        <w:r w:rsidRPr="00F34CA8">
          <w:rPr>
            <w:rFonts w:ascii="FrankRuehl" w:hAnsi="FrankRuehl" w:cs="FrankRuehl"/>
            <w:color w:val="0000FF"/>
            <w:sz w:val="24"/>
            <w:u w:val="single"/>
            <w:rtl/>
          </w:rPr>
          <w:t>לסק (א)(5).</w:t>
        </w:r>
      </w:hyperlink>
      <w:r w:rsidRPr="00F34CA8">
        <w:rPr>
          <w:rFonts w:ascii="FrankRuehl" w:hAnsi="FrankRuehl" w:cs="FrankRuehl"/>
          <w:sz w:val="24"/>
          <w:rtl/>
        </w:rPr>
        <w:t xml:space="preserve">, </w:t>
      </w:r>
      <w:hyperlink r:id="rId15" w:history="1">
        <w:r w:rsidRPr="00F34CA8">
          <w:rPr>
            <w:rFonts w:ascii="FrankRuehl" w:hAnsi="FrankRuehl" w:cs="FrankRuehl"/>
            <w:color w:val="0000FF"/>
            <w:sz w:val="24"/>
            <w:u w:val="single"/>
            <w:rtl/>
          </w:rPr>
          <w:t>3(א)(ב)</w:t>
        </w:r>
      </w:hyperlink>
      <w:r w:rsidRPr="00F34CA8">
        <w:rPr>
          <w:rFonts w:ascii="FrankRuehl" w:hAnsi="FrankRuehl" w:cs="FrankRuehl"/>
          <w:sz w:val="24"/>
          <w:rtl/>
        </w:rPr>
        <w:t xml:space="preserve">, </w:t>
      </w:r>
      <w:hyperlink r:id="rId16" w:history="1">
        <w:r w:rsidRPr="00F34CA8">
          <w:rPr>
            <w:rFonts w:ascii="FrankRuehl" w:hAnsi="FrankRuehl" w:cs="FrankRuehl"/>
            <w:color w:val="0000FF"/>
            <w:sz w:val="24"/>
            <w:u w:val="single"/>
            <w:rtl/>
          </w:rPr>
          <w:t>5(ג)</w:t>
        </w:r>
      </w:hyperlink>
    </w:p>
    <w:p w14:paraId="62850DEC" w14:textId="77777777" w:rsidR="00F34CA8" w:rsidRPr="00F34CA8" w:rsidRDefault="00F34CA8" w:rsidP="00F34CA8">
      <w:pPr>
        <w:spacing w:after="120" w:line="240" w:lineRule="exact"/>
        <w:ind w:left="283" w:hanging="283"/>
        <w:rPr>
          <w:rFonts w:ascii="FrankRuehl" w:hAnsi="FrankRuehl" w:cs="FrankRuehl"/>
          <w:sz w:val="24"/>
          <w:rtl/>
        </w:rPr>
      </w:pPr>
      <w:hyperlink r:id="rId17" w:history="1">
        <w:r w:rsidRPr="00F34CA8">
          <w:rPr>
            <w:rFonts w:ascii="FrankRuehl" w:hAnsi="FrankRuehl" w:cs="FrankRuehl"/>
            <w:color w:val="0000FF"/>
            <w:sz w:val="24"/>
            <w:u w:val="single"/>
            <w:rtl/>
          </w:rPr>
          <w:t>פקודת הראיות [נוסח חדש], תשל"א-1971</w:t>
        </w:r>
      </w:hyperlink>
      <w:r w:rsidRPr="00F34CA8">
        <w:rPr>
          <w:rFonts w:ascii="FrankRuehl" w:hAnsi="FrankRuehl" w:cs="FrankRuehl"/>
          <w:sz w:val="24"/>
          <w:rtl/>
        </w:rPr>
        <w:t xml:space="preserve">: סע'  </w:t>
      </w:r>
      <w:hyperlink r:id="rId18" w:history="1">
        <w:r w:rsidRPr="00F34CA8">
          <w:rPr>
            <w:rFonts w:ascii="FrankRuehl" w:hAnsi="FrankRuehl" w:cs="FrankRuehl"/>
            <w:color w:val="0000FF"/>
            <w:sz w:val="24"/>
            <w:u w:val="single"/>
            <w:rtl/>
          </w:rPr>
          <w:t>10(1)</w:t>
        </w:r>
      </w:hyperlink>
    </w:p>
    <w:p w14:paraId="25741118" w14:textId="77777777" w:rsidR="00F34CA8" w:rsidRPr="00F34CA8" w:rsidRDefault="00F34CA8" w:rsidP="00F34CA8">
      <w:pPr>
        <w:spacing w:after="120" w:line="240" w:lineRule="exact"/>
        <w:ind w:left="283" w:hanging="283"/>
        <w:rPr>
          <w:rFonts w:ascii="FrankRuehl" w:hAnsi="FrankRuehl" w:cs="FrankRuehl"/>
          <w:sz w:val="24"/>
          <w:rtl/>
        </w:rPr>
      </w:pPr>
    </w:p>
    <w:p w14:paraId="70C090F2" w14:textId="77777777" w:rsidR="00F34CA8" w:rsidRPr="00F34CA8" w:rsidRDefault="00F34CA8">
      <w:pPr>
        <w:jc w:val="center"/>
        <w:rPr>
          <w:rFonts w:ascii="Arial" w:hAnsi="Arial"/>
          <w:sz w:val="28"/>
          <w:szCs w:val="28"/>
          <w:rtl/>
        </w:rPr>
      </w:pPr>
      <w:bookmarkStart w:id="4" w:name="LawTable_End"/>
      <w:bookmarkEnd w:id="4"/>
    </w:p>
    <w:p w14:paraId="26857BD7" w14:textId="77777777" w:rsidR="00B173BA" w:rsidRPr="00B173BA" w:rsidRDefault="00B173BA">
      <w:pPr>
        <w:jc w:val="center"/>
        <w:rPr>
          <w:rFonts w:ascii="Arial" w:hAnsi="Arial"/>
          <w:sz w:val="28"/>
          <w:szCs w:val="28"/>
          <w:rtl/>
        </w:rPr>
      </w:pPr>
    </w:p>
    <w:p w14:paraId="69ECBE8B" w14:textId="77777777" w:rsidR="008C0B43" w:rsidRPr="008C0B43" w:rsidRDefault="008C0B43">
      <w:pPr>
        <w:jc w:val="center"/>
        <w:rPr>
          <w:rFonts w:ascii="Arial" w:hAnsi="Arial"/>
          <w:sz w:val="28"/>
          <w:szCs w:val="28"/>
          <w:rtl/>
        </w:rPr>
      </w:pPr>
    </w:p>
    <w:p w14:paraId="3A56D9BA" w14:textId="77777777" w:rsidR="008C0B43" w:rsidRPr="008C0B43" w:rsidRDefault="008C0B43">
      <w:pPr>
        <w:jc w:val="center"/>
        <w:rPr>
          <w:rFonts w:ascii="Arial" w:hAnsi="Arial"/>
          <w:b/>
          <w:bCs/>
          <w:sz w:val="28"/>
          <w:szCs w:val="28"/>
          <w:rtl/>
        </w:rPr>
      </w:pPr>
    </w:p>
    <w:p w14:paraId="30EB7862" w14:textId="77777777" w:rsidR="002C6C97" w:rsidRPr="008C0B43" w:rsidRDefault="002C6C97">
      <w:pPr>
        <w:jc w:val="center"/>
        <w:rPr>
          <w:rFonts w:ascii="Arial" w:hAnsi="Arial" w:hint="cs"/>
          <w:b/>
          <w:bCs/>
          <w:sz w:val="28"/>
          <w:szCs w:val="28"/>
          <w:rtl/>
        </w:rPr>
      </w:pPr>
    </w:p>
    <w:p w14:paraId="547609D6" w14:textId="77777777" w:rsidR="002C6C97" w:rsidRDefault="002C6C97">
      <w:pPr>
        <w:jc w:val="center"/>
        <w:rPr>
          <w:rFonts w:ascii="Arial" w:hAnsi="Arial"/>
          <w:b/>
          <w:bCs/>
          <w:sz w:val="28"/>
          <w:szCs w:val="28"/>
          <w:u w:val="single"/>
          <w:rtl/>
        </w:rPr>
      </w:pPr>
      <w:bookmarkStart w:id="5" w:name="PsakDin"/>
      <w:bookmarkEnd w:id="0"/>
      <w:r>
        <w:rPr>
          <w:rFonts w:ascii="Arial" w:hAnsi="Arial"/>
          <w:b/>
          <w:bCs/>
          <w:sz w:val="28"/>
          <w:szCs w:val="28"/>
          <w:u w:val="single"/>
          <w:rtl/>
        </w:rPr>
        <w:t>הכרעת דין</w:t>
      </w:r>
    </w:p>
    <w:bookmarkEnd w:id="5"/>
    <w:p w14:paraId="4F644676" w14:textId="77777777" w:rsidR="002C6C97" w:rsidRDefault="002C6C97">
      <w:pPr>
        <w:jc w:val="center"/>
        <w:rPr>
          <w:rFonts w:ascii="Arial" w:hAnsi="Arial" w:hint="cs"/>
          <w:b/>
          <w:bCs/>
          <w:sz w:val="28"/>
          <w:szCs w:val="28"/>
          <w:u w:val="single"/>
          <w:rtl/>
        </w:rPr>
      </w:pPr>
    </w:p>
    <w:p w14:paraId="54EFF009" w14:textId="77777777" w:rsidR="002C6C97" w:rsidRDefault="002C6C97">
      <w:pPr>
        <w:pStyle w:val="Header"/>
        <w:numPr>
          <w:ilvl w:val="0"/>
          <w:numId w:val="2"/>
        </w:numPr>
        <w:ind w:right="0"/>
        <w:rPr>
          <w:rFonts w:hint="cs"/>
          <w:sz w:val="24"/>
          <w:rtl/>
        </w:rPr>
      </w:pPr>
      <w:bookmarkStart w:id="6" w:name="ABSTRACT_START"/>
      <w:bookmarkEnd w:id="6"/>
      <w:r>
        <w:rPr>
          <w:rFonts w:hint="cs"/>
          <w:sz w:val="24"/>
          <w:rtl/>
        </w:rPr>
        <w:t xml:space="preserve">כנגד הנאשם הוגש כתב אישום המייחס לו ביצוע עבירות של מעשה מגונה בכוח לפי </w:t>
      </w:r>
      <w:hyperlink r:id="rId19" w:history="1">
        <w:r w:rsidR="0080172B" w:rsidRPr="0080172B">
          <w:rPr>
            <w:rStyle w:val="Hyperlink"/>
            <w:rFonts w:hint="eastAsia"/>
            <w:sz w:val="24"/>
            <w:rtl/>
          </w:rPr>
          <w:t>סעיף</w:t>
        </w:r>
        <w:r w:rsidR="0080172B" w:rsidRPr="0080172B">
          <w:rPr>
            <w:rStyle w:val="Hyperlink"/>
            <w:sz w:val="24"/>
            <w:rtl/>
          </w:rPr>
          <w:t xml:space="preserve"> 348(ג)(1)</w:t>
        </w:r>
      </w:hyperlink>
      <w:r>
        <w:rPr>
          <w:rFonts w:hint="cs"/>
          <w:sz w:val="24"/>
          <w:rtl/>
        </w:rPr>
        <w:t xml:space="preserve"> ל</w:t>
      </w:r>
      <w:hyperlink r:id="rId20" w:history="1">
        <w:r w:rsidR="008C0B43" w:rsidRPr="008C0B43">
          <w:rPr>
            <w:rStyle w:val="Hyperlink"/>
            <w:rFonts w:hint="eastAsia"/>
            <w:sz w:val="24"/>
            <w:rtl/>
          </w:rPr>
          <w:t>חוק</w:t>
        </w:r>
        <w:r w:rsidR="008C0B43" w:rsidRPr="008C0B43">
          <w:rPr>
            <w:rStyle w:val="Hyperlink"/>
            <w:sz w:val="24"/>
            <w:rtl/>
          </w:rPr>
          <w:t xml:space="preserve"> העונשין</w:t>
        </w:r>
      </w:hyperlink>
      <w:r>
        <w:rPr>
          <w:rFonts w:hint="cs"/>
          <w:sz w:val="24"/>
          <w:rtl/>
        </w:rPr>
        <w:t xml:space="preserve"> התשל"ז-1977 והטרדה מינית לפי </w:t>
      </w:r>
      <w:hyperlink r:id="rId21" w:history="1">
        <w:r w:rsidR="0080172B" w:rsidRPr="0080172B">
          <w:rPr>
            <w:rStyle w:val="Hyperlink"/>
            <w:rFonts w:hint="eastAsia"/>
            <w:sz w:val="24"/>
            <w:rtl/>
          </w:rPr>
          <w:t>סעיף</w:t>
        </w:r>
        <w:r w:rsidR="0080172B" w:rsidRPr="0080172B">
          <w:rPr>
            <w:rStyle w:val="Hyperlink"/>
            <w:sz w:val="24"/>
            <w:rtl/>
          </w:rPr>
          <w:t xml:space="preserve"> 5(ג)</w:t>
        </w:r>
      </w:hyperlink>
      <w:r>
        <w:rPr>
          <w:rFonts w:hint="cs"/>
          <w:sz w:val="24"/>
          <w:rtl/>
        </w:rPr>
        <w:t xml:space="preserve"> + </w:t>
      </w:r>
      <w:hyperlink r:id="rId22" w:history="1">
        <w:r w:rsidR="0080172B" w:rsidRPr="0080172B">
          <w:rPr>
            <w:rStyle w:val="Hyperlink"/>
            <w:sz w:val="24"/>
            <w:rtl/>
          </w:rPr>
          <w:t>3(א)(ב)</w:t>
        </w:r>
      </w:hyperlink>
      <w:r>
        <w:rPr>
          <w:rFonts w:hint="cs"/>
          <w:sz w:val="24"/>
          <w:rtl/>
        </w:rPr>
        <w:t xml:space="preserve"> ל</w:t>
      </w:r>
      <w:hyperlink r:id="rId23" w:history="1">
        <w:r w:rsidR="008C0B43" w:rsidRPr="008C0B43">
          <w:rPr>
            <w:rStyle w:val="Hyperlink"/>
            <w:rFonts w:hint="eastAsia"/>
            <w:sz w:val="24"/>
            <w:rtl/>
          </w:rPr>
          <w:t>חוק</w:t>
        </w:r>
        <w:r w:rsidR="008C0B43" w:rsidRPr="008C0B43">
          <w:rPr>
            <w:rStyle w:val="Hyperlink"/>
            <w:sz w:val="24"/>
            <w:rtl/>
          </w:rPr>
          <w:t xml:space="preserve"> למניעת הטרדה מינית</w:t>
        </w:r>
      </w:hyperlink>
      <w:r>
        <w:rPr>
          <w:rFonts w:hint="cs"/>
          <w:sz w:val="24"/>
          <w:rtl/>
        </w:rPr>
        <w:t>, התשנ"ח-1988</w:t>
      </w:r>
      <w:bookmarkStart w:id="7" w:name="ABSTRACT_END"/>
      <w:bookmarkEnd w:id="7"/>
      <w:r>
        <w:rPr>
          <w:rFonts w:hint="cs"/>
          <w:sz w:val="24"/>
          <w:rtl/>
        </w:rPr>
        <w:t>.</w:t>
      </w:r>
    </w:p>
    <w:p w14:paraId="13D87AF0" w14:textId="77777777" w:rsidR="002C6C97" w:rsidRDefault="002C6C97">
      <w:pPr>
        <w:pStyle w:val="Header"/>
        <w:tabs>
          <w:tab w:val="left" w:pos="720"/>
        </w:tabs>
        <w:ind w:left="360"/>
        <w:rPr>
          <w:rFonts w:hint="cs"/>
          <w:sz w:val="24"/>
          <w:rtl/>
        </w:rPr>
      </w:pPr>
    </w:p>
    <w:p w14:paraId="72F111B7" w14:textId="77777777" w:rsidR="002C6C97" w:rsidRDefault="002C6C97">
      <w:pPr>
        <w:pStyle w:val="Header"/>
        <w:numPr>
          <w:ilvl w:val="0"/>
          <w:numId w:val="2"/>
        </w:numPr>
        <w:ind w:right="0"/>
        <w:rPr>
          <w:rFonts w:hint="cs"/>
          <w:sz w:val="24"/>
          <w:rtl/>
        </w:rPr>
      </w:pPr>
      <w:r>
        <w:rPr>
          <w:rFonts w:hint="cs"/>
          <w:sz w:val="24"/>
          <w:rtl/>
        </w:rPr>
        <w:t xml:space="preserve">אין חולק כי ביום 11/09/03 בסמוך לשעה 23:10, שהתה </w:t>
      </w:r>
      <w:r>
        <w:rPr>
          <w:rFonts w:hint="cs"/>
          <w:rtl/>
        </w:rPr>
        <w:t>מ.פ. (להלן: "</w:t>
      </w:r>
      <w:r>
        <w:rPr>
          <w:rFonts w:hint="cs"/>
          <w:sz w:val="24"/>
          <w:rtl/>
        </w:rPr>
        <w:t xml:space="preserve">המתלוננת") עם חברה באותה העת ובעלה היום, אברהם ארביב (להלן: "אבי"), ברחוב מינץ 39 בפ"ת. הנאשם, אשר הנו דודו של אבי עבר במקום והמתלוננת עלתה למוניתו ( להלן:"המונית") על מנת שיסיעה לביתה. </w:t>
      </w:r>
    </w:p>
    <w:p w14:paraId="25419317" w14:textId="77777777" w:rsidR="002C6C97" w:rsidRDefault="002C6C97">
      <w:pPr>
        <w:pStyle w:val="Header"/>
        <w:tabs>
          <w:tab w:val="left" w:pos="720"/>
        </w:tabs>
        <w:rPr>
          <w:rFonts w:hint="cs"/>
          <w:sz w:val="24"/>
          <w:rtl/>
        </w:rPr>
      </w:pPr>
    </w:p>
    <w:p w14:paraId="5FB4ABB3" w14:textId="77777777" w:rsidR="002C6C97" w:rsidRDefault="002C6C97">
      <w:pPr>
        <w:pStyle w:val="Header"/>
        <w:numPr>
          <w:ilvl w:val="0"/>
          <w:numId w:val="2"/>
        </w:numPr>
        <w:ind w:right="0"/>
        <w:rPr>
          <w:rFonts w:hint="cs"/>
          <w:sz w:val="24"/>
          <w:rtl/>
        </w:rPr>
      </w:pPr>
      <w:r>
        <w:rPr>
          <w:rFonts w:hint="cs"/>
          <w:sz w:val="24"/>
          <w:rtl/>
        </w:rPr>
        <w:t xml:space="preserve">מהלך הדברים שאירעו לאחר מכן שנוי במחלוקת. </w:t>
      </w:r>
    </w:p>
    <w:p w14:paraId="312BE3C5" w14:textId="77777777" w:rsidR="002C6C97" w:rsidRDefault="002C6C97">
      <w:pPr>
        <w:pStyle w:val="Header"/>
        <w:tabs>
          <w:tab w:val="left" w:pos="720"/>
        </w:tabs>
        <w:rPr>
          <w:rFonts w:hint="cs"/>
          <w:sz w:val="24"/>
          <w:rtl/>
        </w:rPr>
      </w:pPr>
    </w:p>
    <w:p w14:paraId="7BCDCC10" w14:textId="77777777" w:rsidR="002C6C97" w:rsidRDefault="002C6C97">
      <w:pPr>
        <w:pStyle w:val="Header"/>
        <w:tabs>
          <w:tab w:val="left" w:pos="720"/>
        </w:tabs>
        <w:ind w:left="1080"/>
        <w:rPr>
          <w:rFonts w:hint="cs"/>
          <w:sz w:val="24"/>
          <w:rtl/>
        </w:rPr>
      </w:pPr>
      <w:r>
        <w:rPr>
          <w:rFonts w:hint="cs"/>
          <w:sz w:val="24"/>
          <w:rtl/>
        </w:rPr>
        <w:t xml:space="preserve">על פי כתב האישום מיוחס לנאשם כי הציע למתלוננת להיות לו לפילגש, ליטפה, ניסה לנשקה, החדיר את ידו לחזייתה ואחז בשדה השמאלי. המתלוננת התנגדה והצליבה את ידיה על מנת למנוע מהנאשם לגעת בחזה בשנית. הנאשם אחז במתלוננת בשערה, סובב אליו את ראשה והחדיר את לשונו אל תוך פיה, בעודה הודפת אותו.  </w:t>
      </w:r>
    </w:p>
    <w:p w14:paraId="211A774D" w14:textId="77777777" w:rsidR="002C6C97" w:rsidRDefault="002C6C97">
      <w:pPr>
        <w:pStyle w:val="Header"/>
        <w:tabs>
          <w:tab w:val="left" w:pos="720"/>
        </w:tabs>
        <w:ind w:left="360"/>
        <w:rPr>
          <w:rFonts w:hint="cs"/>
          <w:rtl/>
        </w:rPr>
      </w:pPr>
    </w:p>
    <w:p w14:paraId="0F5F979F" w14:textId="77777777" w:rsidR="002C6C97" w:rsidRDefault="002C6C97">
      <w:pPr>
        <w:pStyle w:val="Header"/>
        <w:numPr>
          <w:ilvl w:val="0"/>
          <w:numId w:val="2"/>
        </w:numPr>
        <w:ind w:right="0"/>
        <w:rPr>
          <w:rFonts w:hint="cs"/>
          <w:sz w:val="24"/>
          <w:rtl/>
        </w:rPr>
      </w:pPr>
      <w:r>
        <w:rPr>
          <w:rFonts w:hint="cs"/>
          <w:rtl/>
        </w:rPr>
        <w:t xml:space="preserve">הנאשם כפר בעובדות כתב האישום. טענתו בקליפת אגוז היתה כי המדובר בעלילה שנרקמה כלפיו על ידי אימו של אבי, </w:t>
      </w:r>
      <w:r>
        <w:rPr>
          <w:rFonts w:hint="cs"/>
          <w:sz w:val="24"/>
          <w:rtl/>
        </w:rPr>
        <w:t xml:space="preserve">דליה ארביב (להלן:"דליה") </w:t>
      </w:r>
      <w:r>
        <w:rPr>
          <w:rFonts w:hint="cs"/>
          <w:rtl/>
        </w:rPr>
        <w:t xml:space="preserve">באמצעות המתלוננת, כדי לספק יצר נקמה כנגדו ולסבכו על לא עוול בכפו ( להלן:"העלילה"). </w:t>
      </w:r>
    </w:p>
    <w:p w14:paraId="61486FA6" w14:textId="77777777" w:rsidR="002C6C97" w:rsidRDefault="002C6C97">
      <w:pPr>
        <w:pStyle w:val="Header"/>
        <w:tabs>
          <w:tab w:val="left" w:pos="720"/>
        </w:tabs>
        <w:rPr>
          <w:rFonts w:hint="cs"/>
          <w:sz w:val="24"/>
          <w:rtl/>
        </w:rPr>
      </w:pPr>
    </w:p>
    <w:p w14:paraId="32F018AF" w14:textId="77777777" w:rsidR="002C6C97" w:rsidRDefault="002C6C97">
      <w:pPr>
        <w:pStyle w:val="Header"/>
        <w:tabs>
          <w:tab w:val="left" w:pos="720"/>
        </w:tabs>
        <w:ind w:firstLine="360"/>
        <w:rPr>
          <w:rFonts w:hint="cs"/>
          <w:b/>
          <w:bCs/>
          <w:sz w:val="24"/>
          <w:u w:val="single"/>
          <w:rtl/>
        </w:rPr>
      </w:pPr>
      <w:r>
        <w:rPr>
          <w:rFonts w:hint="cs"/>
          <w:b/>
          <w:bCs/>
          <w:sz w:val="24"/>
          <w:u w:val="single"/>
          <w:rtl/>
        </w:rPr>
        <w:t>ראיות התביעה</w:t>
      </w:r>
    </w:p>
    <w:p w14:paraId="3FEFC233" w14:textId="77777777" w:rsidR="002C6C97" w:rsidRDefault="002C6C97">
      <w:pPr>
        <w:pStyle w:val="Header"/>
        <w:tabs>
          <w:tab w:val="left" w:pos="720"/>
        </w:tabs>
        <w:rPr>
          <w:rFonts w:hint="cs"/>
          <w:b/>
          <w:bCs/>
          <w:sz w:val="24"/>
          <w:u w:val="single"/>
          <w:rtl/>
        </w:rPr>
      </w:pPr>
    </w:p>
    <w:p w14:paraId="6BF9E316" w14:textId="77777777" w:rsidR="002C6C97" w:rsidRDefault="002C6C97">
      <w:pPr>
        <w:pStyle w:val="Header"/>
        <w:numPr>
          <w:ilvl w:val="0"/>
          <w:numId w:val="2"/>
        </w:numPr>
        <w:ind w:right="0"/>
        <w:rPr>
          <w:rFonts w:hint="cs"/>
          <w:sz w:val="24"/>
          <w:rtl/>
        </w:rPr>
      </w:pPr>
      <w:r>
        <w:rPr>
          <w:rFonts w:hint="cs"/>
          <w:sz w:val="24"/>
          <w:rtl/>
        </w:rPr>
        <w:t>עדת התביעה העיקרית עליה נסמכת המאשימה להוכחת עובדות כתב האישום הנה המתלוננת. תמיכה לגרסתה מבקשת המאשימה למצוא בעדויותיהם של אבי ושל דליה והכל כפי שיפורט להלן.</w:t>
      </w:r>
    </w:p>
    <w:p w14:paraId="6C89A48C" w14:textId="77777777" w:rsidR="002C6C97" w:rsidRDefault="002C6C97">
      <w:pPr>
        <w:pStyle w:val="Header"/>
        <w:tabs>
          <w:tab w:val="left" w:pos="720"/>
        </w:tabs>
        <w:ind w:left="1080"/>
        <w:rPr>
          <w:rFonts w:hint="cs"/>
          <w:sz w:val="24"/>
          <w:rtl/>
        </w:rPr>
      </w:pPr>
    </w:p>
    <w:p w14:paraId="777A7BE1" w14:textId="77777777" w:rsidR="002C6C97" w:rsidRDefault="002C6C97">
      <w:pPr>
        <w:pStyle w:val="Header"/>
        <w:numPr>
          <w:ilvl w:val="0"/>
          <w:numId w:val="2"/>
        </w:numPr>
        <w:ind w:right="0"/>
        <w:rPr>
          <w:rFonts w:hint="cs"/>
          <w:sz w:val="24"/>
          <w:rtl/>
        </w:rPr>
      </w:pPr>
      <w:r>
        <w:rPr>
          <w:rFonts w:hint="cs"/>
          <w:sz w:val="24"/>
          <w:u w:val="single"/>
          <w:rtl/>
        </w:rPr>
        <w:t xml:space="preserve">עדות המתלוננת </w:t>
      </w:r>
    </w:p>
    <w:p w14:paraId="30EF4BAB" w14:textId="77777777" w:rsidR="002C6C97" w:rsidRDefault="002C6C97">
      <w:pPr>
        <w:pStyle w:val="Header"/>
        <w:tabs>
          <w:tab w:val="left" w:pos="720"/>
        </w:tabs>
        <w:rPr>
          <w:rFonts w:hint="cs"/>
          <w:sz w:val="24"/>
          <w:rtl/>
        </w:rPr>
      </w:pPr>
    </w:p>
    <w:p w14:paraId="6736AC5F" w14:textId="77777777" w:rsidR="002C6C97" w:rsidRDefault="002C6C97">
      <w:pPr>
        <w:pStyle w:val="Header"/>
        <w:tabs>
          <w:tab w:val="left" w:pos="720"/>
        </w:tabs>
        <w:ind w:left="1080"/>
        <w:rPr>
          <w:rFonts w:hint="cs"/>
          <w:sz w:val="24"/>
          <w:rtl/>
        </w:rPr>
      </w:pPr>
      <w:r>
        <w:rPr>
          <w:rFonts w:hint="cs"/>
          <w:sz w:val="24"/>
          <w:rtl/>
        </w:rPr>
        <w:t>המתלוננת העידה כי היא ואבי ישבו על ספסל והמתינו לבוא האוטובוס. הנאשם אשר ירד מביתם של אבי ודליה, הציע לה לנסוע עמו במונית, על מנת לחסוך בעלויות הנסיעה באוטובוס.</w:t>
      </w:r>
    </w:p>
    <w:p w14:paraId="377F9CC4" w14:textId="77777777" w:rsidR="002C6C97" w:rsidRDefault="002C6C97">
      <w:pPr>
        <w:pStyle w:val="Header"/>
        <w:tabs>
          <w:tab w:val="left" w:pos="720"/>
        </w:tabs>
        <w:ind w:left="1080"/>
        <w:rPr>
          <w:rFonts w:hint="cs"/>
          <w:sz w:val="24"/>
          <w:rtl/>
        </w:rPr>
      </w:pPr>
    </w:p>
    <w:p w14:paraId="35ADE664" w14:textId="77777777" w:rsidR="002C6C97" w:rsidRDefault="002C6C97">
      <w:pPr>
        <w:pStyle w:val="Header"/>
        <w:tabs>
          <w:tab w:val="left" w:pos="720"/>
        </w:tabs>
        <w:ind w:left="1080"/>
        <w:rPr>
          <w:rFonts w:hint="cs"/>
          <w:sz w:val="24"/>
          <w:rtl/>
        </w:rPr>
      </w:pPr>
      <w:r>
        <w:rPr>
          <w:rFonts w:hint="cs"/>
          <w:sz w:val="24"/>
          <w:rtl/>
        </w:rPr>
        <w:t xml:space="preserve">המתלוננת ציינה כי בדרך, שאל אותה הנאשם האם היא מעונינת לעבוד לאחר שעות הלימודים ואף ניסה להתקשר אל אחד מידידיו על מנת לבדוק מקום עבודה. היא ציינה בנוסף כי הנאשם עצר בקיוסק על מנת לרכוש סיגריות וקולה, שאלה האם גם היא רוצה סיגריות ולמרות שהשיבה בשלילה רכש עבורה סיגריות מסוג "פרלמנט ארוך" . </w:t>
      </w:r>
    </w:p>
    <w:p w14:paraId="6B6C6656" w14:textId="77777777" w:rsidR="002C6C97" w:rsidRDefault="002C6C97">
      <w:pPr>
        <w:pStyle w:val="Header"/>
        <w:tabs>
          <w:tab w:val="left" w:pos="720"/>
        </w:tabs>
        <w:ind w:left="1080"/>
        <w:rPr>
          <w:rFonts w:hint="cs"/>
          <w:sz w:val="24"/>
          <w:rtl/>
        </w:rPr>
      </w:pPr>
    </w:p>
    <w:p w14:paraId="389EF38B" w14:textId="77777777" w:rsidR="002C6C97" w:rsidRDefault="002C6C97">
      <w:pPr>
        <w:pStyle w:val="Header"/>
        <w:tabs>
          <w:tab w:val="left" w:pos="720"/>
        </w:tabs>
        <w:ind w:left="1080"/>
        <w:rPr>
          <w:rFonts w:hint="cs"/>
          <w:sz w:val="24"/>
          <w:rtl/>
        </w:rPr>
      </w:pPr>
      <w:r>
        <w:rPr>
          <w:rFonts w:hint="cs"/>
          <w:sz w:val="24"/>
          <w:rtl/>
        </w:rPr>
        <w:t xml:space="preserve">היא הוסיפה ותיארה כי בגין עבודות שיפוצים נאלצו לנסוע בדרך ארוכה וכי במהלכה דיבר הנאשם בגנותו של אבי, ציין בפניה שדרוש לה בעל ממון  שיוכל לפרנס אותה, ביקש שתהיה פילגשו והציע לקחתה לבלות עימו בבית מלון. עוד תיארה כי הנאשם המשיך בנסיעה שלא לכיוון ביתה והיא ביקשה ממנו כי יעצור את המונית ויאפשר לה לרדת. הנאשם עמד על כך כי יסיעה ואולם החל בנסיעה לכיוון ביתה. </w:t>
      </w:r>
    </w:p>
    <w:p w14:paraId="44F1F08A" w14:textId="77777777" w:rsidR="002C6C97" w:rsidRDefault="002C6C97">
      <w:pPr>
        <w:pStyle w:val="Header"/>
        <w:tabs>
          <w:tab w:val="left" w:pos="720"/>
        </w:tabs>
        <w:ind w:left="1080"/>
        <w:rPr>
          <w:rFonts w:hint="cs"/>
          <w:sz w:val="24"/>
          <w:rtl/>
        </w:rPr>
      </w:pPr>
    </w:p>
    <w:p w14:paraId="10A5BE32" w14:textId="77777777" w:rsidR="002C6C97" w:rsidRDefault="002C6C97">
      <w:pPr>
        <w:pStyle w:val="Header"/>
        <w:tabs>
          <w:tab w:val="left" w:pos="720"/>
        </w:tabs>
        <w:ind w:left="1080"/>
        <w:rPr>
          <w:rFonts w:hint="cs"/>
          <w:sz w:val="24"/>
          <w:rtl/>
        </w:rPr>
      </w:pPr>
      <w:r>
        <w:rPr>
          <w:rFonts w:hint="cs"/>
          <w:sz w:val="24"/>
          <w:rtl/>
        </w:rPr>
        <w:lastRenderedPageBreak/>
        <w:t>המתלוננת פירטה כי תחילה ליטף הנאשם את רגלה ולאחר מכן המשיך ללטפה לכיוון איבר מינה. לדבריה דרשה ממנו כי יחדל ממעשיו והוא נענה לה והמשיך בנסיעה לכיוון ביתה . עוד תיארה כי בסמוך לביתה עצר את המונית וליטף את רגלה בשנית באזור הברך. כמו כן ביקש שתרשום את מס' הטלפון שלו על מנת שתוכל ליצור עימו קשר היה ותענה לדרישתו ומאחר וחששה מפניו עשתה כדברו. היא הוסיפה ותיארה כי לאחר מכן ניסה הנאשם לגעת בה והיא ניסתה לצאת מהרכב, ללא הצלחה. באותה העת אחז הנאשם בשיערה, משך אותה לכיוון פניו, נשק לה בכוח וניסה להחדיר את לשונו לפיה. כמו כן, נגע בחזה ומשך את חולצתה כלפי מטה. לאחר שרוענן זיכרונה נזכרה כי בעת שניסה לגעת בחזה שילבה את זרועותיה וחיבקה עצמה על מנת שלא לאפשר לו לעשות כן.</w:t>
      </w:r>
    </w:p>
    <w:p w14:paraId="417E3265" w14:textId="77777777" w:rsidR="002C6C97" w:rsidRDefault="002C6C97">
      <w:pPr>
        <w:pStyle w:val="Header"/>
        <w:tabs>
          <w:tab w:val="left" w:pos="720"/>
        </w:tabs>
        <w:ind w:left="1080"/>
        <w:rPr>
          <w:rFonts w:hint="cs"/>
          <w:sz w:val="24"/>
          <w:rtl/>
        </w:rPr>
      </w:pPr>
    </w:p>
    <w:p w14:paraId="2160294E" w14:textId="77777777" w:rsidR="002C6C97" w:rsidRDefault="002C6C97">
      <w:pPr>
        <w:pStyle w:val="Header"/>
        <w:tabs>
          <w:tab w:val="left" w:pos="720"/>
        </w:tabs>
        <w:ind w:left="1080"/>
        <w:rPr>
          <w:rFonts w:hint="cs"/>
          <w:b/>
          <w:bCs/>
          <w:sz w:val="24"/>
          <w:rtl/>
        </w:rPr>
      </w:pPr>
      <w:r>
        <w:rPr>
          <w:rFonts w:hint="cs"/>
          <w:sz w:val="24"/>
          <w:rtl/>
        </w:rPr>
        <w:t xml:space="preserve">ובלשונה: " </w:t>
      </w:r>
      <w:r>
        <w:rPr>
          <w:rFonts w:hint="cs"/>
          <w:b/>
          <w:bCs/>
          <w:sz w:val="24"/>
          <w:rtl/>
        </w:rPr>
        <w:t>לפני כן הוא ניסה לנשק אותי אז סובבתי את הפנים, הוא נישק אותי בלחי ואז הוא תפס אותי יותר חזק בשיער ונישק אותי בפה ...</w:t>
      </w:r>
      <w:r>
        <w:rPr>
          <w:rFonts w:hint="cs"/>
          <w:sz w:val="24"/>
          <w:rtl/>
        </w:rPr>
        <w:t xml:space="preserve"> </w:t>
      </w:r>
      <w:r>
        <w:rPr>
          <w:rFonts w:hint="cs"/>
          <w:b/>
          <w:bCs/>
          <w:sz w:val="24"/>
          <w:rtl/>
        </w:rPr>
        <w:t>בכוח ניסה להכניס את הלשון לתוך הפה שלי</w:t>
      </w:r>
      <w:r>
        <w:rPr>
          <w:rFonts w:hint="cs"/>
          <w:sz w:val="24"/>
          <w:rtl/>
        </w:rPr>
        <w:t>...</w:t>
      </w:r>
      <w:r>
        <w:rPr>
          <w:rFonts w:hint="cs"/>
          <w:b/>
          <w:bCs/>
          <w:sz w:val="24"/>
          <w:rtl/>
        </w:rPr>
        <w:t xml:space="preserve">היתה לי חולצה </w:t>
      </w:r>
      <w:r>
        <w:rPr>
          <w:b/>
          <w:bCs/>
          <w:sz w:val="24"/>
        </w:rPr>
        <w:t>V</w:t>
      </w:r>
      <w:r>
        <w:rPr>
          <w:rFonts w:hint="cs"/>
          <w:b/>
          <w:bCs/>
          <w:sz w:val="24"/>
          <w:rtl/>
        </w:rPr>
        <w:t xml:space="preserve"> ועם יד אחת הוא משך אותי בשיער ונישק אותי, ועם היד השניה הוא הכניס את היד שלו לתוך החולצה ועם היד שלו משך את החולצה למטה". </w:t>
      </w:r>
    </w:p>
    <w:p w14:paraId="011D5C4C" w14:textId="77777777" w:rsidR="002C6C97" w:rsidRDefault="002C6C97">
      <w:pPr>
        <w:pStyle w:val="Header"/>
        <w:tabs>
          <w:tab w:val="left" w:pos="720"/>
        </w:tabs>
        <w:ind w:left="1080"/>
        <w:rPr>
          <w:rFonts w:hint="cs"/>
          <w:b/>
          <w:bCs/>
          <w:sz w:val="24"/>
          <w:rtl/>
        </w:rPr>
      </w:pPr>
    </w:p>
    <w:p w14:paraId="5E6A839C" w14:textId="77777777" w:rsidR="002C6C97" w:rsidRDefault="002C6C97">
      <w:pPr>
        <w:pStyle w:val="Header"/>
        <w:tabs>
          <w:tab w:val="left" w:pos="720"/>
        </w:tabs>
        <w:ind w:left="1080"/>
        <w:rPr>
          <w:rFonts w:hint="cs"/>
          <w:sz w:val="24"/>
          <w:rtl/>
        </w:rPr>
      </w:pPr>
      <w:r>
        <w:rPr>
          <w:rFonts w:hint="cs"/>
          <w:sz w:val="24"/>
          <w:rtl/>
        </w:rPr>
        <w:t>בחקירתה הנגדית עמדה המתלוננת על גרסתה כי הנאשם החדיר את ידו מתחת לחזייתה ואחז בשדה. זאת אף לאחר שהוצג בפניה כי לא טענה כאמור בהודעתה הראשונה במשטרה אלא טענה כי לא עלה בידו להחדיר את ידו מתחת לחולצתה הגם שניסה מאחר והיכתה בו באמצעות תיקה.</w:t>
      </w:r>
    </w:p>
    <w:p w14:paraId="3747D3C3" w14:textId="77777777" w:rsidR="002C6C97" w:rsidRDefault="002C6C97">
      <w:pPr>
        <w:pStyle w:val="Header"/>
        <w:tabs>
          <w:tab w:val="left" w:pos="720"/>
        </w:tabs>
        <w:ind w:left="1080"/>
        <w:rPr>
          <w:rFonts w:hint="cs"/>
          <w:b/>
          <w:bCs/>
          <w:sz w:val="24"/>
          <w:rtl/>
        </w:rPr>
      </w:pPr>
    </w:p>
    <w:p w14:paraId="5993A7D8" w14:textId="77777777" w:rsidR="002C6C97" w:rsidRDefault="002C6C97">
      <w:pPr>
        <w:pStyle w:val="Header"/>
        <w:tabs>
          <w:tab w:val="left" w:pos="720"/>
        </w:tabs>
        <w:ind w:left="1080"/>
        <w:rPr>
          <w:rFonts w:hint="cs"/>
          <w:sz w:val="24"/>
          <w:rtl/>
        </w:rPr>
      </w:pPr>
      <w:r>
        <w:rPr>
          <w:rFonts w:hint="cs"/>
          <w:sz w:val="24"/>
          <w:rtl/>
        </w:rPr>
        <w:t xml:space="preserve">המתלוננת פירטה כי באותה העת  הרימה את תיקה מרצפת המונית, הדפה את הנאשם , פתחה את הדלת בכוח וברחה. </w:t>
      </w:r>
    </w:p>
    <w:p w14:paraId="109AF8AA" w14:textId="77777777" w:rsidR="002C6C97" w:rsidRDefault="002C6C97">
      <w:pPr>
        <w:pStyle w:val="Header"/>
        <w:tabs>
          <w:tab w:val="left" w:pos="720"/>
        </w:tabs>
        <w:ind w:left="1080"/>
        <w:rPr>
          <w:rFonts w:hint="cs"/>
          <w:b/>
          <w:bCs/>
          <w:sz w:val="24"/>
          <w:rtl/>
        </w:rPr>
      </w:pPr>
    </w:p>
    <w:p w14:paraId="24425A84" w14:textId="77777777" w:rsidR="002C6C97" w:rsidRDefault="002C6C97">
      <w:pPr>
        <w:pStyle w:val="Header"/>
        <w:tabs>
          <w:tab w:val="left" w:pos="720"/>
        </w:tabs>
        <w:ind w:left="1440" w:hanging="360"/>
        <w:rPr>
          <w:rFonts w:hint="cs"/>
          <w:sz w:val="24"/>
          <w:rtl/>
        </w:rPr>
      </w:pPr>
      <w:r>
        <w:rPr>
          <w:rFonts w:hint="cs"/>
          <w:sz w:val="24"/>
          <w:rtl/>
        </w:rPr>
        <w:t>לדברי המתלוננת לא ניתן היה להתקשר מהטלפון שלה ועל כן התקשרה בבוקר</w:t>
      </w:r>
    </w:p>
    <w:p w14:paraId="20973BBE" w14:textId="77777777" w:rsidR="002C6C97" w:rsidRDefault="002C6C97">
      <w:pPr>
        <w:pStyle w:val="Header"/>
        <w:tabs>
          <w:tab w:val="left" w:pos="720"/>
        </w:tabs>
        <w:ind w:left="1440" w:hanging="360"/>
        <w:rPr>
          <w:rFonts w:hint="cs"/>
          <w:sz w:val="24"/>
          <w:rtl/>
        </w:rPr>
      </w:pPr>
      <w:r>
        <w:rPr>
          <w:rFonts w:hint="cs"/>
          <w:sz w:val="24"/>
          <w:rtl/>
        </w:rPr>
        <w:t>המחרת לאבי, מטלפון של חברתה על מנת לספר לו את אשר אירע. עוד ציינה כי</w:t>
      </w:r>
    </w:p>
    <w:p w14:paraId="64DBADEE" w14:textId="77777777" w:rsidR="002C6C97" w:rsidRDefault="002C6C97">
      <w:pPr>
        <w:pStyle w:val="Header"/>
        <w:tabs>
          <w:tab w:val="left" w:pos="720"/>
        </w:tabs>
        <w:ind w:left="1440" w:hanging="360"/>
        <w:rPr>
          <w:rFonts w:hint="cs"/>
          <w:sz w:val="24"/>
          <w:rtl/>
        </w:rPr>
      </w:pPr>
      <w:r>
        <w:rPr>
          <w:rFonts w:hint="cs"/>
          <w:sz w:val="24"/>
          <w:rtl/>
        </w:rPr>
        <w:t xml:space="preserve">סיפרה את שארע לדליה וזו התקשרה באופן מיידי לנאשם אשר אמר לה: </w:t>
      </w:r>
    </w:p>
    <w:p w14:paraId="5AAC6F5B" w14:textId="77777777" w:rsidR="002C6C97" w:rsidRDefault="002C6C97">
      <w:pPr>
        <w:pStyle w:val="Header"/>
        <w:tabs>
          <w:tab w:val="left" w:pos="720"/>
        </w:tabs>
        <w:ind w:left="1440" w:hanging="360"/>
        <w:rPr>
          <w:rFonts w:hint="cs"/>
          <w:b/>
          <w:bCs/>
          <w:sz w:val="24"/>
          <w:rtl/>
        </w:rPr>
      </w:pPr>
      <w:r>
        <w:rPr>
          <w:rFonts w:hint="cs"/>
          <w:b/>
          <w:bCs/>
          <w:sz w:val="24"/>
          <w:rtl/>
        </w:rPr>
        <w:t>"תשמעי כל הרוסיות זונות ורציתי סך הכול לבדוק אם האחיין שלי לא יוצא עם</w:t>
      </w:r>
    </w:p>
    <w:p w14:paraId="2438E57B" w14:textId="77777777" w:rsidR="002C6C97" w:rsidRDefault="002C6C97">
      <w:pPr>
        <w:pStyle w:val="Header"/>
        <w:tabs>
          <w:tab w:val="left" w:pos="720"/>
        </w:tabs>
        <w:ind w:left="1440" w:hanging="360"/>
        <w:rPr>
          <w:rFonts w:hint="cs"/>
          <w:sz w:val="24"/>
          <w:rtl/>
        </w:rPr>
      </w:pPr>
      <w:r>
        <w:rPr>
          <w:rFonts w:hint="cs"/>
          <w:b/>
          <w:bCs/>
          <w:sz w:val="24"/>
          <w:rtl/>
        </w:rPr>
        <w:t>אחת כזו</w:t>
      </w:r>
      <w:r>
        <w:rPr>
          <w:rFonts w:hint="cs"/>
          <w:sz w:val="24"/>
          <w:rtl/>
        </w:rPr>
        <w:t>".</w:t>
      </w:r>
    </w:p>
    <w:p w14:paraId="35C856FB" w14:textId="77777777" w:rsidR="002C6C97" w:rsidRDefault="002C6C97">
      <w:pPr>
        <w:pStyle w:val="Header"/>
        <w:tabs>
          <w:tab w:val="left" w:pos="720"/>
        </w:tabs>
        <w:ind w:left="1440" w:hanging="360"/>
        <w:rPr>
          <w:rFonts w:hint="cs"/>
          <w:sz w:val="24"/>
          <w:rtl/>
        </w:rPr>
      </w:pPr>
    </w:p>
    <w:p w14:paraId="61BDB6F8" w14:textId="77777777" w:rsidR="002C6C97" w:rsidRDefault="002C6C97">
      <w:pPr>
        <w:pStyle w:val="Header"/>
        <w:numPr>
          <w:ilvl w:val="0"/>
          <w:numId w:val="2"/>
        </w:numPr>
        <w:ind w:right="0"/>
        <w:rPr>
          <w:rFonts w:hint="cs"/>
          <w:sz w:val="24"/>
          <w:rtl/>
        </w:rPr>
      </w:pPr>
      <w:r>
        <w:rPr>
          <w:rFonts w:hint="cs"/>
          <w:sz w:val="24"/>
          <w:u w:val="single"/>
          <w:rtl/>
        </w:rPr>
        <w:t xml:space="preserve">עדותו של אבי </w:t>
      </w:r>
    </w:p>
    <w:p w14:paraId="4621357D" w14:textId="77777777" w:rsidR="002C6C97" w:rsidRDefault="002C6C97">
      <w:pPr>
        <w:pStyle w:val="Header"/>
        <w:tabs>
          <w:tab w:val="left" w:pos="720"/>
        </w:tabs>
        <w:ind w:left="360"/>
        <w:rPr>
          <w:rFonts w:hint="cs"/>
          <w:sz w:val="24"/>
          <w:rtl/>
        </w:rPr>
      </w:pPr>
      <w:r>
        <w:rPr>
          <w:rFonts w:hint="cs"/>
          <w:sz w:val="24"/>
          <w:u w:val="single"/>
          <w:rtl/>
        </w:rPr>
        <w:t xml:space="preserve"> </w:t>
      </w:r>
    </w:p>
    <w:p w14:paraId="030DDDBF" w14:textId="77777777" w:rsidR="002C6C97" w:rsidRDefault="002C6C97">
      <w:pPr>
        <w:pStyle w:val="Header"/>
        <w:tabs>
          <w:tab w:val="left" w:pos="720"/>
        </w:tabs>
        <w:ind w:left="1080"/>
        <w:rPr>
          <w:rFonts w:hint="cs"/>
          <w:sz w:val="24"/>
          <w:rtl/>
        </w:rPr>
      </w:pPr>
      <w:r>
        <w:rPr>
          <w:rFonts w:hint="cs"/>
          <w:sz w:val="24"/>
          <w:rtl/>
        </w:rPr>
        <w:t xml:space="preserve">אבי תיאר אף הוא כי הנאשם הציע למתלוננת להסיעה במוניתו. כמו כן כי בבוקר </w:t>
      </w:r>
    </w:p>
    <w:p w14:paraId="460099FD" w14:textId="77777777" w:rsidR="002C6C97" w:rsidRDefault="002C6C97">
      <w:pPr>
        <w:pStyle w:val="Header"/>
        <w:tabs>
          <w:tab w:val="left" w:pos="720"/>
        </w:tabs>
        <w:ind w:left="1080"/>
        <w:rPr>
          <w:rFonts w:hint="cs"/>
          <w:sz w:val="24"/>
          <w:rtl/>
        </w:rPr>
      </w:pPr>
      <w:r>
        <w:rPr>
          <w:rFonts w:hint="cs"/>
          <w:sz w:val="24"/>
          <w:rtl/>
        </w:rPr>
        <w:t xml:space="preserve">המחרת בשעה 07:00 התקשרה אליו המתלוננת מטלפון של חברתה ויקי וסיפרה לו כי הנאשם ביצע בה מעשים מגונים. הוא פירט כי המתלוננת ציינה בפניו שהנאשם נגע בחזה ובירכה , אחז בראשה ונשק לה בכוח. כמו כן כי הציע לה שתהיה פילגשו וניסה לארגן בעבורה מקום עבודה. </w:t>
      </w:r>
    </w:p>
    <w:p w14:paraId="20206232" w14:textId="77777777" w:rsidR="002C6C97" w:rsidRDefault="002C6C97">
      <w:pPr>
        <w:pStyle w:val="Header"/>
        <w:tabs>
          <w:tab w:val="left" w:pos="720"/>
        </w:tabs>
        <w:ind w:left="1080"/>
        <w:rPr>
          <w:rFonts w:hint="cs"/>
          <w:sz w:val="24"/>
          <w:rtl/>
        </w:rPr>
      </w:pPr>
    </w:p>
    <w:p w14:paraId="1563D622" w14:textId="77777777" w:rsidR="002C6C97" w:rsidRDefault="002C6C97">
      <w:pPr>
        <w:pStyle w:val="Header"/>
        <w:tabs>
          <w:tab w:val="left" w:pos="720"/>
        </w:tabs>
        <w:ind w:left="1080"/>
        <w:rPr>
          <w:rFonts w:hint="cs"/>
          <w:sz w:val="24"/>
          <w:rtl/>
        </w:rPr>
      </w:pPr>
      <w:r>
        <w:rPr>
          <w:rFonts w:hint="cs"/>
          <w:sz w:val="24"/>
          <w:rtl/>
        </w:rPr>
        <w:t>לאחר שרוענן זכרונו ציין שהמתלוננת סיפרה לו שאחז בראשה והורידו לכיוון איבר מינו.</w:t>
      </w:r>
    </w:p>
    <w:p w14:paraId="321A9225" w14:textId="77777777" w:rsidR="002C6C97" w:rsidRDefault="002C6C97">
      <w:pPr>
        <w:pStyle w:val="Header"/>
        <w:tabs>
          <w:tab w:val="left" w:pos="720"/>
        </w:tabs>
        <w:ind w:left="1080"/>
        <w:rPr>
          <w:rFonts w:hint="cs"/>
          <w:sz w:val="24"/>
          <w:rtl/>
        </w:rPr>
      </w:pPr>
    </w:p>
    <w:p w14:paraId="40656D55" w14:textId="77777777" w:rsidR="002C6C97" w:rsidRDefault="002C6C97">
      <w:pPr>
        <w:pStyle w:val="Header"/>
        <w:tabs>
          <w:tab w:val="left" w:pos="720"/>
        </w:tabs>
        <w:ind w:left="1080"/>
        <w:rPr>
          <w:rFonts w:hint="cs"/>
          <w:sz w:val="24"/>
          <w:rtl/>
        </w:rPr>
      </w:pPr>
      <w:r>
        <w:rPr>
          <w:rFonts w:hint="cs"/>
          <w:sz w:val="24"/>
          <w:rtl/>
        </w:rPr>
        <w:t xml:space="preserve">אבי ציין כי בעת שהמתלוננת התקשרה אליו היתה שרויה בפחד, בחרדה ובכתה . </w:t>
      </w:r>
    </w:p>
    <w:p w14:paraId="0E203232" w14:textId="77777777" w:rsidR="002C6C97" w:rsidRDefault="002C6C97">
      <w:pPr>
        <w:pStyle w:val="Header"/>
        <w:tabs>
          <w:tab w:val="left" w:pos="720"/>
        </w:tabs>
        <w:ind w:left="360"/>
        <w:rPr>
          <w:rFonts w:hint="cs"/>
          <w:sz w:val="24"/>
          <w:u w:val="single"/>
          <w:rtl/>
        </w:rPr>
      </w:pPr>
    </w:p>
    <w:p w14:paraId="04325340" w14:textId="77777777" w:rsidR="002C6C97" w:rsidRDefault="002C6C97">
      <w:pPr>
        <w:pStyle w:val="Header"/>
        <w:numPr>
          <w:ilvl w:val="0"/>
          <w:numId w:val="2"/>
        </w:numPr>
        <w:ind w:right="0"/>
        <w:rPr>
          <w:rFonts w:hint="cs"/>
          <w:sz w:val="24"/>
          <w:rtl/>
        </w:rPr>
      </w:pPr>
      <w:r>
        <w:rPr>
          <w:rFonts w:hint="cs"/>
          <w:sz w:val="24"/>
          <w:u w:val="single"/>
          <w:rtl/>
        </w:rPr>
        <w:t xml:space="preserve">עדותה של דליה </w:t>
      </w:r>
    </w:p>
    <w:p w14:paraId="19B082BD" w14:textId="77777777" w:rsidR="002C6C97" w:rsidRDefault="002C6C97">
      <w:pPr>
        <w:pStyle w:val="Header"/>
        <w:tabs>
          <w:tab w:val="left" w:pos="720"/>
        </w:tabs>
        <w:ind w:left="360"/>
        <w:rPr>
          <w:rFonts w:hint="cs"/>
          <w:sz w:val="24"/>
          <w:rtl/>
        </w:rPr>
      </w:pPr>
    </w:p>
    <w:p w14:paraId="239440E3" w14:textId="77777777" w:rsidR="002C6C97" w:rsidRDefault="002C6C97">
      <w:pPr>
        <w:pStyle w:val="Header"/>
        <w:tabs>
          <w:tab w:val="left" w:pos="720"/>
        </w:tabs>
        <w:ind w:left="1080"/>
        <w:rPr>
          <w:rFonts w:hint="cs"/>
          <w:b/>
          <w:bCs/>
          <w:sz w:val="24"/>
          <w:rtl/>
        </w:rPr>
      </w:pPr>
      <w:r>
        <w:rPr>
          <w:rFonts w:hint="cs"/>
          <w:sz w:val="24"/>
          <w:rtl/>
        </w:rPr>
        <w:t>דליה סיפרה כי ביום האירוע הגיע הנאשם לבקרה</w:t>
      </w:r>
      <w:r>
        <w:rPr>
          <w:rFonts w:hint="cs"/>
          <w:b/>
          <w:bCs/>
          <w:sz w:val="24"/>
          <w:rtl/>
        </w:rPr>
        <w:t xml:space="preserve"> </w:t>
      </w:r>
      <w:r>
        <w:rPr>
          <w:rFonts w:hint="cs"/>
          <w:sz w:val="24"/>
          <w:rtl/>
        </w:rPr>
        <w:t>ובאותה העת ישבו אבי והמתלוננת בחוץ. למחרת היום התקשרה אליה המתלוננת כשהיא בוכיה וסיפרה לה כי הנאשם "התעסק" איתה. לדברי דליה ביקשה להיפגש עם המתלוננת על מנת לשוחח עימה פנים מול פנים ואכן נפגשו לאחר מכן.</w:t>
      </w:r>
    </w:p>
    <w:p w14:paraId="098A0F19" w14:textId="77777777" w:rsidR="002C6C97" w:rsidRDefault="002C6C97">
      <w:pPr>
        <w:pStyle w:val="Header"/>
        <w:tabs>
          <w:tab w:val="left" w:pos="720"/>
        </w:tabs>
        <w:ind w:left="360"/>
        <w:rPr>
          <w:rFonts w:hint="cs"/>
          <w:sz w:val="24"/>
          <w:rtl/>
        </w:rPr>
      </w:pPr>
    </w:p>
    <w:p w14:paraId="1071E244" w14:textId="77777777" w:rsidR="002C6C97" w:rsidRDefault="002C6C97">
      <w:pPr>
        <w:pStyle w:val="Header"/>
        <w:tabs>
          <w:tab w:val="left" w:pos="720"/>
        </w:tabs>
        <w:ind w:left="1080"/>
        <w:rPr>
          <w:rFonts w:hint="cs"/>
          <w:sz w:val="24"/>
          <w:rtl/>
        </w:rPr>
      </w:pPr>
      <w:r>
        <w:rPr>
          <w:rFonts w:hint="cs"/>
          <w:sz w:val="24"/>
          <w:rtl/>
        </w:rPr>
        <w:t xml:space="preserve">דליה ציינה כי המתלוננת סיפרה לה שהנאשם ביקש ממנה כי תהיה פילגשו, נגע בשוק רגלה ואחז בראשה-בעורפה ונשק על פיה. </w:t>
      </w:r>
    </w:p>
    <w:p w14:paraId="7C01F64F" w14:textId="77777777" w:rsidR="002C6C97" w:rsidRDefault="002C6C97">
      <w:pPr>
        <w:pStyle w:val="Header"/>
        <w:tabs>
          <w:tab w:val="left" w:pos="720"/>
        </w:tabs>
        <w:ind w:left="1080"/>
        <w:rPr>
          <w:rFonts w:hint="cs"/>
          <w:sz w:val="24"/>
          <w:rtl/>
        </w:rPr>
      </w:pPr>
    </w:p>
    <w:p w14:paraId="725329F6" w14:textId="77777777" w:rsidR="002C6C97" w:rsidRDefault="002C6C97">
      <w:pPr>
        <w:pStyle w:val="Header"/>
        <w:tabs>
          <w:tab w:val="left" w:pos="720"/>
        </w:tabs>
        <w:ind w:left="1080"/>
        <w:rPr>
          <w:rFonts w:hint="cs"/>
          <w:sz w:val="24"/>
          <w:rtl/>
        </w:rPr>
      </w:pPr>
      <w:r>
        <w:rPr>
          <w:rFonts w:hint="cs"/>
          <w:sz w:val="24"/>
          <w:rtl/>
        </w:rPr>
        <w:t>דליה ציינה בנוסף כי מיד לאחר מכן התקשרה אל הנאשם לברר עמו במה דברים אמורים. בחקירה ראשית העידה כי הנאשם שלל כל מעשה וטען כי המתלוננת משקרת.לאחר שרוענן זיכרונה ציינה כי הנאשם אמר לה שהוא מוכן להתנצל בפני המתלוננת וכי לא היתה לו כל כוונה לפגוע בה. בחקירה הנגדית העידה כי הנאשם אמר שלא הייתה לו כוונה לפגוע במתלוננת וכי ביקש לבדוק אם היא נאמנה לבנה.</w:t>
      </w:r>
    </w:p>
    <w:p w14:paraId="7B7DA68B" w14:textId="77777777" w:rsidR="002C6C97" w:rsidRDefault="002C6C97">
      <w:pPr>
        <w:pStyle w:val="Header"/>
        <w:tabs>
          <w:tab w:val="left" w:pos="720"/>
        </w:tabs>
        <w:ind w:left="1080"/>
        <w:rPr>
          <w:rFonts w:hint="cs"/>
          <w:sz w:val="24"/>
          <w:rtl/>
        </w:rPr>
      </w:pPr>
    </w:p>
    <w:p w14:paraId="1E6B1D28" w14:textId="77777777" w:rsidR="002C6C97" w:rsidRDefault="002C6C97">
      <w:pPr>
        <w:pStyle w:val="Header"/>
        <w:tabs>
          <w:tab w:val="left" w:pos="720"/>
        </w:tabs>
        <w:rPr>
          <w:rFonts w:hint="cs"/>
          <w:b/>
          <w:bCs/>
          <w:sz w:val="24"/>
          <w:u w:val="single"/>
          <w:rtl/>
        </w:rPr>
      </w:pPr>
      <w:r>
        <w:rPr>
          <w:rFonts w:hint="cs"/>
          <w:b/>
          <w:bCs/>
          <w:sz w:val="24"/>
          <w:u w:val="single"/>
          <w:rtl/>
        </w:rPr>
        <w:t>ראיות ההגנה</w:t>
      </w:r>
    </w:p>
    <w:p w14:paraId="0E4A4859" w14:textId="77777777" w:rsidR="002C6C97" w:rsidRDefault="002C6C97">
      <w:pPr>
        <w:pStyle w:val="Header"/>
        <w:tabs>
          <w:tab w:val="left" w:pos="720"/>
        </w:tabs>
        <w:rPr>
          <w:rFonts w:hint="cs"/>
          <w:b/>
          <w:bCs/>
          <w:sz w:val="24"/>
          <w:u w:val="single"/>
          <w:rtl/>
        </w:rPr>
      </w:pPr>
    </w:p>
    <w:p w14:paraId="52C63661" w14:textId="77777777" w:rsidR="002C6C97" w:rsidRDefault="002C6C97">
      <w:pPr>
        <w:pStyle w:val="Header"/>
        <w:numPr>
          <w:ilvl w:val="0"/>
          <w:numId w:val="2"/>
        </w:numPr>
        <w:ind w:right="0"/>
        <w:rPr>
          <w:rFonts w:hint="cs"/>
          <w:sz w:val="24"/>
          <w:rtl/>
        </w:rPr>
      </w:pPr>
      <w:r>
        <w:rPr>
          <w:rFonts w:hint="cs"/>
          <w:sz w:val="24"/>
          <w:u w:val="single"/>
          <w:rtl/>
        </w:rPr>
        <w:t xml:space="preserve">עדות הנאשם </w:t>
      </w:r>
    </w:p>
    <w:p w14:paraId="1920FBFC" w14:textId="77777777" w:rsidR="002C6C97" w:rsidRDefault="002C6C97">
      <w:pPr>
        <w:pStyle w:val="Header"/>
        <w:tabs>
          <w:tab w:val="left" w:pos="720"/>
        </w:tabs>
        <w:ind w:left="360"/>
        <w:rPr>
          <w:rFonts w:hint="cs"/>
          <w:sz w:val="24"/>
          <w:rtl/>
        </w:rPr>
      </w:pPr>
    </w:p>
    <w:p w14:paraId="216FB6BC" w14:textId="77777777" w:rsidR="002C6C97" w:rsidRDefault="002C6C97">
      <w:pPr>
        <w:pStyle w:val="Header"/>
        <w:tabs>
          <w:tab w:val="left" w:pos="720"/>
        </w:tabs>
        <w:ind w:left="1080"/>
        <w:rPr>
          <w:rFonts w:hint="cs"/>
          <w:sz w:val="24"/>
          <w:rtl/>
        </w:rPr>
      </w:pPr>
      <w:r>
        <w:rPr>
          <w:rFonts w:hint="cs"/>
          <w:sz w:val="24"/>
          <w:rtl/>
        </w:rPr>
        <w:t xml:space="preserve">הנאשם תיאר כי יצא מבית הוריו, הגרים בקרבת ביתה של דליה. בדרכו פגש באבי אשר שאלו האם הוא מוכן להסיע את המתלוננת לביתה ונענה לבקשה. לדבריו, המתלוננת פתחה את הדלת האחורית של המונית והתיישבה מאחור. לאחר שהחל בנסיעה לכיוון ביתה ביקשה שיעצור בדרך על מנת שתקנה סיגריות. הנאשם ציין כי ביקש מהמתלוננת שתקנה סיגריות גם בעבורו ובקבוק קולה והמתלוננת נענתה לבקשה. לטענתו לאחר מכן הורידה בביתה ונפרד ממנה לשלום. </w:t>
      </w:r>
    </w:p>
    <w:p w14:paraId="55C20903" w14:textId="77777777" w:rsidR="002C6C97" w:rsidRDefault="002C6C97">
      <w:pPr>
        <w:pStyle w:val="Header"/>
        <w:tabs>
          <w:tab w:val="left" w:pos="720"/>
        </w:tabs>
        <w:ind w:left="1080"/>
        <w:rPr>
          <w:rFonts w:hint="cs"/>
          <w:sz w:val="24"/>
          <w:rtl/>
        </w:rPr>
      </w:pPr>
    </w:p>
    <w:p w14:paraId="0FE09335" w14:textId="77777777" w:rsidR="002C6C97" w:rsidRDefault="002C6C97">
      <w:pPr>
        <w:pStyle w:val="Header"/>
        <w:tabs>
          <w:tab w:val="left" w:pos="720"/>
        </w:tabs>
        <w:ind w:left="720" w:firstLine="360"/>
        <w:rPr>
          <w:rFonts w:hint="cs"/>
          <w:sz w:val="24"/>
          <w:rtl/>
        </w:rPr>
      </w:pPr>
      <w:r>
        <w:rPr>
          <w:rFonts w:hint="cs"/>
          <w:sz w:val="24"/>
          <w:rtl/>
        </w:rPr>
        <w:t>לטענת הנאשם העלילה עליו המתלוננת בשל דליה, אשר מבקשת להיות עימו</w:t>
      </w:r>
    </w:p>
    <w:p w14:paraId="357C06EF" w14:textId="77777777" w:rsidR="002C6C97" w:rsidRDefault="002C6C97">
      <w:pPr>
        <w:pStyle w:val="Header"/>
        <w:tabs>
          <w:tab w:val="left" w:pos="720"/>
        </w:tabs>
        <w:ind w:left="720" w:firstLine="360"/>
        <w:rPr>
          <w:rFonts w:hint="cs"/>
          <w:b/>
          <w:bCs/>
          <w:sz w:val="24"/>
          <w:u w:val="single"/>
          <w:rtl/>
        </w:rPr>
      </w:pPr>
      <w:r>
        <w:rPr>
          <w:rFonts w:hint="cs"/>
          <w:sz w:val="24"/>
          <w:rtl/>
        </w:rPr>
        <w:t>בקשרים הדוקים ונוהגת באובססיבית כלפיו.</w:t>
      </w:r>
    </w:p>
    <w:p w14:paraId="7222DEE1" w14:textId="77777777" w:rsidR="002C6C97" w:rsidRDefault="002C6C97">
      <w:pPr>
        <w:pStyle w:val="Header"/>
        <w:tabs>
          <w:tab w:val="left" w:pos="720"/>
        </w:tabs>
        <w:rPr>
          <w:rFonts w:hint="cs"/>
          <w:b/>
          <w:bCs/>
          <w:sz w:val="24"/>
          <w:u w:val="single"/>
          <w:rtl/>
        </w:rPr>
      </w:pPr>
    </w:p>
    <w:p w14:paraId="3ECD58B2" w14:textId="77777777" w:rsidR="002C6C97" w:rsidRDefault="002C6C97">
      <w:pPr>
        <w:pStyle w:val="Header"/>
        <w:tabs>
          <w:tab w:val="left" w:pos="720"/>
        </w:tabs>
        <w:rPr>
          <w:rFonts w:hint="cs"/>
          <w:b/>
          <w:bCs/>
          <w:sz w:val="24"/>
          <w:u w:val="single"/>
          <w:rtl/>
        </w:rPr>
      </w:pPr>
      <w:r>
        <w:rPr>
          <w:rFonts w:hint="cs"/>
          <w:b/>
          <w:bCs/>
          <w:sz w:val="24"/>
          <w:u w:val="single"/>
          <w:rtl/>
        </w:rPr>
        <w:t>דיון</w:t>
      </w:r>
    </w:p>
    <w:p w14:paraId="66D08159" w14:textId="77777777" w:rsidR="002C6C97" w:rsidRDefault="002C6C97">
      <w:pPr>
        <w:pStyle w:val="Header"/>
        <w:tabs>
          <w:tab w:val="left" w:pos="720"/>
        </w:tabs>
        <w:rPr>
          <w:rFonts w:hint="cs"/>
          <w:b/>
          <w:bCs/>
          <w:sz w:val="24"/>
          <w:u w:val="single"/>
          <w:rtl/>
        </w:rPr>
      </w:pPr>
    </w:p>
    <w:p w14:paraId="67FF279E" w14:textId="77777777" w:rsidR="002C6C97" w:rsidRDefault="002C6C97">
      <w:pPr>
        <w:pStyle w:val="Header"/>
        <w:numPr>
          <w:ilvl w:val="0"/>
          <w:numId w:val="2"/>
        </w:numPr>
        <w:ind w:right="0"/>
        <w:rPr>
          <w:rFonts w:hint="cs"/>
          <w:sz w:val="24"/>
          <w:rtl/>
        </w:rPr>
      </w:pPr>
      <w:r>
        <w:rPr>
          <w:rFonts w:hint="cs"/>
          <w:sz w:val="24"/>
          <w:rtl/>
        </w:rPr>
        <w:t xml:space="preserve">באשר לנסיבות האירוע גופו בפני בית המשפט גרסתה של המתלוננת , המהווה בסיס להוכחת עובדות כתב האישום אל מול גרסתו של הנאשם הכופרת מכל וכל בעובדות אלה. </w:t>
      </w:r>
    </w:p>
    <w:p w14:paraId="429FD501" w14:textId="77777777" w:rsidR="002C6C97" w:rsidRDefault="002C6C97">
      <w:pPr>
        <w:pStyle w:val="Header"/>
        <w:tabs>
          <w:tab w:val="left" w:pos="720"/>
        </w:tabs>
        <w:ind w:left="360"/>
        <w:rPr>
          <w:rFonts w:hint="cs"/>
          <w:sz w:val="24"/>
          <w:rtl/>
        </w:rPr>
      </w:pPr>
    </w:p>
    <w:p w14:paraId="08BB63D4" w14:textId="77777777" w:rsidR="002C6C97" w:rsidRDefault="002C6C97">
      <w:pPr>
        <w:pStyle w:val="Header"/>
        <w:tabs>
          <w:tab w:val="left" w:pos="720"/>
        </w:tabs>
        <w:ind w:left="1080"/>
        <w:rPr>
          <w:rFonts w:hint="cs"/>
          <w:sz w:val="24"/>
          <w:rtl/>
        </w:rPr>
      </w:pPr>
      <w:r>
        <w:rPr>
          <w:rFonts w:hint="cs"/>
          <w:sz w:val="24"/>
          <w:rtl/>
        </w:rPr>
        <w:t>לאחר שבחנתי את סך כל הראיות שהובאו בפני ולאור התרשמותי מהעדים ומאופן העדתם העדפתי בלא היסוס את גרסת מתלוננת על פני גרסת הנאשם. עובדת היות עדות המתלוננת עדות יחידה היתה לנגד עיני. ואולם לאחר שבחנתי אותה בקפידה ראויה מצאתי מקום לאמצה וליתן לה את מלוא משקלה, כפי שיפורט להלן.</w:t>
      </w:r>
    </w:p>
    <w:p w14:paraId="17F1750A" w14:textId="77777777" w:rsidR="002C6C97" w:rsidRDefault="002C6C97">
      <w:pPr>
        <w:pStyle w:val="Header"/>
        <w:tabs>
          <w:tab w:val="left" w:pos="720"/>
        </w:tabs>
        <w:ind w:left="1080"/>
        <w:rPr>
          <w:rFonts w:hint="cs"/>
          <w:sz w:val="24"/>
          <w:rtl/>
        </w:rPr>
      </w:pPr>
    </w:p>
    <w:p w14:paraId="2523BCE1" w14:textId="77777777" w:rsidR="002C6C97" w:rsidRDefault="002C6C97">
      <w:pPr>
        <w:pStyle w:val="Header"/>
        <w:tabs>
          <w:tab w:val="left" w:pos="720"/>
        </w:tabs>
        <w:ind w:left="1080"/>
        <w:rPr>
          <w:rFonts w:hint="cs"/>
          <w:rtl/>
        </w:rPr>
      </w:pPr>
      <w:r>
        <w:rPr>
          <w:rFonts w:hint="cs"/>
          <w:rtl/>
        </w:rPr>
        <w:t xml:space="preserve">באשר לבחינת מהימנות עדות המתלוננת , יפים דברי בית המשפט </w:t>
      </w:r>
      <w:hyperlink r:id="rId24" w:history="1">
        <w:r w:rsidR="00B173BA" w:rsidRPr="00B173BA">
          <w:rPr>
            <w:rStyle w:val="Hyperlink"/>
            <w:rFonts w:hint="eastAsia"/>
            <w:rtl/>
          </w:rPr>
          <w:t>בע</w:t>
        </w:r>
        <w:r w:rsidR="00B173BA" w:rsidRPr="00B173BA">
          <w:rPr>
            <w:rStyle w:val="Hyperlink"/>
            <w:rtl/>
          </w:rPr>
          <w:t>"פ 993/00</w:t>
        </w:r>
      </w:hyperlink>
      <w:r>
        <w:rPr>
          <w:rFonts w:hint="cs"/>
          <w:rtl/>
        </w:rPr>
        <w:t xml:space="preserve"> נור נ' מ"י נ"ו (6), 205, 232:</w:t>
      </w:r>
    </w:p>
    <w:p w14:paraId="6711B8B6" w14:textId="77777777" w:rsidR="002C6C97" w:rsidRDefault="002C6C97">
      <w:pPr>
        <w:pStyle w:val="Header"/>
        <w:tabs>
          <w:tab w:val="left" w:pos="720"/>
        </w:tabs>
        <w:ind w:left="1080"/>
        <w:rPr>
          <w:rFonts w:hint="cs"/>
          <w:sz w:val="24"/>
          <w:rtl/>
        </w:rPr>
      </w:pPr>
    </w:p>
    <w:p w14:paraId="2DE80811" w14:textId="77777777" w:rsidR="002C6C97" w:rsidRDefault="002C6C97">
      <w:pPr>
        <w:pStyle w:val="Header"/>
        <w:tabs>
          <w:tab w:val="left" w:pos="720"/>
        </w:tabs>
        <w:ind w:left="1080"/>
        <w:rPr>
          <w:rFonts w:hint="cs"/>
          <w:b/>
          <w:bCs/>
          <w:sz w:val="24"/>
          <w:rtl/>
        </w:rPr>
      </w:pPr>
      <w:r>
        <w:rPr>
          <w:rFonts w:hint="cs"/>
          <w:b/>
          <w:bCs/>
          <w:rtl/>
        </w:rPr>
        <w:t xml:space="preserve">"אין לצפות מאדם כי יזכור פרטי ארוע טראומטי כאילו תיעד אותו בזמן אמת , בייחוד כאשר מדובר בקורבן לעבירת מין. לפיכך השאלה איננה האם קיימים אי דיוקים ואי התאמות בפרטים אלא אם המקשה כולה היא אמינה , ואם הגרעין הקשה של הארועים והתמונה הכוללת המתקבלת מן העדות והחיזוקים לה מאפשרים מסקנה בדבר אשמת הנאשם מעבר לכל ספק סביר."  </w:t>
      </w:r>
    </w:p>
    <w:p w14:paraId="398A47DF" w14:textId="77777777" w:rsidR="002C6C97" w:rsidRDefault="002C6C97">
      <w:pPr>
        <w:pStyle w:val="Header"/>
        <w:tabs>
          <w:tab w:val="left" w:pos="720"/>
        </w:tabs>
        <w:rPr>
          <w:rFonts w:hint="cs"/>
          <w:sz w:val="24"/>
          <w:rtl/>
        </w:rPr>
      </w:pPr>
    </w:p>
    <w:p w14:paraId="08F40BBC" w14:textId="77777777" w:rsidR="002C6C97" w:rsidRDefault="002C6C97">
      <w:pPr>
        <w:pStyle w:val="Header"/>
        <w:numPr>
          <w:ilvl w:val="0"/>
          <w:numId w:val="2"/>
        </w:numPr>
        <w:ind w:right="0"/>
        <w:rPr>
          <w:rFonts w:hint="cs"/>
          <w:sz w:val="24"/>
          <w:rtl/>
        </w:rPr>
      </w:pPr>
      <w:r>
        <w:rPr>
          <w:rFonts w:hint="cs"/>
          <w:sz w:val="24"/>
          <w:rtl/>
        </w:rPr>
        <w:t xml:space="preserve">המתלוננת , נערה צעירה , עולה חדשה ממדינות חבר העמים, היתה בעת הרלוונטית תלמידת תיכון , בכיתה י"ב וחברתו של אבי, אחיינו של הנאשם. </w:t>
      </w:r>
    </w:p>
    <w:p w14:paraId="1572D6FC" w14:textId="77777777" w:rsidR="002C6C97" w:rsidRDefault="002C6C97">
      <w:pPr>
        <w:pStyle w:val="Header"/>
        <w:tabs>
          <w:tab w:val="left" w:pos="720"/>
        </w:tabs>
        <w:ind w:left="360"/>
        <w:rPr>
          <w:rFonts w:hint="cs"/>
          <w:sz w:val="24"/>
          <w:rtl/>
        </w:rPr>
      </w:pPr>
    </w:p>
    <w:p w14:paraId="71AE310C" w14:textId="77777777" w:rsidR="002C6C97" w:rsidRDefault="002C6C97">
      <w:pPr>
        <w:pStyle w:val="Header"/>
        <w:tabs>
          <w:tab w:val="left" w:pos="720"/>
        </w:tabs>
        <w:ind w:left="1080"/>
        <w:rPr>
          <w:rFonts w:hint="cs"/>
          <w:sz w:val="24"/>
          <w:rtl/>
        </w:rPr>
      </w:pPr>
      <w:r>
        <w:rPr>
          <w:rFonts w:hint="cs"/>
          <w:sz w:val="24"/>
          <w:rtl/>
        </w:rPr>
        <w:t>בחינת על של כלל עדותה ציירה תמונה מהימנה של מהלך האירוע ונסיבותיו.  התרשמתי כי עשתה כל שאל ידה על מנת לתארו כפי שהתרחש כהווייתו ולא להעצימו, כפי שבא לידי ביטוי, דרך משל בעדותה באשר לכך כי תחילה נעתר הנאשם לבקשתה, חדל לגעת ברגלה והמשיך בנסיעה.</w:t>
      </w:r>
    </w:p>
    <w:p w14:paraId="429C9FB5" w14:textId="77777777" w:rsidR="002C6C97" w:rsidRDefault="002C6C97">
      <w:pPr>
        <w:pStyle w:val="Header"/>
        <w:tabs>
          <w:tab w:val="left" w:pos="720"/>
        </w:tabs>
        <w:ind w:left="1080"/>
        <w:rPr>
          <w:rFonts w:hint="cs"/>
          <w:sz w:val="24"/>
          <w:rtl/>
        </w:rPr>
      </w:pPr>
    </w:p>
    <w:p w14:paraId="0DA7B075" w14:textId="77777777" w:rsidR="002C6C97" w:rsidRDefault="002C6C97">
      <w:pPr>
        <w:pStyle w:val="Header"/>
        <w:tabs>
          <w:tab w:val="left" w:pos="720"/>
        </w:tabs>
        <w:ind w:left="1080"/>
        <w:rPr>
          <w:rFonts w:hint="cs"/>
          <w:sz w:val="24"/>
          <w:rtl/>
        </w:rPr>
      </w:pPr>
      <w:r>
        <w:rPr>
          <w:rFonts w:hint="cs"/>
          <w:sz w:val="24"/>
          <w:rtl/>
        </w:rPr>
        <w:t>המתלוננת גוללה בפשטות, עם זאת בפירוט רב, את שארע, החל מעלייתה אל המונית, כולל פרטים שבשולי האירוע ותוכן שיחות שהתנהלו בינה לבין הנאשם, טרם ביצוע המעשים. לרבות באשר לעצירת המונית לשם רכישת סיגריות ובקבוק קולה והתעניינותו של הנאשם האם הנה מבקשת למצוא מקור פרנסה בשעות אחר הצהרים וניסיונו להתקשר לידידו על מנת לברר מקום עבודה כאמור. כמו-כן, ציטטה את אמירותיו של הנאשם באשר לכך שדרוש לה גבר מבוגר ואמיד, הדברים בגנותו של אבי ואף הדברים בגנותה של דליה, עליהם שב למעשה הנאשם גם בעדותו בבית המשפט. אותנטיות העדות עולה מאליה מהאמור בפרוטוקול.</w:t>
      </w:r>
    </w:p>
    <w:p w14:paraId="752939D7" w14:textId="77777777" w:rsidR="002C6C97" w:rsidRDefault="002C6C97">
      <w:pPr>
        <w:pStyle w:val="Header"/>
        <w:tabs>
          <w:tab w:val="left" w:pos="720"/>
        </w:tabs>
        <w:ind w:left="1080"/>
        <w:rPr>
          <w:rFonts w:hint="cs"/>
          <w:sz w:val="24"/>
          <w:rtl/>
        </w:rPr>
      </w:pPr>
    </w:p>
    <w:p w14:paraId="499CD5EE" w14:textId="77777777" w:rsidR="002C6C97" w:rsidRDefault="002C6C97">
      <w:pPr>
        <w:pStyle w:val="Header"/>
        <w:tabs>
          <w:tab w:val="left" w:pos="720"/>
        </w:tabs>
        <w:ind w:left="1080"/>
        <w:rPr>
          <w:rFonts w:hint="cs"/>
          <w:sz w:val="24"/>
          <w:rtl/>
        </w:rPr>
      </w:pPr>
      <w:r>
        <w:rPr>
          <w:rFonts w:hint="cs"/>
          <w:sz w:val="24"/>
          <w:rtl/>
        </w:rPr>
        <w:t xml:space="preserve">המתלוננת העידה בהתרגשות רבה ונקלעה לסערת רגשות ובכי בעת שנדרשה לשחזר את מאורעות אותו הליל. גם בכך היה כדי לחזק את התרשמותי כי העידה אודות חוויה טראומטית שנצרה בזיכרונה ואשר הותירה עליה את רישומה. </w:t>
      </w:r>
    </w:p>
    <w:p w14:paraId="20C7E9CC" w14:textId="77777777" w:rsidR="002C6C97" w:rsidRDefault="002C6C97">
      <w:pPr>
        <w:pStyle w:val="Header"/>
        <w:tabs>
          <w:tab w:val="left" w:pos="720"/>
        </w:tabs>
        <w:ind w:left="1080"/>
        <w:rPr>
          <w:rFonts w:hint="cs"/>
          <w:sz w:val="24"/>
          <w:rtl/>
        </w:rPr>
      </w:pPr>
    </w:p>
    <w:p w14:paraId="306104E3" w14:textId="77777777" w:rsidR="002C6C97" w:rsidRDefault="002C6C97">
      <w:pPr>
        <w:pStyle w:val="Header"/>
        <w:numPr>
          <w:ilvl w:val="0"/>
          <w:numId w:val="2"/>
        </w:numPr>
        <w:ind w:right="0"/>
        <w:rPr>
          <w:rFonts w:hint="cs"/>
          <w:sz w:val="24"/>
          <w:rtl/>
        </w:rPr>
      </w:pPr>
      <w:r>
        <w:rPr>
          <w:rFonts w:hint="cs"/>
          <w:sz w:val="24"/>
          <w:rtl/>
        </w:rPr>
        <w:t>גרעין עדותה של המתלוננת היה עקבי ומהימן, החל מהאמור בהודעתה הראשונה במשטרה , עובר לשניה וכלה בעדותה בבית המשפט. למעט השוני, כמפורט לעיל, ככל הנוגע לשאלת הנגיעה בחזה על ידי הנאשם. בעוד שבהודעה הראשונה טענה כי הנאשם ניסה להחדיר את ידו מתחת לחולצתה ועלה בידה למנוע זאת, טענה בשניה ובבית המשפט כי הנאשם החדיר את ידו מתחת לחזייתה וחפן את שדה.</w:t>
      </w:r>
    </w:p>
    <w:p w14:paraId="150540C6" w14:textId="77777777" w:rsidR="002C6C97" w:rsidRDefault="002C6C97">
      <w:pPr>
        <w:pStyle w:val="Header"/>
        <w:tabs>
          <w:tab w:val="left" w:pos="720"/>
        </w:tabs>
        <w:ind w:left="360"/>
        <w:rPr>
          <w:rFonts w:hint="cs"/>
          <w:sz w:val="24"/>
          <w:rtl/>
        </w:rPr>
      </w:pPr>
    </w:p>
    <w:p w14:paraId="0592AA46" w14:textId="77777777" w:rsidR="002C6C97" w:rsidRDefault="002C6C97">
      <w:pPr>
        <w:pStyle w:val="Header"/>
        <w:tabs>
          <w:tab w:val="left" w:pos="720"/>
        </w:tabs>
        <w:ind w:left="1080"/>
        <w:rPr>
          <w:rFonts w:hint="cs"/>
          <w:sz w:val="24"/>
          <w:rtl/>
        </w:rPr>
      </w:pPr>
      <w:r>
        <w:rPr>
          <w:rFonts w:hint="cs"/>
          <w:sz w:val="24"/>
          <w:rtl/>
        </w:rPr>
        <w:t xml:space="preserve">המתלוננת הסבירה את השוני בין הגרסאות בקשיי שפה. הגם שלא עלה בידי לקבוע בעניין זה לאשורו , הסברה של המתלוננת אינו מופרך על פניו, לאור עדותה של יועצת בית הספר בו למדה , גב' רבקה פרי , בדבר אי בקיאותה בשפה העברית, בעת הרלוונטית להתרחשות האירוע. </w:t>
      </w:r>
    </w:p>
    <w:p w14:paraId="669AF7B3" w14:textId="77777777" w:rsidR="002C6C97" w:rsidRDefault="002C6C97">
      <w:pPr>
        <w:pStyle w:val="Header"/>
        <w:tabs>
          <w:tab w:val="left" w:pos="720"/>
        </w:tabs>
        <w:ind w:left="1080"/>
        <w:rPr>
          <w:rFonts w:hint="cs"/>
          <w:sz w:val="24"/>
          <w:rtl/>
        </w:rPr>
      </w:pPr>
    </w:p>
    <w:p w14:paraId="621D77AD" w14:textId="77777777" w:rsidR="002C6C97" w:rsidRDefault="002C6C97">
      <w:pPr>
        <w:pStyle w:val="Header"/>
        <w:tabs>
          <w:tab w:val="left" w:pos="720"/>
        </w:tabs>
        <w:ind w:left="1080"/>
        <w:rPr>
          <w:rFonts w:hint="cs"/>
          <w:sz w:val="24"/>
          <w:rtl/>
        </w:rPr>
      </w:pPr>
      <w:r>
        <w:rPr>
          <w:rFonts w:hint="cs"/>
          <w:sz w:val="24"/>
          <w:rtl/>
        </w:rPr>
        <w:t xml:space="preserve">עם זאת ייאמר כי בשתי ההודעות תיארה המתלוננת את משיכת חולצתה כלפי מטה ואף תיארה כי באותה העת עלה בידה להדוף את הנאשם מעליה, לפתוח את דלת המונית ולעזוב את המקום. </w:t>
      </w:r>
    </w:p>
    <w:p w14:paraId="1F850609" w14:textId="77777777" w:rsidR="002C6C97" w:rsidRDefault="002C6C97">
      <w:pPr>
        <w:pStyle w:val="Header"/>
        <w:tabs>
          <w:tab w:val="left" w:pos="720"/>
        </w:tabs>
        <w:ind w:left="1080"/>
        <w:rPr>
          <w:rFonts w:hint="cs"/>
          <w:sz w:val="24"/>
          <w:rtl/>
        </w:rPr>
      </w:pPr>
    </w:p>
    <w:p w14:paraId="4D45471C" w14:textId="77777777" w:rsidR="002C6C97" w:rsidRDefault="002C6C97">
      <w:pPr>
        <w:pStyle w:val="Header"/>
        <w:tabs>
          <w:tab w:val="left" w:pos="720"/>
        </w:tabs>
        <w:ind w:left="1080"/>
        <w:rPr>
          <w:rFonts w:hint="cs"/>
          <w:sz w:val="24"/>
          <w:rtl/>
        </w:rPr>
      </w:pPr>
      <w:r>
        <w:rPr>
          <w:rFonts w:hint="cs"/>
          <w:sz w:val="24"/>
          <w:rtl/>
        </w:rPr>
        <w:t>השוני בין שתי ההודעות נותר על כנו. ואולם לא יהא בכך כדי לרדת לשורשה של כלל מהימנות גרסת המתלוננת כפי שבאה לידי ביטוי בבית המשפט ואשר מצאתי לאמצה כלשונה או להוביל למסקנה שלא היו דברים מעולם כטענת ההגנה.</w:t>
      </w:r>
    </w:p>
    <w:p w14:paraId="75C5CDB8" w14:textId="77777777" w:rsidR="002C6C97" w:rsidRDefault="002C6C97">
      <w:pPr>
        <w:pStyle w:val="Header"/>
        <w:tabs>
          <w:tab w:val="left" w:pos="720"/>
        </w:tabs>
        <w:ind w:left="1080"/>
        <w:rPr>
          <w:rFonts w:hint="cs"/>
          <w:sz w:val="24"/>
          <w:rtl/>
        </w:rPr>
      </w:pPr>
    </w:p>
    <w:p w14:paraId="4071EFCC" w14:textId="77777777" w:rsidR="002C6C97" w:rsidRDefault="002C6C97">
      <w:pPr>
        <w:pStyle w:val="Header"/>
        <w:numPr>
          <w:ilvl w:val="0"/>
          <w:numId w:val="2"/>
        </w:numPr>
        <w:ind w:right="0"/>
        <w:rPr>
          <w:rFonts w:hint="cs"/>
          <w:sz w:val="24"/>
          <w:rtl/>
        </w:rPr>
      </w:pPr>
      <w:r>
        <w:rPr>
          <w:rFonts w:hint="cs"/>
          <w:sz w:val="24"/>
          <w:rtl/>
        </w:rPr>
        <w:t>ההגנה טענה לחוסר עקביות המתלוננת גם בכל הנוגע לעובדה כי בהודעתה הראשונה לא סיפרה שהנאשם ליטף את רגלה לכיוון איבר מינה, אלא אך בהודעתה השנייה. עיון בשתי ההודעות העלה כי המתלוננת נקטה בשתי ההזדמנויות בלשון "נגע".      אכן לא פירטה במפורש כי הנגיעה היתה לעבר איבר מינה ואולם ציינה והדגימה כי הניח את ידו על ירכה השמאלית, קרי בחלקה העליון של הרגל . משכך, גם בעניין זה טענת המתלוננת כי המדובר בקשיי התבטאות לנוכח אי ידיעת השפה על בוריה אינה בלתי הגיונית על פניה.</w:t>
      </w:r>
    </w:p>
    <w:p w14:paraId="6E094AEF" w14:textId="77777777" w:rsidR="002C6C97" w:rsidRDefault="002C6C97">
      <w:pPr>
        <w:pStyle w:val="Header"/>
        <w:tabs>
          <w:tab w:val="left" w:pos="720"/>
        </w:tabs>
        <w:ind w:left="360"/>
        <w:rPr>
          <w:rFonts w:hint="cs"/>
          <w:sz w:val="24"/>
          <w:rtl/>
        </w:rPr>
      </w:pPr>
    </w:p>
    <w:p w14:paraId="758CAD41" w14:textId="77777777" w:rsidR="002C6C97" w:rsidRDefault="002C6C97">
      <w:pPr>
        <w:pStyle w:val="Header"/>
        <w:numPr>
          <w:ilvl w:val="0"/>
          <w:numId w:val="2"/>
        </w:numPr>
        <w:ind w:right="0"/>
        <w:rPr>
          <w:rFonts w:hint="cs"/>
          <w:sz w:val="24"/>
          <w:rtl/>
        </w:rPr>
      </w:pPr>
      <w:r>
        <w:rPr>
          <w:rFonts w:hint="cs"/>
          <w:sz w:val="24"/>
          <w:rtl/>
        </w:rPr>
        <w:t xml:space="preserve">עניין נוסף אשר הועלה על ידי ההגנה כחותר מתחת למהימנות המתלוננת הנו תיאורה בדבר נעילת הנאשם את המונית וחוסר אפשרותה לצאת מתוכה. עובדת קיומה של נעילה מרכזית במונית נשללה כמפורט במזכר שערך החוקר רונן איזיקיל- נ/4. ואולם המתלוננת שבה וטענה כפי שעלה גם מהודעותיה במשטרה כי היתה שרויה בפחד ובלחץ, סברה כי שמעה קולות נעילה ולא עלה בידה לצאת מן הרכב. המדובר בתיאור אותנטי ופירוש סובייקטיבי שנתנה המתלוננת למצב הדברים על פי תחושותיה באותה העת. משכך, גם אם אין בו כדי לעלות בקנה אחד עם מצב הדברים האובייקטיבי, לא יהא בכך כדי להשמיט את הקרקע מתחת למהימנותה. </w:t>
      </w:r>
    </w:p>
    <w:p w14:paraId="30DF8F53" w14:textId="77777777" w:rsidR="002C6C97" w:rsidRDefault="002C6C97">
      <w:pPr>
        <w:pStyle w:val="Header"/>
        <w:rPr>
          <w:sz w:val="24"/>
          <w:rtl/>
        </w:rPr>
      </w:pPr>
    </w:p>
    <w:p w14:paraId="0B8A2E9C" w14:textId="77777777" w:rsidR="002C6C97" w:rsidRDefault="002C6C97">
      <w:pPr>
        <w:pStyle w:val="Header"/>
        <w:numPr>
          <w:ilvl w:val="0"/>
          <w:numId w:val="2"/>
        </w:numPr>
        <w:ind w:right="0"/>
        <w:rPr>
          <w:rFonts w:hint="cs"/>
          <w:sz w:val="24"/>
          <w:rtl/>
        </w:rPr>
      </w:pPr>
      <w:r>
        <w:rPr>
          <w:rFonts w:hint="cs"/>
          <w:sz w:val="24"/>
          <w:rtl/>
        </w:rPr>
        <w:t>המתלוננת העידה כי שוחחה אודות שארע עם גורם מקצועי בבית הספר בו למדה, עובדת סוציאלית או פסיכולוגית, אשר בינתיים עזבה את תפקידה. כמו כן כי לא אזרה כוחות לשוחח עם מאן דהוא אחר.</w:t>
      </w:r>
    </w:p>
    <w:p w14:paraId="4F2AC6C6" w14:textId="77777777" w:rsidR="002C6C97" w:rsidRDefault="002C6C97">
      <w:pPr>
        <w:pStyle w:val="Header"/>
        <w:tabs>
          <w:tab w:val="left" w:pos="720"/>
        </w:tabs>
        <w:rPr>
          <w:rFonts w:hint="cs"/>
          <w:sz w:val="24"/>
          <w:rtl/>
        </w:rPr>
      </w:pPr>
    </w:p>
    <w:p w14:paraId="37188B4C" w14:textId="77777777" w:rsidR="002C6C97" w:rsidRDefault="002C6C97">
      <w:pPr>
        <w:pStyle w:val="Header"/>
        <w:tabs>
          <w:tab w:val="left" w:pos="720"/>
        </w:tabs>
        <w:ind w:left="1080"/>
        <w:rPr>
          <w:rFonts w:hint="cs"/>
          <w:sz w:val="24"/>
          <w:rtl/>
        </w:rPr>
      </w:pPr>
      <w:r>
        <w:rPr>
          <w:rFonts w:hint="cs"/>
          <w:sz w:val="24"/>
          <w:rtl/>
        </w:rPr>
        <w:t>יועצת בית הספר גב' רבקה פרי הובאה לעדות מטעם ההגנה. מעדותה עלה כי נפגשה עם המתלוננת זמן קצר לאחר התרחשות האירוע ואולם זו לא סיפרה לה אודות שהתרחש. דא עקא כי גרסה זו עולה בקנה אחד עם גרסתה של המתלוננת שאכן לא שיתפה כל גורם אחר, מלבד העובדת הסוציאלית או פסיכולוגית בית הספר. אף אושר על ידי היועצת כי לא מן הנמנע שהמתלוננת שוחחה עם גורם אחר מלבדה בבית הספר ואף אושר על ידה כי פסיכולוגית בית הספר אכן עזבה את עבודתה, כפי שציינה המתלוננת.</w:t>
      </w:r>
    </w:p>
    <w:p w14:paraId="43A4B5A1" w14:textId="77777777" w:rsidR="002C6C97" w:rsidRDefault="002C6C97">
      <w:pPr>
        <w:pStyle w:val="Header"/>
        <w:tabs>
          <w:tab w:val="left" w:pos="720"/>
        </w:tabs>
        <w:ind w:left="360"/>
        <w:rPr>
          <w:rFonts w:hint="cs"/>
          <w:sz w:val="24"/>
          <w:rtl/>
        </w:rPr>
      </w:pPr>
    </w:p>
    <w:p w14:paraId="20D8C538" w14:textId="77777777" w:rsidR="002C6C97" w:rsidRDefault="002C6C97">
      <w:pPr>
        <w:pStyle w:val="Header"/>
        <w:numPr>
          <w:ilvl w:val="0"/>
          <w:numId w:val="2"/>
        </w:numPr>
        <w:ind w:right="0"/>
        <w:rPr>
          <w:rFonts w:hint="cs"/>
          <w:sz w:val="24"/>
          <w:rtl/>
        </w:rPr>
      </w:pPr>
      <w:r>
        <w:rPr>
          <w:rFonts w:hint="cs"/>
          <w:sz w:val="24"/>
          <w:rtl/>
        </w:rPr>
        <w:t>כמפורט לעיל טען הנאשם לעלילה שנרקמה כלפיו על ידי דליה באמצעות המתלוננת, ממניעי נקם. בד בבד עם כך אישר כי מערכת היחסים עם המתלוננת ועם אבי היתה תקינה ולא יכול היה להצביע על כל מניע עצמאי של מי מהם להעליל עליו.</w:t>
      </w:r>
    </w:p>
    <w:p w14:paraId="3712C61E" w14:textId="77777777" w:rsidR="002C6C97" w:rsidRDefault="002C6C97">
      <w:pPr>
        <w:pStyle w:val="Header"/>
        <w:ind w:left="360"/>
        <w:rPr>
          <w:sz w:val="24"/>
          <w:rtl/>
        </w:rPr>
      </w:pPr>
    </w:p>
    <w:p w14:paraId="66473F64" w14:textId="77777777" w:rsidR="002C6C97" w:rsidRDefault="002C6C97">
      <w:pPr>
        <w:pStyle w:val="Header"/>
        <w:ind w:left="1080"/>
        <w:rPr>
          <w:rFonts w:hint="cs"/>
          <w:sz w:val="24"/>
          <w:rtl/>
        </w:rPr>
      </w:pPr>
      <w:r>
        <w:rPr>
          <w:rFonts w:hint="cs"/>
          <w:sz w:val="24"/>
          <w:rtl/>
        </w:rPr>
        <w:t xml:space="preserve">מעבר לאמון שרכשתי למתלוננת, הרי שאף בחינת כלל הראיות לרבות גרסתו של הנאשם, הובילו אותי לכלל מסקנה כי טענת העלילה משוללת כל בסיס עובדתי ונשמטת מאליה. </w:t>
      </w:r>
    </w:p>
    <w:p w14:paraId="5657DF01" w14:textId="77777777" w:rsidR="002C6C97" w:rsidRDefault="002C6C97">
      <w:pPr>
        <w:pStyle w:val="Header"/>
        <w:tabs>
          <w:tab w:val="left" w:pos="720"/>
        </w:tabs>
        <w:ind w:left="360"/>
        <w:rPr>
          <w:rFonts w:hint="cs"/>
          <w:sz w:val="24"/>
          <w:rtl/>
        </w:rPr>
      </w:pPr>
    </w:p>
    <w:p w14:paraId="041316FD" w14:textId="77777777" w:rsidR="002C6C97" w:rsidRDefault="002C6C97">
      <w:pPr>
        <w:pStyle w:val="Header"/>
        <w:tabs>
          <w:tab w:val="left" w:pos="720"/>
        </w:tabs>
        <w:ind w:left="1080"/>
        <w:rPr>
          <w:rFonts w:hint="cs"/>
          <w:sz w:val="24"/>
          <w:rtl/>
        </w:rPr>
      </w:pPr>
      <w:r>
        <w:rPr>
          <w:rFonts w:hint="cs"/>
          <w:sz w:val="24"/>
          <w:rtl/>
        </w:rPr>
        <w:t xml:space="preserve">מעדותה של המתלוננת נמצאנו למדים על מערכת היחסים הקרובה שבין הנאשם לבין דליה, אלמנתו של אחיו. מטעמים מובנים שמר הנאשם על עמימות בעניין זה ואולם בין השורות ניתן היה ללמוד על מהות מערכת היחסים גם מגרסתו. אף התרשמתי כי על כן טען בניגוד לעדותם של המתלוננת , אבי ודליה כי לא שהה עובר לאירוע בביתה של דליה אלא כי חלף במקום לאחר ביקור בבית הוריו, המתגוררים בסמוך. </w:t>
      </w:r>
    </w:p>
    <w:p w14:paraId="6B65916B" w14:textId="77777777" w:rsidR="002C6C97" w:rsidRDefault="002C6C97">
      <w:pPr>
        <w:pStyle w:val="Header"/>
        <w:tabs>
          <w:tab w:val="left" w:pos="720"/>
        </w:tabs>
        <w:ind w:left="1080"/>
        <w:rPr>
          <w:rFonts w:hint="cs"/>
          <w:sz w:val="24"/>
          <w:rtl/>
        </w:rPr>
      </w:pPr>
    </w:p>
    <w:p w14:paraId="3288A7D7" w14:textId="77777777" w:rsidR="002C6C97" w:rsidRDefault="002C6C97">
      <w:pPr>
        <w:pStyle w:val="Header"/>
        <w:tabs>
          <w:tab w:val="left" w:pos="720"/>
        </w:tabs>
        <w:ind w:left="1080"/>
        <w:rPr>
          <w:rFonts w:hint="cs"/>
          <w:sz w:val="24"/>
          <w:rtl/>
        </w:rPr>
      </w:pPr>
      <w:r>
        <w:rPr>
          <w:rFonts w:hint="cs"/>
          <w:sz w:val="24"/>
          <w:rtl/>
        </w:rPr>
        <w:t xml:space="preserve">עלה במפורש כי הנאשם נהג לבקר את דליה בביתה ואף לא חדל ממנהגו זה גם לאחר הגשת התלונה על ידי המתלוננת. למורת רוחם של המתלוננת ושל אבי אשר התגוררו במחיצתה של דליה. חזקה על הנאשם כי לא היה עושה כן לו היה ממש בטענתו כי ידה של דליה היתה ברקימת העלילה. </w:t>
      </w:r>
    </w:p>
    <w:p w14:paraId="3F9BA139" w14:textId="77777777" w:rsidR="002C6C97" w:rsidRDefault="002C6C97">
      <w:pPr>
        <w:pStyle w:val="Header"/>
        <w:tabs>
          <w:tab w:val="left" w:pos="720"/>
        </w:tabs>
        <w:ind w:left="1080"/>
        <w:rPr>
          <w:rFonts w:hint="cs"/>
          <w:sz w:val="24"/>
          <w:rtl/>
        </w:rPr>
      </w:pPr>
    </w:p>
    <w:p w14:paraId="5084D170" w14:textId="77777777" w:rsidR="002C6C97" w:rsidRDefault="002C6C97">
      <w:pPr>
        <w:pStyle w:val="Header"/>
        <w:tabs>
          <w:tab w:val="left" w:pos="720"/>
        </w:tabs>
        <w:ind w:left="1080"/>
        <w:rPr>
          <w:rFonts w:hint="cs"/>
          <w:sz w:val="24"/>
          <w:rtl/>
        </w:rPr>
      </w:pPr>
      <w:r>
        <w:rPr>
          <w:rFonts w:hint="cs"/>
          <w:sz w:val="24"/>
          <w:rtl/>
        </w:rPr>
        <w:t>כמו כן, הנאשם הגדיר את מערכת היחסים בינו לבין דליה כתקינה ועל כן לא נמצא כל מניע לרקיחת העלילה. בהמשך, משלבטח התחוור לו כי אין בכך כדי לעלות בקנה אחד עם טענת העלילה , טען כי מערכת יחסים זו ידעה עליות ומורדות ואף הגדיר את התנהגותה כלפיו כאובססיבית. עם זאת פירט כי האובססיביות התבטאה בכך כי ביקשה להיות עמו בקשרים רומנטיים וכן בכך שנהגה להשאיר לו אין ספור הודעות בצירוף איחולי הצלחה בהליך המשפטי. כלל תיאורו בדבר התנהגותה של דליה אינו עולה בקנה אחד עם טענתו כי ביקשה להרע לו או כי היה מניע להעליל עליו עלילה. לא כל שכן בעת שמטבע הדברים יהא בכך כדי להביא לריחוק ביניהם, בניגוד לאינטרסים שלה.</w:t>
      </w:r>
    </w:p>
    <w:p w14:paraId="12638557" w14:textId="77777777" w:rsidR="002C6C97" w:rsidRDefault="002C6C97">
      <w:pPr>
        <w:pStyle w:val="Header"/>
        <w:tabs>
          <w:tab w:val="left" w:pos="720"/>
        </w:tabs>
        <w:ind w:left="1080"/>
        <w:rPr>
          <w:rFonts w:hint="cs"/>
          <w:sz w:val="24"/>
          <w:rtl/>
        </w:rPr>
      </w:pPr>
    </w:p>
    <w:p w14:paraId="0EFF114E" w14:textId="77777777" w:rsidR="002C6C97" w:rsidRDefault="002C6C97">
      <w:pPr>
        <w:pStyle w:val="Header"/>
        <w:tabs>
          <w:tab w:val="left" w:pos="720"/>
        </w:tabs>
        <w:ind w:left="1080"/>
        <w:rPr>
          <w:rFonts w:hint="cs"/>
          <w:sz w:val="24"/>
          <w:rtl/>
        </w:rPr>
      </w:pPr>
      <w:r>
        <w:rPr>
          <w:rFonts w:hint="cs"/>
          <w:sz w:val="24"/>
          <w:rtl/>
        </w:rPr>
        <w:t xml:space="preserve">בנוסף ייאמר כי הן מגרסת עדי התביעה והן מגרסת הנאשם עלה כי המפגש בין הנאשם למתלוננת ועלייתה למונית היו בלתי מתוכננים מראש ולא נערכו ביוזמתן של המתלוננת או של דליה. ואף בשל כך סבירות טענת העלילה פוחתת עוד יותר. </w:t>
      </w:r>
    </w:p>
    <w:p w14:paraId="6A47A7BD" w14:textId="77777777" w:rsidR="002C6C97" w:rsidRDefault="002C6C97">
      <w:pPr>
        <w:pStyle w:val="Header"/>
        <w:tabs>
          <w:tab w:val="left" w:pos="720"/>
        </w:tabs>
        <w:ind w:left="1080"/>
        <w:rPr>
          <w:rFonts w:hint="cs"/>
          <w:sz w:val="24"/>
          <w:rtl/>
        </w:rPr>
      </w:pPr>
    </w:p>
    <w:p w14:paraId="59FAE5A9" w14:textId="77777777" w:rsidR="002C6C97" w:rsidRDefault="002C6C97">
      <w:pPr>
        <w:pStyle w:val="Header"/>
        <w:tabs>
          <w:tab w:val="left" w:pos="720"/>
        </w:tabs>
        <w:ind w:left="1080"/>
        <w:rPr>
          <w:rFonts w:hint="cs"/>
          <w:sz w:val="24"/>
          <w:rtl/>
        </w:rPr>
      </w:pPr>
      <w:r>
        <w:rPr>
          <w:rFonts w:hint="cs"/>
          <w:sz w:val="24"/>
          <w:rtl/>
        </w:rPr>
        <w:tab/>
        <w:t xml:space="preserve">מעבר לכך ייאמר כי לו היה ממש בטענת העלילה אף הייתי מצפה כי גרסת      המתלוננת תהא מובנית, מדוקלמת ומתוכננת לפרטי פרטים. כזו שיהא בה כדי ליתן מענה לכל התהיות ולשכנע בדבר אמיתותה. לרבות טענה כי התקשרה לאבי לאלתר ולא בבוקר המחרת ואף הגשת תלונה מיידית במשטרה , תחת לתאר כי לא היה בכוונתה להתלונן כלל. המתלוננת הסבירה כי התלבטה טרם הגשת התלונה, לנוכח היחסים המשפחתיים ורצונה להחל את חייה המשותפים עם אבי ברגל ימין . כמו כן כי נכונה היתה לבטל את התלונה על מנת שהמשפחה לא תדיר את רגלה מחתונתה. ובשל כך אף נתנה הזמנה בידי הנאשם . היה בכל אלה כדי לחזק דווקא את התרשמותי בדבר כנות ואותנטיות גרסתה. </w:t>
      </w:r>
    </w:p>
    <w:p w14:paraId="094962BC" w14:textId="77777777" w:rsidR="002C6C97" w:rsidRDefault="002C6C97">
      <w:pPr>
        <w:pStyle w:val="Header"/>
        <w:tabs>
          <w:tab w:val="left" w:pos="720"/>
        </w:tabs>
        <w:ind w:left="1080"/>
        <w:rPr>
          <w:rFonts w:hint="cs"/>
          <w:sz w:val="24"/>
          <w:rtl/>
        </w:rPr>
      </w:pPr>
    </w:p>
    <w:p w14:paraId="5F5D6DB5" w14:textId="77777777" w:rsidR="002C6C97" w:rsidRDefault="002C6C97">
      <w:pPr>
        <w:pStyle w:val="Header"/>
        <w:numPr>
          <w:ilvl w:val="0"/>
          <w:numId w:val="2"/>
        </w:numPr>
        <w:ind w:right="0"/>
        <w:rPr>
          <w:rFonts w:hint="cs"/>
          <w:sz w:val="24"/>
          <w:rtl/>
        </w:rPr>
      </w:pPr>
      <w:r>
        <w:rPr>
          <w:rFonts w:hint="cs"/>
          <w:sz w:val="24"/>
          <w:rtl/>
        </w:rPr>
        <w:t>תמיכה לגרסת המתלוננת מצאתי בגרסתם של אבי ודליה, לרבות עדותם בדבר מצבה הנפשי הנסער של המתלוננת בעת תיאור האירוע .</w:t>
      </w:r>
    </w:p>
    <w:p w14:paraId="1E46A76D" w14:textId="77777777" w:rsidR="002C6C97" w:rsidRDefault="002C6C97">
      <w:pPr>
        <w:pStyle w:val="Header"/>
        <w:ind w:left="360"/>
        <w:rPr>
          <w:sz w:val="24"/>
          <w:rtl/>
        </w:rPr>
      </w:pPr>
    </w:p>
    <w:p w14:paraId="1791BEF1" w14:textId="77777777" w:rsidR="002C6C97" w:rsidRDefault="002C6C97">
      <w:pPr>
        <w:pStyle w:val="Header"/>
        <w:tabs>
          <w:tab w:val="left" w:pos="720"/>
        </w:tabs>
        <w:ind w:left="1080"/>
        <w:rPr>
          <w:rFonts w:hint="cs"/>
          <w:sz w:val="24"/>
          <w:rtl/>
        </w:rPr>
      </w:pPr>
      <w:r>
        <w:rPr>
          <w:rFonts w:hint="cs"/>
          <w:sz w:val="24"/>
          <w:rtl/>
        </w:rPr>
        <w:t xml:space="preserve">חלקה הארי של עדותו של אבי, באשר למהות המעשים שביצע הנאשם, עלה בקנה אחד עם מכלול גרסתה של המתלוננת. למעט באשר לטענתו כי ציינה בפניו שהנאשם משך את ראשה אל עבר איבר מינו. ייאמר כי המתלוננת לא "יישרה קו" עם גרסה זו ועמדה על גרסתה כי עניין זה לא ארע ואף לא בא מפיה. ואכן זכרו של עניין זה לא בא לידי ביטוי בהודעתה במשטרה או בעדותה בבית המשפט. היא ציינה כי לא מן הנמנע שאבי סבר כאמור לאור תיאוריה כי הנאשם משך בשיער ראשה. </w:t>
      </w:r>
    </w:p>
    <w:p w14:paraId="4D56DBD2" w14:textId="77777777" w:rsidR="002C6C97" w:rsidRDefault="002C6C97">
      <w:pPr>
        <w:pStyle w:val="Header"/>
        <w:tabs>
          <w:tab w:val="left" w:pos="720"/>
        </w:tabs>
        <w:ind w:left="1080"/>
        <w:rPr>
          <w:rFonts w:hint="cs"/>
          <w:sz w:val="24"/>
          <w:rtl/>
        </w:rPr>
      </w:pPr>
    </w:p>
    <w:p w14:paraId="183BF0F1" w14:textId="77777777" w:rsidR="002C6C97" w:rsidRDefault="002C6C97">
      <w:pPr>
        <w:pStyle w:val="Header"/>
        <w:ind w:left="1128"/>
        <w:rPr>
          <w:rFonts w:hint="cs"/>
          <w:sz w:val="24"/>
          <w:rtl/>
        </w:rPr>
      </w:pPr>
      <w:r>
        <w:rPr>
          <w:rFonts w:hint="cs"/>
          <w:sz w:val="24"/>
          <w:rtl/>
        </w:rPr>
        <w:t xml:space="preserve">לא נעלם מעיני כי לא בא לידי ביטוי בעדותה של דליה כי המתלוננת ציינה בפניה שהנאשם נגע בחזה. ואולם לא מן הנמנע כי דליה מזערה את חלקו של הנאשם והמעיטה בתיאורים שמסרה לה המתלוננת, לנוכח מערכת היחסים ששררה בינה לבין הנאשם. אף היתה אי בהירות בעדותה ככל הנוגע להסברו של הנאשם לביצוע המעשים בעת שיחה טלפונית שקיימה עימו מיד לאחר שהמתלוננת סיפרה לה אודות מעלליו. דליה העידה בתחילה כי הנאשם ציין בפניה שלא הייתה לו כל כוונה לפגוע במתלוננת וביקש את סליחתה . לאחר מכן העידה כי ציין בפניה שהכל נעשה בבדיחות הדעת בשל כך כי ביקש לבדוק את נאמנותה של המתלוננת לבנה. ובהמשך טענה כי הנאשם מעולם לא טען בפניה כי התבדח. </w:t>
      </w:r>
    </w:p>
    <w:p w14:paraId="4E97055F" w14:textId="77777777" w:rsidR="002C6C97" w:rsidRDefault="002C6C97">
      <w:pPr>
        <w:pStyle w:val="Header"/>
        <w:rPr>
          <w:sz w:val="24"/>
          <w:rtl/>
        </w:rPr>
      </w:pPr>
    </w:p>
    <w:p w14:paraId="12B5F3B8" w14:textId="77777777" w:rsidR="002C6C97" w:rsidRDefault="002C6C97">
      <w:pPr>
        <w:pStyle w:val="Header"/>
        <w:ind w:left="1128"/>
        <w:rPr>
          <w:rFonts w:hint="cs"/>
          <w:sz w:val="24"/>
          <w:rtl/>
        </w:rPr>
      </w:pPr>
      <w:r>
        <w:rPr>
          <w:rFonts w:hint="cs"/>
          <w:sz w:val="24"/>
          <w:rtl/>
        </w:rPr>
        <w:t xml:space="preserve"> גם בעצם קיומה של שיחת הטלפון, ביוזמתה של דליה, כפי שהעידה אף המתלוננת,  כדי לחזק את התרשמותי כי אין עסקינן בעלילה שנרקמה על ידי דליה. </w:t>
      </w:r>
    </w:p>
    <w:p w14:paraId="69538407" w14:textId="77777777" w:rsidR="002C6C97" w:rsidRDefault="002C6C97">
      <w:pPr>
        <w:pStyle w:val="Header"/>
        <w:ind w:left="1128"/>
        <w:rPr>
          <w:rFonts w:hint="cs"/>
          <w:sz w:val="24"/>
          <w:rtl/>
        </w:rPr>
      </w:pPr>
    </w:p>
    <w:p w14:paraId="43FCE47F" w14:textId="77777777" w:rsidR="002C6C97" w:rsidRDefault="002C6C97">
      <w:pPr>
        <w:pStyle w:val="Header"/>
        <w:ind w:left="1128"/>
        <w:rPr>
          <w:rFonts w:hint="cs"/>
          <w:sz w:val="24"/>
          <w:rtl/>
        </w:rPr>
      </w:pPr>
      <w:r>
        <w:rPr>
          <w:rFonts w:hint="cs"/>
          <w:sz w:val="24"/>
          <w:rtl/>
        </w:rPr>
        <w:t>ייאמר כי תחילה לא שלל הנאשם במפורש בעדותו כי דליה התקשרה אליו. רק בהמשך טען שביום שישי לא ניתן ליצור עימו קשר כלל כי כל כולו מוקדש לענייני משפחתו.</w:t>
      </w:r>
    </w:p>
    <w:p w14:paraId="57D6C1D0" w14:textId="77777777" w:rsidR="002C6C97" w:rsidRDefault="002C6C97">
      <w:pPr>
        <w:pStyle w:val="Header"/>
        <w:ind w:left="1128"/>
        <w:rPr>
          <w:rFonts w:hint="cs"/>
          <w:sz w:val="24"/>
          <w:rtl/>
        </w:rPr>
      </w:pPr>
    </w:p>
    <w:p w14:paraId="64D6350F" w14:textId="77777777" w:rsidR="002C6C97" w:rsidRDefault="002C6C97">
      <w:pPr>
        <w:pStyle w:val="Header"/>
        <w:ind w:left="1128"/>
        <w:rPr>
          <w:rFonts w:hint="cs"/>
          <w:sz w:val="24"/>
          <w:rtl/>
        </w:rPr>
      </w:pPr>
      <w:r>
        <w:rPr>
          <w:rFonts w:hint="cs"/>
          <w:sz w:val="24"/>
          <w:rtl/>
        </w:rPr>
        <w:t xml:space="preserve">בכל מקרה ייאמר  כי העדות העיקרית שבפני בית המשפט הינה עדותה של המתלוננת אשר העידה מחווייתה האישית וזכתה לאמוני המלא. לא יהא בדקויות בין הגרסאות כדי לפגום במהימנותה, לא כל שכן בעת שניכר היה בבירור כי בגרסאות בלתי מתואמות עסקינן וגם בכך היה כדי להוסיף ולחזק את התרשמותי כי אין המדובר בעלילה </w:t>
      </w:r>
    </w:p>
    <w:p w14:paraId="08BE5AE4" w14:textId="77777777" w:rsidR="002C6C97" w:rsidRDefault="002C6C97">
      <w:pPr>
        <w:pStyle w:val="Header"/>
        <w:tabs>
          <w:tab w:val="left" w:pos="720"/>
        </w:tabs>
        <w:rPr>
          <w:rFonts w:hint="cs"/>
          <w:sz w:val="24"/>
          <w:rtl/>
        </w:rPr>
      </w:pPr>
    </w:p>
    <w:p w14:paraId="09B19986" w14:textId="77777777" w:rsidR="002C6C97" w:rsidRDefault="002C6C97">
      <w:pPr>
        <w:numPr>
          <w:ilvl w:val="0"/>
          <w:numId w:val="2"/>
        </w:numPr>
        <w:ind w:right="0"/>
        <w:rPr>
          <w:rFonts w:hint="cs"/>
          <w:sz w:val="24"/>
          <w:rtl/>
        </w:rPr>
      </w:pPr>
      <w:r>
        <w:rPr>
          <w:rFonts w:hint="cs"/>
          <w:sz w:val="24"/>
          <w:rtl/>
        </w:rPr>
        <w:t xml:space="preserve">אף באתי לכלל מסקנה כי עדותו של אבי באשר לדברי המתלוננת בפניו מהווים ראיה עצמאית לאמיתות תוכנם מכוח היותם חריג לכלל האוסר על עדות מפי השמועה- </w:t>
      </w:r>
      <w:hyperlink r:id="rId25" w:history="1">
        <w:r w:rsidR="00B173BA" w:rsidRPr="00B173BA">
          <w:rPr>
            <w:rStyle w:val="Hyperlink"/>
            <w:rFonts w:hint="eastAsia"/>
            <w:sz w:val="24"/>
            <w:rtl/>
          </w:rPr>
          <w:t>שבסעיף</w:t>
        </w:r>
        <w:r w:rsidR="00B173BA" w:rsidRPr="00B173BA">
          <w:rPr>
            <w:rStyle w:val="Hyperlink"/>
            <w:sz w:val="24"/>
            <w:rtl/>
          </w:rPr>
          <w:t xml:space="preserve"> 10(1)</w:t>
        </w:r>
      </w:hyperlink>
      <w:r>
        <w:rPr>
          <w:rFonts w:hint="cs"/>
          <w:sz w:val="24"/>
          <w:rtl/>
        </w:rPr>
        <w:t xml:space="preserve"> ל</w:t>
      </w:r>
      <w:hyperlink r:id="rId26" w:history="1">
        <w:r w:rsidR="008C0B43" w:rsidRPr="008C0B43">
          <w:rPr>
            <w:rStyle w:val="Hyperlink"/>
            <w:rFonts w:hint="eastAsia"/>
            <w:sz w:val="24"/>
            <w:rtl/>
          </w:rPr>
          <w:t>פקודת</w:t>
        </w:r>
        <w:r w:rsidR="008C0B43" w:rsidRPr="008C0B43">
          <w:rPr>
            <w:rStyle w:val="Hyperlink"/>
            <w:sz w:val="24"/>
            <w:rtl/>
          </w:rPr>
          <w:t xml:space="preserve"> הראיות</w:t>
        </w:r>
      </w:hyperlink>
      <w:r>
        <w:rPr>
          <w:rFonts w:hint="cs"/>
          <w:sz w:val="24"/>
          <w:rtl/>
        </w:rPr>
        <w:t xml:space="preserve"> שזו לשונו : </w:t>
      </w:r>
    </w:p>
    <w:p w14:paraId="7D5B6219" w14:textId="77777777" w:rsidR="002C6C97" w:rsidRDefault="002C6C97">
      <w:pPr>
        <w:ind w:left="360"/>
        <w:rPr>
          <w:rFonts w:hint="cs"/>
          <w:sz w:val="24"/>
          <w:rtl/>
        </w:rPr>
      </w:pPr>
    </w:p>
    <w:p w14:paraId="35CF50AB" w14:textId="77777777" w:rsidR="002C6C97" w:rsidRDefault="002C6C97">
      <w:pPr>
        <w:ind w:left="1080"/>
        <w:rPr>
          <w:rFonts w:hint="cs"/>
          <w:b/>
          <w:bCs/>
          <w:sz w:val="24"/>
          <w:rtl/>
        </w:rPr>
      </w:pPr>
      <w:r>
        <w:rPr>
          <w:rFonts w:hint="cs"/>
          <w:b/>
          <w:bCs/>
          <w:sz w:val="24"/>
          <w:rtl/>
        </w:rPr>
        <w:t xml:space="preserve">"10. עדות על אמרה שאמר אדם שנעשה בו, לפי הטענה, מעשה אלימות, והאמרה נוגעת לאותו מעשה או לנסיבות -לואי שלו, תהא קבילה אף אם האדם שאמר אותה אינו נוכח כעד ואף אין להביאו למשפט משום שהוא נפטר או תשוש או חולה או נעדר מן הארץ, ובלבד שנתקיימה באותה אמרה אחת מאלה: </w:t>
      </w:r>
    </w:p>
    <w:p w14:paraId="6D568610" w14:textId="77777777" w:rsidR="002C6C97" w:rsidRDefault="002C6C97">
      <w:pPr>
        <w:ind w:left="1080"/>
        <w:rPr>
          <w:rFonts w:hint="cs"/>
          <w:b/>
          <w:bCs/>
          <w:sz w:val="24"/>
          <w:rtl/>
        </w:rPr>
      </w:pPr>
      <w:r>
        <w:rPr>
          <w:rFonts w:hint="cs"/>
          <w:b/>
          <w:bCs/>
          <w:sz w:val="24"/>
          <w:rtl/>
        </w:rPr>
        <w:t>(1) היא נאמרה בשעת מעשה האלימות, או בסמוך לאחריו, או לאחר שהיתה לו ההזמנות הראשונה להתאונן עליו... "</w:t>
      </w:r>
    </w:p>
    <w:p w14:paraId="2B61FAC4" w14:textId="77777777" w:rsidR="002C6C97" w:rsidRDefault="002C6C97">
      <w:pPr>
        <w:rPr>
          <w:rFonts w:hint="cs"/>
          <w:sz w:val="24"/>
          <w:rtl/>
        </w:rPr>
      </w:pPr>
    </w:p>
    <w:p w14:paraId="68DDFADB" w14:textId="77777777" w:rsidR="002C6C97" w:rsidRDefault="002C6C97">
      <w:pPr>
        <w:ind w:left="1140"/>
        <w:rPr>
          <w:rFonts w:hint="cs"/>
          <w:sz w:val="24"/>
          <w:rtl/>
        </w:rPr>
      </w:pPr>
      <w:r>
        <w:rPr>
          <w:rFonts w:hint="cs"/>
          <w:sz w:val="24"/>
          <w:rtl/>
        </w:rPr>
        <w:t xml:space="preserve">בענייננו טענה ההגנה כי מאחר והמתלוננת לא מסרה את דבריה לאבי לאלתר אלא רק בבוקר המחרת, לא מתקיימים תנאי </w:t>
      </w:r>
      <w:hyperlink r:id="rId27" w:history="1">
        <w:r w:rsidR="00B173BA" w:rsidRPr="00B173BA">
          <w:rPr>
            <w:rStyle w:val="Hyperlink"/>
            <w:rFonts w:hint="eastAsia"/>
            <w:sz w:val="24"/>
            <w:rtl/>
          </w:rPr>
          <w:t>ס</w:t>
        </w:r>
        <w:r w:rsidR="00B173BA" w:rsidRPr="00B173BA">
          <w:rPr>
            <w:rStyle w:val="Hyperlink"/>
            <w:sz w:val="24"/>
            <w:rtl/>
          </w:rPr>
          <w:t>"ק (1)</w:t>
        </w:r>
      </w:hyperlink>
      <w:r>
        <w:rPr>
          <w:rFonts w:hint="cs"/>
          <w:sz w:val="24"/>
          <w:rtl/>
        </w:rPr>
        <w:t xml:space="preserve"> כמפורט לעיל. קרי כי ההודעה לא נמסרה ב"הזדמנות הראשונה" שנקרתה לדרכה של המתלוננת.</w:t>
      </w:r>
    </w:p>
    <w:p w14:paraId="26ED929B" w14:textId="77777777" w:rsidR="002C6C97" w:rsidRDefault="002C6C97">
      <w:pPr>
        <w:rPr>
          <w:rFonts w:hint="cs"/>
          <w:sz w:val="24"/>
          <w:rtl/>
        </w:rPr>
      </w:pPr>
    </w:p>
    <w:p w14:paraId="031DFF22" w14:textId="77777777" w:rsidR="002C6C97" w:rsidRDefault="002C6C97">
      <w:pPr>
        <w:ind w:left="1140"/>
        <w:rPr>
          <w:rFonts w:hint="cs"/>
          <w:sz w:val="24"/>
          <w:rtl/>
        </w:rPr>
      </w:pPr>
      <w:r>
        <w:rPr>
          <w:rFonts w:hint="cs"/>
          <w:sz w:val="24"/>
          <w:rtl/>
        </w:rPr>
        <w:t>עניין זה נדון ב</w:t>
      </w:r>
      <w:hyperlink r:id="rId28" w:history="1">
        <w:r w:rsidR="008C0B43" w:rsidRPr="008C0B43">
          <w:rPr>
            <w:rStyle w:val="Hyperlink"/>
            <w:rFonts w:hint="eastAsia"/>
            <w:sz w:val="24"/>
            <w:rtl/>
          </w:rPr>
          <w:t>ת</w:t>
        </w:r>
        <w:r w:rsidR="008C0B43" w:rsidRPr="008C0B43">
          <w:rPr>
            <w:rStyle w:val="Hyperlink"/>
            <w:sz w:val="24"/>
            <w:rtl/>
          </w:rPr>
          <w:t>"פ (באר-שבע) 8102/02</w:t>
        </w:r>
      </w:hyperlink>
      <w:r>
        <w:rPr>
          <w:rFonts w:hint="cs"/>
          <w:sz w:val="24"/>
          <w:rtl/>
        </w:rPr>
        <w:t xml:space="preserve"> - מדינת ישראל נ' דוד אלמליח . תק-מח 2006(3), 10712 ,עמ' 10715 ונקבע  שם ובפסקי הדין המובאים בו ,כדלקמן:</w:t>
      </w:r>
    </w:p>
    <w:p w14:paraId="30D15F05" w14:textId="77777777" w:rsidR="002C6C97" w:rsidRDefault="002C6C97">
      <w:pPr>
        <w:rPr>
          <w:rFonts w:hint="cs"/>
          <w:rtl/>
        </w:rPr>
      </w:pPr>
    </w:p>
    <w:p w14:paraId="6B3707FA" w14:textId="77777777" w:rsidR="002C6C97" w:rsidRDefault="002C6C97">
      <w:pPr>
        <w:ind w:left="1140"/>
        <w:rPr>
          <w:b/>
          <w:bCs/>
          <w:sz w:val="24"/>
          <w:rtl/>
        </w:rPr>
      </w:pPr>
      <w:r>
        <w:rPr>
          <w:rFonts w:hint="cs"/>
          <w:b/>
          <w:bCs/>
          <w:sz w:val="24"/>
          <w:rtl/>
        </w:rPr>
        <w:t xml:space="preserve">"אציין, כי גם התיבה "בסמוך לאחריו" מתפרשת על פי הנסיבות, והיא איננה מתייחסת רק למניין של דקות אלא יכולה לחפוף גם משך זמן ארוך יותר. כך, למשל, קיבל בית משפט העליון מכוח הוראותיו של סעיף 10(1) הנ"ל, גם הוכחה בדבר אימרה שהושמעה מספר שעות אחרי הארוע [ר', למשל, </w:t>
      </w:r>
      <w:r w:rsidR="008C0B43" w:rsidRPr="00B173BA">
        <w:rPr>
          <w:rFonts w:hint="eastAsia"/>
          <w:b/>
          <w:bCs/>
          <w:sz w:val="24"/>
          <w:rtl/>
        </w:rPr>
        <w:t>ע</w:t>
      </w:r>
      <w:r w:rsidR="008C0B43" w:rsidRPr="00B173BA">
        <w:rPr>
          <w:b/>
          <w:bCs/>
          <w:sz w:val="24"/>
          <w:rtl/>
        </w:rPr>
        <w:t>"פ 64/55 היועץ המשפטי נ' וולפוביץ, פד"י ט</w:t>
      </w:r>
      <w:r>
        <w:rPr>
          <w:rFonts w:hint="cs"/>
          <w:b/>
          <w:bCs/>
          <w:sz w:val="24"/>
          <w:rtl/>
        </w:rPr>
        <w:t xml:space="preserve">', עמ' 787, 785 וכן ע"פ 399/72 אקרישבסקי נ' מ"י - לא פורסם]. </w:t>
      </w:r>
    </w:p>
    <w:p w14:paraId="3939E567" w14:textId="77777777" w:rsidR="002C6C97" w:rsidRDefault="002C6C97">
      <w:pPr>
        <w:ind w:left="1140"/>
        <w:rPr>
          <w:rFonts w:hint="cs"/>
          <w:b/>
          <w:bCs/>
          <w:sz w:val="24"/>
          <w:rtl/>
        </w:rPr>
      </w:pPr>
      <w:r>
        <w:rPr>
          <w:rFonts w:hint="cs"/>
          <w:b/>
          <w:bCs/>
          <w:sz w:val="24"/>
          <w:rtl/>
        </w:rPr>
        <w:t xml:space="preserve">הפסיקה הרחיבה בעניין זה וקבעה, כי גם הודעה "מאוחרת" יותר קבילה, ובלבד שבזמן שחלף מאז התרחשות הארוע ועד לאמירתה, לא התרחש כל ארוע, שיש בכוחו להקים חשד, שמא הושפע העד שלא לומר אמת... </w:t>
      </w:r>
    </w:p>
    <w:p w14:paraId="7D226353" w14:textId="77777777" w:rsidR="002C6C97" w:rsidRDefault="002C6C97">
      <w:pPr>
        <w:ind w:left="1140"/>
        <w:rPr>
          <w:rFonts w:hint="cs"/>
          <w:b/>
          <w:bCs/>
          <w:sz w:val="24"/>
          <w:rtl/>
        </w:rPr>
      </w:pPr>
      <w:r>
        <w:rPr>
          <w:rFonts w:hint="cs"/>
          <w:b/>
          <w:bCs/>
          <w:sz w:val="24"/>
          <w:rtl/>
        </w:rPr>
        <w:t>... יחד עם זאת, כמובן, שאפשרות לטפול אשמה קיימת תמיד ובית המשפט בוחן גם אפשרות זו על פי הנסיבות (</w:t>
      </w:r>
      <w:r w:rsidR="008C0B43" w:rsidRPr="00B173BA">
        <w:rPr>
          <w:rFonts w:hint="eastAsia"/>
          <w:b/>
          <w:bCs/>
          <w:sz w:val="24"/>
          <w:rtl/>
        </w:rPr>
        <w:t>ע</w:t>
      </w:r>
      <w:r w:rsidR="008C0B43" w:rsidRPr="00B173BA">
        <w:rPr>
          <w:b/>
          <w:bCs/>
          <w:sz w:val="24"/>
          <w:rtl/>
        </w:rPr>
        <w:t>"פ 3695/99</w:t>
      </w:r>
      <w:r>
        <w:rPr>
          <w:rFonts w:hint="cs"/>
          <w:b/>
          <w:bCs/>
          <w:sz w:val="24"/>
          <w:rtl/>
        </w:rPr>
        <w:t xml:space="preserve"> אמג'לי אבו-כף נ' מדינת ישראל תק-על 2000(4), 349, </w:t>
      </w:r>
      <w:r w:rsidR="008C0B43" w:rsidRPr="00B173BA">
        <w:rPr>
          <w:rFonts w:hint="eastAsia"/>
          <w:b/>
          <w:bCs/>
          <w:sz w:val="24"/>
          <w:rtl/>
        </w:rPr>
        <w:t>ע</w:t>
      </w:r>
      <w:r w:rsidR="008C0B43" w:rsidRPr="00B173BA">
        <w:rPr>
          <w:b/>
          <w:bCs/>
          <w:sz w:val="24"/>
          <w:rtl/>
        </w:rPr>
        <w:t>"פ 5015/98</w:t>
      </w:r>
      <w:r>
        <w:rPr>
          <w:rFonts w:hint="cs"/>
          <w:b/>
          <w:bCs/>
          <w:sz w:val="24"/>
          <w:rtl/>
        </w:rPr>
        <w:t xml:space="preserve"> ארז אקרישבסקי נ' מדינת ישראל, תק-על 99(3)4). </w:t>
      </w:r>
    </w:p>
    <w:p w14:paraId="2B496F39" w14:textId="77777777" w:rsidR="002C6C97" w:rsidRDefault="002C6C97">
      <w:pPr>
        <w:ind w:left="1140"/>
        <w:rPr>
          <w:rFonts w:hint="cs"/>
          <w:sz w:val="24"/>
          <w:rtl/>
        </w:rPr>
      </w:pPr>
      <w:r>
        <w:rPr>
          <w:rFonts w:hint="cs"/>
          <w:b/>
          <w:bCs/>
          <w:sz w:val="24"/>
          <w:rtl/>
        </w:rPr>
        <w:t>בחלופה הראשונה של ס' 10 ל</w:t>
      </w:r>
      <w:r w:rsidR="008C0B43" w:rsidRPr="00B173BA">
        <w:rPr>
          <w:rFonts w:hint="eastAsia"/>
          <w:b/>
          <w:bCs/>
          <w:sz w:val="24"/>
          <w:rtl/>
        </w:rPr>
        <w:t>פקודת</w:t>
      </w:r>
      <w:r w:rsidR="008C0B43" w:rsidRPr="00B173BA">
        <w:rPr>
          <w:b/>
          <w:bCs/>
          <w:sz w:val="24"/>
          <w:rtl/>
        </w:rPr>
        <w:t xml:space="preserve"> הראיות</w:t>
      </w:r>
      <w:r>
        <w:rPr>
          <w:rFonts w:hint="cs"/>
          <w:b/>
          <w:bCs/>
          <w:sz w:val="24"/>
          <w:rtl/>
        </w:rPr>
        <w:t>, הרלוונטית לענייננו, תנאים חלופיים והם - שהאמירה נאמרה בעת שהתרחש מעשה האלימות נשוא האישום או סמוך לאחריו או בהזדמנות הראשונה, שהיתה לקרבן המעשה להתלונן עליו. המדובר, איפוא, גם באימרה ספונטנית, הנאמרת תוך כדי התרחשותו של מעשה אלימות, שאומר הקרבן וגם בהודעה מאוחרת המתארת בדיעבד אותו מעשה אלימות, ובלבד שהאימרה המאוחרת נמסרה בהזדמנות הראשונה, שהיתה לקרבן העבירה להתלונן על מעשה האלימות שבוצע בו.</w:t>
      </w:r>
      <w:r>
        <w:rPr>
          <w:rFonts w:hint="cs"/>
          <w:sz w:val="24"/>
          <w:rtl/>
        </w:rPr>
        <w:t>"</w:t>
      </w:r>
    </w:p>
    <w:p w14:paraId="3B3CB227" w14:textId="77777777" w:rsidR="002C6C97" w:rsidRDefault="002C6C97">
      <w:pPr>
        <w:rPr>
          <w:rFonts w:hint="cs"/>
          <w:sz w:val="24"/>
          <w:rtl/>
        </w:rPr>
      </w:pPr>
    </w:p>
    <w:p w14:paraId="228B50D8" w14:textId="77777777" w:rsidR="002C6C97" w:rsidRDefault="002C6C97">
      <w:pPr>
        <w:ind w:left="1140"/>
        <w:rPr>
          <w:rFonts w:hint="cs"/>
          <w:sz w:val="24"/>
          <w:rtl/>
        </w:rPr>
      </w:pPr>
      <w:r>
        <w:rPr>
          <w:rFonts w:hint="cs"/>
          <w:sz w:val="24"/>
          <w:rtl/>
        </w:rPr>
        <w:t>ובענייננו , האירוע התרחש בשעת לילה מאוחרת. המתלוננת התקשרה בבוקרו של יום המחרת בשעה 07:00 וסיפרה את שהתרחש לאבי. שוכנעתי כי לא ניתן היה להתקשר מהטלפון הנייד שלה ועל כן התקשרה מזה של חברתה, בבוקר המחרת, בהזדמנות הראשונה. כמו כן נחה דעתי כי לא התרחש כל ארוע, שהיה בכוחו להקים חשד, שמא הושפעה המתלוננת לומר דבר שקר ועל כן חל החריג ודבריו של אבי יהוו הן ראיה עצמאית והן תמיכה לגרסתה של המתלוננת.</w:t>
      </w:r>
    </w:p>
    <w:p w14:paraId="55A93DAB" w14:textId="77777777" w:rsidR="002C6C97" w:rsidRDefault="002C6C97">
      <w:pPr>
        <w:pStyle w:val="Header"/>
        <w:ind w:left="360"/>
        <w:rPr>
          <w:rFonts w:hint="cs"/>
          <w:sz w:val="24"/>
          <w:u w:val="single"/>
          <w:rtl/>
        </w:rPr>
      </w:pPr>
    </w:p>
    <w:p w14:paraId="58AFA2BC" w14:textId="77777777" w:rsidR="002C6C97" w:rsidRDefault="002C6C97">
      <w:pPr>
        <w:pStyle w:val="Header"/>
        <w:numPr>
          <w:ilvl w:val="0"/>
          <w:numId w:val="2"/>
        </w:numPr>
        <w:ind w:right="0"/>
        <w:rPr>
          <w:sz w:val="24"/>
          <w:u w:val="single"/>
          <w:rtl/>
        </w:rPr>
      </w:pPr>
      <w:r>
        <w:rPr>
          <w:rFonts w:hint="cs"/>
          <w:sz w:val="24"/>
          <w:rtl/>
        </w:rPr>
        <w:t xml:space="preserve">הנאשם לא זכה לאמוני. התרשמתי כי העיד באופן חלקלק ומגמתי, היתמם ולא שוכנעתי כי האמת היתה נר לרגליו. </w:t>
      </w:r>
    </w:p>
    <w:p w14:paraId="6502E96D" w14:textId="77777777" w:rsidR="002C6C97" w:rsidRDefault="002C6C97">
      <w:pPr>
        <w:pStyle w:val="Header"/>
        <w:tabs>
          <w:tab w:val="left" w:pos="720"/>
        </w:tabs>
        <w:ind w:left="360"/>
        <w:rPr>
          <w:rFonts w:hint="cs"/>
          <w:sz w:val="24"/>
          <w:rtl/>
        </w:rPr>
      </w:pPr>
    </w:p>
    <w:p w14:paraId="3BC1E05A" w14:textId="77777777" w:rsidR="002C6C97" w:rsidRDefault="002C6C97">
      <w:pPr>
        <w:pStyle w:val="Header"/>
        <w:tabs>
          <w:tab w:val="left" w:pos="720"/>
        </w:tabs>
        <w:ind w:left="1080"/>
        <w:rPr>
          <w:rFonts w:hint="cs"/>
          <w:sz w:val="24"/>
          <w:rtl/>
        </w:rPr>
      </w:pPr>
      <w:r>
        <w:rPr>
          <w:rFonts w:hint="cs"/>
          <w:sz w:val="24"/>
          <w:rtl/>
        </w:rPr>
        <w:t xml:space="preserve">העובדה כי הנאשם הרחיק עצמו מכל מגע אפשרי עם המתלוננת בא לידי ביטוי כבר בגרסתו כי המתלוננת עלתה למונית וישבה במושב האחורי. לאור העובדה כי המדובר בבת משפחה אשר עלתה אל המונית במסגרת טובה אישית ולא כנוסעת מן המניין, חוסר הגיוניותה של הגירסה עולה על פניה. </w:t>
      </w:r>
    </w:p>
    <w:p w14:paraId="17C8A9CD" w14:textId="77777777" w:rsidR="002C6C97" w:rsidRDefault="002C6C97">
      <w:pPr>
        <w:pStyle w:val="Header"/>
        <w:tabs>
          <w:tab w:val="left" w:pos="720"/>
        </w:tabs>
        <w:ind w:left="1080"/>
        <w:rPr>
          <w:rFonts w:hint="cs"/>
          <w:sz w:val="24"/>
          <w:rtl/>
        </w:rPr>
      </w:pPr>
    </w:p>
    <w:p w14:paraId="0826CD6E" w14:textId="77777777" w:rsidR="002C6C97" w:rsidRDefault="002C6C97">
      <w:pPr>
        <w:pStyle w:val="Header"/>
        <w:tabs>
          <w:tab w:val="left" w:pos="720"/>
        </w:tabs>
        <w:ind w:left="1080"/>
        <w:rPr>
          <w:rFonts w:hint="cs"/>
          <w:sz w:val="24"/>
          <w:rtl/>
        </w:rPr>
      </w:pPr>
      <w:r>
        <w:rPr>
          <w:rFonts w:hint="cs"/>
          <w:sz w:val="24"/>
          <w:rtl/>
        </w:rPr>
        <w:t>במשטרה אישר הנאשם את גרסת המתלוננת כי ביקש לעצור את המונית על מנת לרכוש סיגריות. ואולם טען כי היא זו אשר ביצעה את הרכישה, גרסה בלתי סבירה על פניה לנוכח העובדה כי יוזמת הרכישה היתה שלו. בבית המשפט חזר בו הנאשם מכך וטען כי עצר את המונית ביוזמתה של המתלוננת. התרשמתי כי טען כחלק מקו הגנה מובנה שבחר להעלות ועל מנת לשכנע את בית המשפט כי המתלוננת שלטה במצב  הדברים וכי היתה זו היא אשר ביקשה ממנו לעצור ולרכוש סיגריות. לכאורה דבר המצוי בשולי הדברים ואולם מצביע לטעמי ביתר שאת על מגמתיות גרסת  הנאשם.</w:t>
      </w:r>
    </w:p>
    <w:p w14:paraId="53A3B207" w14:textId="77777777" w:rsidR="002C6C97" w:rsidRDefault="002C6C97">
      <w:pPr>
        <w:pStyle w:val="Header"/>
        <w:tabs>
          <w:tab w:val="num" w:pos="2340"/>
        </w:tabs>
        <w:rPr>
          <w:rFonts w:hint="cs"/>
          <w:sz w:val="24"/>
          <w:rtl/>
        </w:rPr>
      </w:pPr>
    </w:p>
    <w:p w14:paraId="49F191CE" w14:textId="77777777" w:rsidR="002C6C97" w:rsidRDefault="002C6C97">
      <w:pPr>
        <w:pStyle w:val="Header"/>
        <w:tabs>
          <w:tab w:val="num" w:pos="2340"/>
        </w:tabs>
        <w:ind w:left="1080"/>
        <w:rPr>
          <w:rFonts w:hint="cs"/>
          <w:b/>
          <w:bCs/>
          <w:sz w:val="24"/>
          <w:u w:val="single"/>
          <w:rtl/>
        </w:rPr>
      </w:pPr>
      <w:r>
        <w:rPr>
          <w:rFonts w:hint="cs"/>
          <w:rtl/>
        </w:rPr>
        <w:t>גם בחוסר עקביות הנאשם ניתן למצוא תמיכה להתרשמותי בדבר חוסר מהימנותו. לנוכח גרסת המתלוננת כי שוחח עימה אודות דליה ואבי טען הנאשם תחילה כי לא שוחחו במהלך הנסיעה כלל. גם גרסה זו בלתי הגיונית על פניה לנוכח נסיבות הנסיעה והקשר המשפחתי ביניהם. בחקירה הנגדית העיד הנאשם כי שוחחו אודות דליה כפי שהעידה המתלוננת, בהמשך טען כי המתלוננת היא זו ששוחחה אודות דליה ולאחר מכן אישר כי אכן ניהלו שיחה אודות עניינים משפחתיים.</w:t>
      </w:r>
    </w:p>
    <w:p w14:paraId="53736ED1" w14:textId="77777777" w:rsidR="002C6C97" w:rsidRDefault="002C6C97">
      <w:pPr>
        <w:pStyle w:val="Header"/>
        <w:tabs>
          <w:tab w:val="left" w:pos="720"/>
        </w:tabs>
        <w:rPr>
          <w:rFonts w:hint="cs"/>
          <w:b/>
          <w:bCs/>
          <w:sz w:val="24"/>
          <w:u w:val="single"/>
          <w:rtl/>
        </w:rPr>
      </w:pPr>
      <w:r>
        <w:rPr>
          <w:rFonts w:hint="cs"/>
          <w:snapToGrid w:val="0"/>
          <w:rtl/>
        </w:rPr>
        <w:br w:type="page"/>
      </w:r>
    </w:p>
    <w:p w14:paraId="0E6F1FBF" w14:textId="77777777" w:rsidR="002C6C97" w:rsidRDefault="002C6C97">
      <w:pPr>
        <w:pStyle w:val="Header"/>
        <w:tabs>
          <w:tab w:val="left" w:pos="720"/>
        </w:tabs>
        <w:rPr>
          <w:rFonts w:hint="cs"/>
          <w:b/>
          <w:bCs/>
          <w:sz w:val="24"/>
          <w:u w:val="single"/>
          <w:rtl/>
        </w:rPr>
      </w:pPr>
      <w:r>
        <w:rPr>
          <w:rFonts w:hint="cs"/>
          <w:b/>
          <w:bCs/>
          <w:sz w:val="24"/>
          <w:u w:val="single"/>
          <w:rtl/>
        </w:rPr>
        <w:t>המסגרת המשפטית</w:t>
      </w:r>
    </w:p>
    <w:p w14:paraId="5821915E" w14:textId="77777777" w:rsidR="002C6C97" w:rsidRDefault="002C6C97">
      <w:pPr>
        <w:pStyle w:val="Header"/>
        <w:tabs>
          <w:tab w:val="left" w:pos="720"/>
        </w:tabs>
        <w:rPr>
          <w:rFonts w:hint="cs"/>
          <w:b/>
          <w:bCs/>
          <w:sz w:val="24"/>
          <w:u w:val="single"/>
          <w:rtl/>
        </w:rPr>
      </w:pPr>
    </w:p>
    <w:p w14:paraId="1AD298B8" w14:textId="77777777" w:rsidR="002C6C97" w:rsidRDefault="002C6C97">
      <w:pPr>
        <w:pStyle w:val="Header"/>
        <w:tabs>
          <w:tab w:val="left" w:pos="720"/>
        </w:tabs>
        <w:rPr>
          <w:rFonts w:hint="cs"/>
          <w:b/>
          <w:bCs/>
          <w:sz w:val="24"/>
          <w:u w:val="single"/>
          <w:rtl/>
        </w:rPr>
      </w:pPr>
      <w:r>
        <w:rPr>
          <w:rFonts w:hint="cs"/>
          <w:b/>
          <w:bCs/>
          <w:sz w:val="24"/>
          <w:u w:val="single"/>
          <w:rtl/>
        </w:rPr>
        <w:t>עבירת המעשה המגונה</w:t>
      </w:r>
    </w:p>
    <w:p w14:paraId="1C398EF5" w14:textId="77777777" w:rsidR="002C6C97" w:rsidRDefault="002C6C97">
      <w:pPr>
        <w:pStyle w:val="Header"/>
        <w:tabs>
          <w:tab w:val="left" w:pos="720"/>
        </w:tabs>
        <w:ind w:left="360"/>
        <w:rPr>
          <w:rFonts w:hint="cs"/>
          <w:sz w:val="24"/>
          <w:rtl/>
        </w:rPr>
      </w:pPr>
    </w:p>
    <w:p w14:paraId="672E04C0" w14:textId="77777777" w:rsidR="002C6C97" w:rsidRDefault="002C6C97">
      <w:pPr>
        <w:pStyle w:val="Header"/>
        <w:numPr>
          <w:ilvl w:val="0"/>
          <w:numId w:val="2"/>
        </w:numPr>
        <w:ind w:right="0"/>
        <w:rPr>
          <w:rFonts w:hint="cs"/>
          <w:sz w:val="24"/>
          <w:u w:val="single"/>
          <w:rtl/>
        </w:rPr>
      </w:pPr>
      <w:r>
        <w:rPr>
          <w:rFonts w:hint="cs"/>
          <w:sz w:val="24"/>
          <w:rtl/>
        </w:rPr>
        <w:t>לאור קביעותי העובדתיות דלעיל כי הנאשם ליטף את המתלוננת , ניסה לנשקה, החדיר את ידו מתחת לחזייתה ואחז בשדה, אחז בשערה, סובב אליו את ראשה והחדיר את לשונו אל תוך פיה, בעודה דוחפת אותו, הוכחו מיניי ובייה כל יסודות עבירת המעשה המגונה המיוחסת לנאשם.</w:t>
      </w:r>
    </w:p>
    <w:p w14:paraId="6B7918FB" w14:textId="77777777" w:rsidR="002C6C97" w:rsidRDefault="002C6C97">
      <w:pPr>
        <w:pStyle w:val="Header"/>
        <w:tabs>
          <w:tab w:val="left" w:pos="720"/>
        </w:tabs>
        <w:rPr>
          <w:rFonts w:hint="cs"/>
          <w:sz w:val="24"/>
          <w:u w:val="single"/>
          <w:rtl/>
        </w:rPr>
      </w:pPr>
    </w:p>
    <w:p w14:paraId="1FC05038" w14:textId="77777777" w:rsidR="002C6C97" w:rsidRDefault="002C6C97">
      <w:pPr>
        <w:pStyle w:val="Header"/>
        <w:tabs>
          <w:tab w:val="left" w:pos="720"/>
        </w:tabs>
        <w:rPr>
          <w:rFonts w:hint="cs"/>
          <w:sz w:val="24"/>
          <w:rtl/>
        </w:rPr>
      </w:pPr>
      <w:r>
        <w:rPr>
          <w:rFonts w:hint="cs"/>
          <w:sz w:val="24"/>
          <w:u w:val="single"/>
          <w:rtl/>
        </w:rPr>
        <w:t>עבירת ההטרדה המינית</w:t>
      </w:r>
    </w:p>
    <w:p w14:paraId="2FD231B6" w14:textId="77777777" w:rsidR="002C6C97" w:rsidRDefault="002C6C97">
      <w:pPr>
        <w:pStyle w:val="Header"/>
        <w:tabs>
          <w:tab w:val="left" w:pos="720"/>
        </w:tabs>
        <w:rPr>
          <w:rFonts w:hint="cs"/>
          <w:sz w:val="24"/>
          <w:rtl/>
        </w:rPr>
      </w:pPr>
    </w:p>
    <w:p w14:paraId="2DC9E3E4" w14:textId="77777777" w:rsidR="002C6C97" w:rsidRDefault="002C6C97">
      <w:pPr>
        <w:pStyle w:val="Header"/>
        <w:numPr>
          <w:ilvl w:val="0"/>
          <w:numId w:val="2"/>
        </w:numPr>
        <w:tabs>
          <w:tab w:val="left" w:pos="720"/>
        </w:tabs>
        <w:ind w:right="0"/>
        <w:rPr>
          <w:rFonts w:hint="cs"/>
          <w:sz w:val="24"/>
          <w:rtl/>
        </w:rPr>
      </w:pPr>
      <w:r>
        <w:rPr>
          <w:rFonts w:hint="cs"/>
          <w:sz w:val="24"/>
          <w:rtl/>
        </w:rPr>
        <w:t xml:space="preserve">      עבירה זו מתבססת על עדותה של המתלוננת בנוגע לאמירות שהשמיע כלפיה הנאשם במהלך הנסיעה: כי היא זקוקה לגבר בעל ממון שיוכל לפרנסה, שתהיה פילגשו וכי ברצונו לבלות עימה בבית מלון.</w:t>
      </w:r>
    </w:p>
    <w:p w14:paraId="35387453" w14:textId="77777777" w:rsidR="002C6C97" w:rsidRDefault="002C6C97">
      <w:pPr>
        <w:pStyle w:val="Header"/>
        <w:tabs>
          <w:tab w:val="left" w:pos="720"/>
        </w:tabs>
        <w:ind w:left="360"/>
        <w:rPr>
          <w:sz w:val="24"/>
          <w:rtl/>
        </w:rPr>
      </w:pPr>
    </w:p>
    <w:p w14:paraId="51D36D77" w14:textId="77777777" w:rsidR="002C6C97" w:rsidRDefault="002C6C97">
      <w:pPr>
        <w:pStyle w:val="Header"/>
        <w:numPr>
          <w:ilvl w:val="0"/>
          <w:numId w:val="2"/>
        </w:numPr>
        <w:tabs>
          <w:tab w:val="left" w:pos="720"/>
        </w:tabs>
        <w:ind w:right="0"/>
        <w:rPr>
          <w:sz w:val="24"/>
          <w:rtl/>
        </w:rPr>
      </w:pPr>
      <w:r>
        <w:rPr>
          <w:rFonts w:hint="cs"/>
          <w:sz w:val="24"/>
          <w:rtl/>
        </w:rPr>
        <w:t>הטרדה מינית מוגדרת ב</w:t>
      </w:r>
      <w:hyperlink r:id="rId29" w:history="1">
        <w:r w:rsidR="008C0B43" w:rsidRPr="008C0B43">
          <w:rPr>
            <w:rStyle w:val="Hyperlink"/>
            <w:rFonts w:hint="eastAsia"/>
            <w:sz w:val="24"/>
            <w:rtl/>
          </w:rPr>
          <w:t>חוק</w:t>
        </w:r>
        <w:r w:rsidR="008C0B43" w:rsidRPr="008C0B43">
          <w:rPr>
            <w:rStyle w:val="Hyperlink"/>
            <w:sz w:val="24"/>
            <w:rtl/>
          </w:rPr>
          <w:t xml:space="preserve"> למניעת הטרדה מינית</w:t>
        </w:r>
      </w:hyperlink>
      <w:r>
        <w:rPr>
          <w:rFonts w:hint="cs"/>
          <w:sz w:val="24"/>
          <w:rtl/>
        </w:rPr>
        <w:t>, התשנ"ח-1998 , סעיף 3 כדלקמן:</w:t>
      </w:r>
    </w:p>
    <w:p w14:paraId="371B5BDA" w14:textId="77777777" w:rsidR="002C6C97" w:rsidRDefault="002C6C97">
      <w:pPr>
        <w:pStyle w:val="Header"/>
        <w:ind w:left="1440"/>
        <w:rPr>
          <w:rFonts w:hint="cs"/>
          <w:sz w:val="24"/>
          <w:rtl/>
        </w:rPr>
      </w:pPr>
    </w:p>
    <w:p w14:paraId="2F9F8A12" w14:textId="77777777" w:rsidR="002C6C97" w:rsidRDefault="002C6C97">
      <w:pPr>
        <w:pStyle w:val="Header"/>
        <w:ind w:left="1440"/>
        <w:rPr>
          <w:rFonts w:hint="cs"/>
          <w:b/>
          <w:bCs/>
          <w:sz w:val="24"/>
          <w:rtl/>
        </w:rPr>
      </w:pPr>
      <w:r>
        <w:rPr>
          <w:rFonts w:hint="cs"/>
          <w:b/>
          <w:bCs/>
          <w:sz w:val="24"/>
          <w:rtl/>
        </w:rPr>
        <w:t xml:space="preserve">"3. הטרדה מינית והתנכלות </w:t>
      </w:r>
    </w:p>
    <w:p w14:paraId="1680A025" w14:textId="77777777" w:rsidR="002C6C97" w:rsidRDefault="002C6C97">
      <w:pPr>
        <w:pStyle w:val="Header"/>
        <w:ind w:left="1440"/>
        <w:rPr>
          <w:rFonts w:hint="cs"/>
          <w:sz w:val="24"/>
          <w:rtl/>
        </w:rPr>
      </w:pPr>
    </w:p>
    <w:p w14:paraId="5F8C697B" w14:textId="77777777" w:rsidR="002C6C97" w:rsidRDefault="002C6C97">
      <w:pPr>
        <w:pStyle w:val="Header"/>
        <w:ind w:left="1440"/>
        <w:rPr>
          <w:rFonts w:hint="cs"/>
          <w:b/>
          <w:bCs/>
          <w:sz w:val="24"/>
          <w:rtl/>
        </w:rPr>
      </w:pPr>
      <w:r>
        <w:rPr>
          <w:rFonts w:hint="cs"/>
          <w:b/>
          <w:bCs/>
          <w:sz w:val="24"/>
          <w:rtl/>
        </w:rPr>
        <w:t xml:space="preserve">(א) הטרדה מינית היא כל אחד ממעשים אלה: </w:t>
      </w:r>
    </w:p>
    <w:p w14:paraId="28B77CCF" w14:textId="77777777" w:rsidR="002C6C97" w:rsidRDefault="002C6C97">
      <w:pPr>
        <w:pStyle w:val="Header"/>
        <w:ind w:left="1440"/>
        <w:rPr>
          <w:rFonts w:hint="cs"/>
          <w:b/>
          <w:bCs/>
          <w:sz w:val="24"/>
          <w:rtl/>
        </w:rPr>
      </w:pPr>
    </w:p>
    <w:p w14:paraId="223BE4F9" w14:textId="77777777" w:rsidR="002C6C97" w:rsidRDefault="002C6C97">
      <w:pPr>
        <w:pStyle w:val="Header"/>
        <w:ind w:left="1440"/>
        <w:rPr>
          <w:rFonts w:hint="cs"/>
          <w:b/>
          <w:bCs/>
          <w:sz w:val="24"/>
          <w:rtl/>
        </w:rPr>
      </w:pPr>
      <w:r>
        <w:rPr>
          <w:rFonts w:hint="cs"/>
          <w:b/>
          <w:bCs/>
          <w:sz w:val="24"/>
          <w:rtl/>
        </w:rPr>
        <w:t xml:space="preserve">(1) סחיטה באיומים, כמשמעותה </w:t>
      </w:r>
      <w:hyperlink r:id="rId30" w:history="1">
        <w:r w:rsidR="00B173BA" w:rsidRPr="00B173BA">
          <w:rPr>
            <w:rStyle w:val="Hyperlink"/>
            <w:rFonts w:hint="eastAsia"/>
            <w:b/>
            <w:bCs/>
            <w:sz w:val="24"/>
            <w:rtl/>
          </w:rPr>
          <w:t>בסעיף</w:t>
        </w:r>
        <w:r w:rsidR="00B173BA" w:rsidRPr="00B173BA">
          <w:rPr>
            <w:rStyle w:val="Hyperlink"/>
            <w:b/>
            <w:bCs/>
            <w:sz w:val="24"/>
            <w:rtl/>
          </w:rPr>
          <w:t xml:space="preserve"> 428</w:t>
        </w:r>
      </w:hyperlink>
      <w:r>
        <w:rPr>
          <w:rFonts w:hint="cs"/>
          <w:b/>
          <w:bCs/>
          <w:sz w:val="24"/>
          <w:rtl/>
        </w:rPr>
        <w:t xml:space="preserve"> ל</w:t>
      </w:r>
      <w:hyperlink r:id="rId31" w:history="1">
        <w:r w:rsidR="008C0B43" w:rsidRPr="008C0B43">
          <w:rPr>
            <w:rStyle w:val="Hyperlink"/>
            <w:rFonts w:hint="eastAsia"/>
            <w:b/>
            <w:bCs/>
            <w:sz w:val="24"/>
            <w:rtl/>
          </w:rPr>
          <w:t>חוק</w:t>
        </w:r>
        <w:r w:rsidR="008C0B43" w:rsidRPr="008C0B43">
          <w:rPr>
            <w:rStyle w:val="Hyperlink"/>
            <w:b/>
            <w:bCs/>
            <w:sz w:val="24"/>
            <w:rtl/>
          </w:rPr>
          <w:t xml:space="preserve"> העונשין</w:t>
        </w:r>
      </w:hyperlink>
      <w:r>
        <w:rPr>
          <w:rFonts w:hint="cs"/>
          <w:b/>
          <w:bCs/>
          <w:sz w:val="24"/>
          <w:rtl/>
        </w:rPr>
        <w:t>, כאשר המעשה</w:t>
      </w:r>
    </w:p>
    <w:p w14:paraId="6ECBDAC7" w14:textId="77777777" w:rsidR="002C6C97" w:rsidRDefault="002C6C97">
      <w:pPr>
        <w:pStyle w:val="Header"/>
        <w:ind w:left="1440"/>
        <w:rPr>
          <w:rFonts w:hint="cs"/>
          <w:b/>
          <w:bCs/>
          <w:sz w:val="24"/>
          <w:rtl/>
        </w:rPr>
      </w:pPr>
      <w:r>
        <w:rPr>
          <w:rFonts w:hint="cs"/>
          <w:b/>
          <w:bCs/>
          <w:sz w:val="24"/>
          <w:rtl/>
        </w:rPr>
        <w:t xml:space="preserve">שהאדם נדרש לעשותו הוא בעל אופי מיני; </w:t>
      </w:r>
    </w:p>
    <w:p w14:paraId="1D94F896" w14:textId="77777777" w:rsidR="002C6C97" w:rsidRDefault="002C6C97">
      <w:pPr>
        <w:pStyle w:val="Header"/>
        <w:ind w:left="1440"/>
        <w:rPr>
          <w:rFonts w:hint="cs"/>
          <w:b/>
          <w:bCs/>
          <w:sz w:val="24"/>
          <w:rtl/>
        </w:rPr>
      </w:pPr>
    </w:p>
    <w:p w14:paraId="7711425E" w14:textId="77777777" w:rsidR="002C6C97" w:rsidRDefault="002C6C97">
      <w:pPr>
        <w:pStyle w:val="Header"/>
        <w:ind w:left="1440"/>
        <w:rPr>
          <w:rFonts w:hint="cs"/>
          <w:b/>
          <w:bCs/>
          <w:sz w:val="24"/>
          <w:rtl/>
        </w:rPr>
      </w:pPr>
      <w:r>
        <w:rPr>
          <w:rFonts w:hint="cs"/>
          <w:b/>
          <w:bCs/>
          <w:sz w:val="24"/>
          <w:rtl/>
        </w:rPr>
        <w:t xml:space="preserve">(2) מעשים מגונים כמשמעותם </w:t>
      </w:r>
      <w:hyperlink r:id="rId32" w:history="1">
        <w:r w:rsidR="00B173BA" w:rsidRPr="00B173BA">
          <w:rPr>
            <w:rStyle w:val="Hyperlink"/>
            <w:rFonts w:hint="eastAsia"/>
            <w:b/>
            <w:bCs/>
            <w:sz w:val="24"/>
            <w:rtl/>
          </w:rPr>
          <w:t>בסעיפים</w:t>
        </w:r>
        <w:r w:rsidR="00B173BA" w:rsidRPr="00B173BA">
          <w:rPr>
            <w:rStyle w:val="Hyperlink"/>
            <w:b/>
            <w:bCs/>
            <w:sz w:val="24"/>
            <w:rtl/>
          </w:rPr>
          <w:t xml:space="preserve"> 348 ו-349</w:t>
        </w:r>
      </w:hyperlink>
      <w:r>
        <w:rPr>
          <w:rFonts w:hint="cs"/>
          <w:b/>
          <w:bCs/>
          <w:sz w:val="24"/>
          <w:rtl/>
        </w:rPr>
        <w:t xml:space="preserve"> ל</w:t>
      </w:r>
      <w:hyperlink r:id="rId33" w:history="1">
        <w:r w:rsidR="008C0B43" w:rsidRPr="008C0B43">
          <w:rPr>
            <w:rStyle w:val="Hyperlink"/>
            <w:rFonts w:hint="eastAsia"/>
            <w:b/>
            <w:bCs/>
            <w:sz w:val="24"/>
            <w:rtl/>
          </w:rPr>
          <w:t>חוק</w:t>
        </w:r>
        <w:r w:rsidR="008C0B43" w:rsidRPr="008C0B43">
          <w:rPr>
            <w:rStyle w:val="Hyperlink"/>
            <w:b/>
            <w:bCs/>
            <w:sz w:val="24"/>
            <w:rtl/>
          </w:rPr>
          <w:t xml:space="preserve"> העונשין</w:t>
        </w:r>
      </w:hyperlink>
      <w:r>
        <w:rPr>
          <w:rFonts w:hint="cs"/>
          <w:b/>
          <w:bCs/>
          <w:sz w:val="24"/>
          <w:rtl/>
        </w:rPr>
        <w:t xml:space="preserve">; </w:t>
      </w:r>
    </w:p>
    <w:p w14:paraId="6C2C12F9" w14:textId="77777777" w:rsidR="002C6C97" w:rsidRDefault="002C6C97">
      <w:pPr>
        <w:pStyle w:val="Header"/>
        <w:ind w:left="1440"/>
        <w:rPr>
          <w:rFonts w:hint="cs"/>
          <w:b/>
          <w:bCs/>
          <w:sz w:val="24"/>
          <w:rtl/>
        </w:rPr>
      </w:pPr>
    </w:p>
    <w:p w14:paraId="71E0B9FD" w14:textId="77777777" w:rsidR="002C6C97" w:rsidRDefault="002C6C97">
      <w:pPr>
        <w:pStyle w:val="Header"/>
        <w:ind w:left="1440"/>
        <w:rPr>
          <w:rFonts w:hint="cs"/>
          <w:b/>
          <w:bCs/>
          <w:sz w:val="24"/>
          <w:rtl/>
        </w:rPr>
      </w:pPr>
      <w:r>
        <w:rPr>
          <w:rFonts w:hint="cs"/>
          <w:b/>
          <w:bCs/>
          <w:sz w:val="24"/>
          <w:rtl/>
        </w:rPr>
        <w:t xml:space="preserve">(3) הצעות חוזרות בעלות אופי מיני, המופנות לאדם אשר הראה למטריד כי אינו מעונין בהצעות האמורות; </w:t>
      </w:r>
    </w:p>
    <w:p w14:paraId="554C0F87" w14:textId="77777777" w:rsidR="002C6C97" w:rsidRDefault="002C6C97">
      <w:pPr>
        <w:pStyle w:val="Header"/>
        <w:ind w:left="1440"/>
        <w:rPr>
          <w:rFonts w:hint="cs"/>
          <w:b/>
          <w:bCs/>
          <w:sz w:val="24"/>
          <w:rtl/>
        </w:rPr>
      </w:pPr>
    </w:p>
    <w:p w14:paraId="61FC882E" w14:textId="77777777" w:rsidR="002C6C97" w:rsidRDefault="002C6C97">
      <w:pPr>
        <w:pStyle w:val="Header"/>
        <w:ind w:left="1440"/>
        <w:rPr>
          <w:rFonts w:hint="cs"/>
          <w:b/>
          <w:bCs/>
          <w:sz w:val="24"/>
          <w:rtl/>
        </w:rPr>
      </w:pPr>
      <w:r>
        <w:rPr>
          <w:rFonts w:hint="cs"/>
          <w:b/>
          <w:bCs/>
          <w:sz w:val="24"/>
          <w:rtl/>
        </w:rPr>
        <w:t xml:space="preserve">(4) התייחסויות חוזרות המופנות לאדם, המתמקדות במיניותו, כאשר אותו אדם הראה למטריד כי אינו מעונין בהתייחסויות האמורות; </w:t>
      </w:r>
    </w:p>
    <w:p w14:paraId="30013A42" w14:textId="77777777" w:rsidR="002C6C97" w:rsidRDefault="002C6C97">
      <w:pPr>
        <w:pStyle w:val="Header"/>
        <w:ind w:left="1440"/>
        <w:rPr>
          <w:rFonts w:hint="cs"/>
          <w:b/>
          <w:bCs/>
          <w:sz w:val="24"/>
          <w:rtl/>
        </w:rPr>
      </w:pPr>
    </w:p>
    <w:p w14:paraId="3A24BEE2" w14:textId="77777777" w:rsidR="002C6C97" w:rsidRDefault="002C6C97">
      <w:pPr>
        <w:pStyle w:val="Header"/>
        <w:tabs>
          <w:tab w:val="left" w:pos="720"/>
        </w:tabs>
        <w:ind w:left="1440"/>
        <w:rPr>
          <w:rFonts w:hint="cs"/>
          <w:sz w:val="24"/>
          <w:rtl/>
        </w:rPr>
      </w:pPr>
      <w:r>
        <w:rPr>
          <w:rFonts w:hint="cs"/>
          <w:b/>
          <w:bCs/>
          <w:sz w:val="24"/>
          <w:rtl/>
        </w:rPr>
        <w:t>(5) התייחסות מבזה או משפילה המופנית לאדם ביחס למינו או למיניותו, לרבות נטייתו המינית"...</w:t>
      </w:r>
    </w:p>
    <w:p w14:paraId="2EBBB3D4" w14:textId="77777777" w:rsidR="002C6C97" w:rsidRDefault="002C6C97">
      <w:pPr>
        <w:pStyle w:val="Header"/>
        <w:rPr>
          <w:rFonts w:hint="cs"/>
          <w:sz w:val="24"/>
          <w:rtl/>
        </w:rPr>
      </w:pPr>
    </w:p>
    <w:p w14:paraId="71EE89AE" w14:textId="77777777" w:rsidR="002C6C97" w:rsidRDefault="002C6C97">
      <w:pPr>
        <w:pStyle w:val="Header"/>
        <w:numPr>
          <w:ilvl w:val="0"/>
          <w:numId w:val="2"/>
        </w:numPr>
        <w:ind w:right="0"/>
        <w:rPr>
          <w:rFonts w:hint="cs"/>
          <w:sz w:val="24"/>
          <w:rtl/>
        </w:rPr>
      </w:pPr>
      <w:r>
        <w:rPr>
          <w:rFonts w:hint="cs"/>
          <w:sz w:val="24"/>
          <w:rtl/>
        </w:rPr>
        <w:t xml:space="preserve">כתב האישום המקורי ייחס לנאשם ביצוע עבירה של הטרדה מינית בניגוד </w:t>
      </w:r>
      <w:hyperlink r:id="rId34" w:history="1">
        <w:r w:rsidR="00B173BA" w:rsidRPr="00B173BA">
          <w:rPr>
            <w:rStyle w:val="Hyperlink"/>
            <w:rFonts w:hint="eastAsia"/>
            <w:sz w:val="24"/>
            <w:rtl/>
          </w:rPr>
          <w:t>לסעיף</w:t>
        </w:r>
        <w:r w:rsidR="00B173BA" w:rsidRPr="00B173BA">
          <w:rPr>
            <w:rStyle w:val="Hyperlink"/>
            <w:sz w:val="24"/>
            <w:rtl/>
          </w:rPr>
          <w:t xml:space="preserve"> 3(א)(ב)</w:t>
        </w:r>
      </w:hyperlink>
      <w:r>
        <w:rPr>
          <w:rFonts w:hint="cs"/>
          <w:sz w:val="24"/>
          <w:rtl/>
        </w:rPr>
        <w:t>, ל</w:t>
      </w:r>
      <w:hyperlink r:id="rId35" w:history="1">
        <w:r w:rsidR="008C0B43" w:rsidRPr="008C0B43">
          <w:rPr>
            <w:rStyle w:val="Hyperlink"/>
            <w:rFonts w:hint="eastAsia"/>
            <w:sz w:val="24"/>
            <w:rtl/>
          </w:rPr>
          <w:t>חוק</w:t>
        </w:r>
        <w:r w:rsidR="008C0B43" w:rsidRPr="008C0B43">
          <w:rPr>
            <w:rStyle w:val="Hyperlink"/>
            <w:sz w:val="24"/>
            <w:rtl/>
          </w:rPr>
          <w:t xml:space="preserve"> למניעת הטרדה מינית</w:t>
        </w:r>
      </w:hyperlink>
      <w:r>
        <w:rPr>
          <w:rFonts w:hint="cs"/>
          <w:sz w:val="24"/>
          <w:rtl/>
        </w:rPr>
        <w:t>, אשר אינו בנמצא. ב"כ המאשימה טענה בסיכומיה כי המדובר בטעות קולמוס ועתרה לתיקון כתב האישום חרף השלב המתקדם בו מצוי הדיון.</w:t>
      </w:r>
    </w:p>
    <w:p w14:paraId="6724C4DB" w14:textId="77777777" w:rsidR="002C6C97" w:rsidRDefault="002C6C97">
      <w:pPr>
        <w:pStyle w:val="Header"/>
        <w:ind w:left="360"/>
        <w:rPr>
          <w:sz w:val="24"/>
          <w:rtl/>
        </w:rPr>
      </w:pPr>
    </w:p>
    <w:p w14:paraId="08A0EE16" w14:textId="77777777" w:rsidR="002C6C97" w:rsidRDefault="002C6C97">
      <w:pPr>
        <w:pStyle w:val="Header"/>
        <w:ind w:left="1038"/>
        <w:rPr>
          <w:sz w:val="24"/>
          <w:rtl/>
        </w:rPr>
      </w:pPr>
      <w:r>
        <w:rPr>
          <w:rFonts w:hint="cs"/>
          <w:sz w:val="24"/>
          <w:rtl/>
        </w:rPr>
        <w:t xml:space="preserve">היא אישרה כי על פי הראיות שהובאו לבית המשפט , לא נשמעו אמירות חוזרות ונשנות מפי הנאשם ועל כן לא התקיימו יסודות </w:t>
      </w:r>
      <w:hyperlink r:id="rId36" w:history="1">
        <w:r w:rsidR="00B173BA" w:rsidRPr="00B173BA">
          <w:rPr>
            <w:rStyle w:val="Hyperlink"/>
            <w:rFonts w:hint="eastAsia"/>
            <w:sz w:val="24"/>
            <w:rtl/>
          </w:rPr>
          <w:t>ס</w:t>
        </w:r>
        <w:r w:rsidR="00B173BA" w:rsidRPr="00B173BA">
          <w:rPr>
            <w:rStyle w:val="Hyperlink"/>
            <w:sz w:val="24"/>
            <w:rtl/>
          </w:rPr>
          <w:t>"ק (א)(3)</w:t>
        </w:r>
      </w:hyperlink>
      <w:r>
        <w:rPr>
          <w:rFonts w:hint="cs"/>
          <w:sz w:val="24"/>
          <w:rtl/>
        </w:rPr>
        <w:t xml:space="preserve">. ואולם טענה כי יש לייחס לנאשם ביצוע עבירה בניגוד </w:t>
      </w:r>
      <w:hyperlink r:id="rId37" w:history="1">
        <w:r w:rsidR="00B173BA" w:rsidRPr="00B173BA">
          <w:rPr>
            <w:rStyle w:val="Hyperlink"/>
            <w:rFonts w:hint="eastAsia"/>
            <w:sz w:val="24"/>
            <w:rtl/>
          </w:rPr>
          <w:t>לס</w:t>
        </w:r>
        <w:r w:rsidR="00B173BA" w:rsidRPr="00B173BA">
          <w:rPr>
            <w:rStyle w:val="Hyperlink"/>
            <w:sz w:val="24"/>
            <w:rtl/>
          </w:rPr>
          <w:t>"ק (א)(5).</w:t>
        </w:r>
      </w:hyperlink>
      <w:r>
        <w:rPr>
          <w:rFonts w:hint="cs"/>
          <w:sz w:val="24"/>
          <w:rtl/>
        </w:rPr>
        <w:t xml:space="preserve"> לחילופין עתרה לבית המשפט כי אם לא ייעתר לבקשת התיקון, כי ירשיע את הנאשם בעבירה זו, על פי העובדות שנגלו בפניו . </w:t>
      </w:r>
    </w:p>
    <w:p w14:paraId="20DA8462" w14:textId="77777777" w:rsidR="002C6C97" w:rsidRDefault="002C6C97">
      <w:pPr>
        <w:pStyle w:val="Header"/>
        <w:tabs>
          <w:tab w:val="left" w:pos="720"/>
        </w:tabs>
        <w:rPr>
          <w:rFonts w:hint="cs"/>
          <w:sz w:val="24"/>
          <w:rtl/>
        </w:rPr>
      </w:pPr>
    </w:p>
    <w:p w14:paraId="7A155487" w14:textId="77777777" w:rsidR="002C6C97" w:rsidRDefault="002C6C97">
      <w:pPr>
        <w:pStyle w:val="Header"/>
        <w:tabs>
          <w:tab w:val="left" w:pos="720"/>
        </w:tabs>
        <w:ind w:left="1038"/>
        <w:rPr>
          <w:rFonts w:hint="cs"/>
          <w:sz w:val="24"/>
          <w:rtl/>
        </w:rPr>
      </w:pPr>
      <w:r>
        <w:rPr>
          <w:rFonts w:hint="cs"/>
          <w:sz w:val="24"/>
          <w:rtl/>
        </w:rPr>
        <w:t xml:space="preserve">ב"כ הנאשם טען כי קיים פגם או פסול בכתב האישום, לנוכח העובדה כי עובדותיו אינן מגלות את יסודות עבירת ההטרדה המינית. שכן אמירות הנאשם למתלוננת, לרבות הצעתו להיות לו לפילגש, אינן אמירות "מבזות או משפילות המתייחסות למיניותה". </w:t>
      </w:r>
    </w:p>
    <w:p w14:paraId="1F58B056" w14:textId="77777777" w:rsidR="002C6C97" w:rsidRDefault="002C6C97">
      <w:pPr>
        <w:pStyle w:val="Header"/>
        <w:tabs>
          <w:tab w:val="left" w:pos="720"/>
        </w:tabs>
        <w:rPr>
          <w:rFonts w:hint="cs"/>
          <w:sz w:val="24"/>
          <w:rtl/>
        </w:rPr>
      </w:pPr>
    </w:p>
    <w:p w14:paraId="28719F4C" w14:textId="77777777" w:rsidR="002C6C97" w:rsidRDefault="002C6C97">
      <w:pPr>
        <w:pStyle w:val="Header"/>
        <w:numPr>
          <w:ilvl w:val="0"/>
          <w:numId w:val="2"/>
        </w:numPr>
        <w:ind w:right="0"/>
        <w:rPr>
          <w:rFonts w:hint="cs"/>
          <w:rtl/>
        </w:rPr>
      </w:pPr>
      <w:r>
        <w:rPr>
          <w:rFonts w:hint="cs"/>
          <w:rtl/>
        </w:rPr>
        <w:t>לא מצאתי מקום להורות על תיקון כתב האישום בשלב הסיכומים ואף מקומה של טענת ההגנה לפסול או פגם בכתב האישום אינו בשלב זה. ואולם, לאחר ששוכנעתי כי ניתנה לנאשם ההזדמנות להתגונן מפני הרשעה בעבירה של הטרדה מינית, אף לנוכח נוסח כתב האישום ועובדותיו המקוריות, מצאתי מקום להרשיעו על פי העובדות שנגלו בפני ואף על פי עובדות כתב האישום.</w:t>
      </w:r>
    </w:p>
    <w:p w14:paraId="29F8E819" w14:textId="77777777" w:rsidR="002C6C97" w:rsidRDefault="002C6C97">
      <w:pPr>
        <w:pStyle w:val="Header"/>
        <w:ind w:left="360"/>
        <w:rPr>
          <w:rtl/>
        </w:rPr>
      </w:pPr>
    </w:p>
    <w:p w14:paraId="4CECD77B" w14:textId="77777777" w:rsidR="002C6C97" w:rsidRDefault="002C6C97">
      <w:pPr>
        <w:pStyle w:val="Header"/>
        <w:numPr>
          <w:ilvl w:val="0"/>
          <w:numId w:val="2"/>
        </w:numPr>
        <w:ind w:right="0"/>
        <w:rPr>
          <w:rtl/>
        </w:rPr>
      </w:pPr>
      <w:r>
        <w:rPr>
          <w:rFonts w:hint="cs"/>
          <w:rtl/>
        </w:rPr>
        <w:t>ב</w:t>
      </w:r>
      <w:hyperlink r:id="rId38" w:history="1">
        <w:r w:rsidR="008C0B43" w:rsidRPr="008C0B43">
          <w:rPr>
            <w:rStyle w:val="Hyperlink"/>
            <w:rFonts w:hint="eastAsia"/>
            <w:rtl/>
          </w:rPr>
          <w:t>עש</w:t>
        </w:r>
        <w:r w:rsidR="008C0B43" w:rsidRPr="008C0B43">
          <w:rPr>
            <w:rStyle w:val="Hyperlink"/>
            <w:rtl/>
          </w:rPr>
          <w:t>"ם 2203/05</w:t>
        </w:r>
      </w:hyperlink>
      <w:r>
        <w:rPr>
          <w:rFonts w:hint="cs"/>
          <w:rtl/>
        </w:rPr>
        <w:t xml:space="preserve"> בני מדר נ' נציבות שירות המדינה (לא פורסם) נקבע באשר לעבירת "ההטרדה המינית" כדלקמן: </w:t>
      </w:r>
    </w:p>
    <w:p w14:paraId="35135FB4" w14:textId="77777777" w:rsidR="002C6C97" w:rsidRDefault="002C6C97">
      <w:pPr>
        <w:pStyle w:val="Ruller4"/>
        <w:ind w:left="360"/>
        <w:rPr>
          <w:rFonts w:cs="David" w:hint="cs"/>
          <w:b/>
          <w:bCs/>
          <w:sz w:val="24"/>
          <w:szCs w:val="24"/>
          <w:rtl/>
        </w:rPr>
      </w:pPr>
    </w:p>
    <w:p w14:paraId="434B43F3" w14:textId="77777777" w:rsidR="002C6C97" w:rsidRDefault="002C6C97">
      <w:pPr>
        <w:pStyle w:val="Ruller4"/>
        <w:tabs>
          <w:tab w:val="clear" w:pos="800"/>
          <w:tab w:val="left" w:pos="1038"/>
        </w:tabs>
        <w:ind w:left="1038"/>
        <w:rPr>
          <w:rFonts w:cs="David" w:hint="cs"/>
          <w:b/>
          <w:bCs/>
          <w:sz w:val="24"/>
          <w:szCs w:val="24"/>
          <w:rtl/>
        </w:rPr>
      </w:pPr>
      <w:r>
        <w:rPr>
          <w:rFonts w:cs="David" w:hint="cs"/>
          <w:sz w:val="24"/>
          <w:szCs w:val="24"/>
          <w:rtl/>
        </w:rPr>
        <w:t>"</w:t>
      </w:r>
      <w:r>
        <w:rPr>
          <w:rFonts w:cs="David" w:hint="cs"/>
          <w:b/>
          <w:bCs/>
          <w:sz w:val="24"/>
          <w:szCs w:val="24"/>
          <w:rtl/>
        </w:rPr>
        <w:t>אכן, קשה להגדיר מהי "הטרדה מינית", שכן הטרדה מינית עשויה להתבטא בצורות רבות של התנהגות, אשר פוגעות במוטרד ברמות שונות (ראו והשוו: פרשת בן אשר, בע' 662; פרשת זקן, בע' 322). לא כל הלצה או בדיחה חסרת טעם יבואו בגדר המונח "הטרדה מינית" (פרשת אייזנר, בע' 552-551). גם מחמאות כשלעצמן לא יתפרשו בהכרח כהטרדה מינית (פרשת בן אשר הנ"ל, בע' 682). את אופייה האמיתי של התנהגותו של מי שמיוחסת לו הטרדה מינית יש לפרש על רקע מכלול נסיבות המקרה והתנהגות הצדדים המעורבים באירוע הנדון (</w:t>
      </w:r>
      <w:r w:rsidR="008C0B43" w:rsidRPr="00B173BA">
        <w:rPr>
          <w:rFonts w:cs="David" w:hint="eastAsia"/>
          <w:b/>
          <w:bCs/>
          <w:sz w:val="24"/>
          <w:szCs w:val="24"/>
          <w:rtl/>
        </w:rPr>
        <w:t>עש</w:t>
      </w:r>
      <w:r w:rsidR="008C0B43" w:rsidRPr="00B173BA">
        <w:rPr>
          <w:rFonts w:cs="David"/>
          <w:b/>
          <w:bCs/>
          <w:sz w:val="24"/>
          <w:szCs w:val="24"/>
          <w:rtl/>
        </w:rPr>
        <w:t>"ם 6920/03 כהן נ' מדינת ישראל, פ"ד נח</w:t>
      </w:r>
      <w:r>
        <w:rPr>
          <w:rFonts w:cs="David" w:hint="cs"/>
          <w:b/>
          <w:bCs/>
          <w:sz w:val="24"/>
          <w:szCs w:val="24"/>
          <w:rtl/>
        </w:rPr>
        <w:t>(3) 655, 660)."</w:t>
      </w:r>
    </w:p>
    <w:p w14:paraId="397A86A9" w14:textId="77777777" w:rsidR="002C6C97" w:rsidRDefault="002C6C97">
      <w:pPr>
        <w:pStyle w:val="Ruller4"/>
        <w:rPr>
          <w:rFonts w:cs="David" w:hint="cs"/>
          <w:b/>
          <w:bCs/>
          <w:sz w:val="24"/>
          <w:szCs w:val="24"/>
          <w:rtl/>
        </w:rPr>
      </w:pPr>
    </w:p>
    <w:p w14:paraId="2C8CE2E1" w14:textId="77777777" w:rsidR="002C6C97" w:rsidRDefault="002C6C97">
      <w:pPr>
        <w:pStyle w:val="Header"/>
        <w:numPr>
          <w:ilvl w:val="0"/>
          <w:numId w:val="2"/>
        </w:numPr>
        <w:ind w:right="0"/>
        <w:rPr>
          <w:rFonts w:hint="cs"/>
          <w:rtl/>
        </w:rPr>
      </w:pPr>
      <w:r>
        <w:rPr>
          <w:rFonts w:hint="cs"/>
          <w:rtl/>
        </w:rPr>
        <w:t>בחינת מכלול הנסיבות בתיק זה ומהלך האירוע , באופן שראשיתו יעיד על אחריתו וכן ההקשר בו נאמרו הדברים לא מותירים ספק בליבי כי אמירותיו של הנאשם באות בגדר נוסח הסעיף שכן הינן מתייחסות למיניותה של המתלוננת באופן מבזה ומשפיל. ולא כל שכן בעת שהמתלוננת שבה ומבהירה לנאשם את שביעות רצונה ממערכת היחסים עם אבי ומחויבותה כלפיו.</w:t>
      </w:r>
    </w:p>
    <w:p w14:paraId="33E89147" w14:textId="77777777" w:rsidR="002C6C97" w:rsidRDefault="002C6C97">
      <w:pPr>
        <w:pStyle w:val="Header"/>
        <w:tabs>
          <w:tab w:val="left" w:pos="720"/>
        </w:tabs>
        <w:rPr>
          <w:rFonts w:ascii="Arial TUR" w:hAnsi="Arial TUR" w:hint="cs"/>
          <w:spacing w:val="10"/>
          <w:sz w:val="24"/>
          <w:rtl/>
        </w:rPr>
      </w:pPr>
    </w:p>
    <w:p w14:paraId="7C1A2BD4" w14:textId="77777777" w:rsidR="002C6C97" w:rsidRDefault="002C6C97">
      <w:pPr>
        <w:pStyle w:val="Header"/>
        <w:tabs>
          <w:tab w:val="left" w:pos="720"/>
        </w:tabs>
        <w:rPr>
          <w:rFonts w:hint="cs"/>
          <w:b/>
          <w:bCs/>
          <w:sz w:val="24"/>
          <w:u w:val="single"/>
          <w:rtl/>
        </w:rPr>
      </w:pPr>
      <w:r>
        <w:rPr>
          <w:rFonts w:ascii="Arial TUR" w:hAnsi="Arial TUR" w:hint="cs"/>
          <w:spacing w:val="10"/>
          <w:sz w:val="24"/>
          <w:rtl/>
        </w:rPr>
        <w:tab/>
      </w:r>
      <w:r>
        <w:rPr>
          <w:rFonts w:hint="cs"/>
          <w:b/>
          <w:bCs/>
          <w:sz w:val="24"/>
          <w:u w:val="single"/>
          <w:rtl/>
        </w:rPr>
        <w:t>מחדלי חקירה</w:t>
      </w:r>
    </w:p>
    <w:p w14:paraId="13105875" w14:textId="77777777" w:rsidR="002C6C97" w:rsidRDefault="002C6C97">
      <w:pPr>
        <w:pStyle w:val="Header"/>
        <w:ind w:left="450"/>
        <w:rPr>
          <w:rFonts w:hint="cs"/>
          <w:b/>
          <w:bCs/>
          <w:sz w:val="24"/>
          <w:u w:val="single"/>
          <w:rtl/>
        </w:rPr>
      </w:pPr>
    </w:p>
    <w:p w14:paraId="751E3E77" w14:textId="77777777" w:rsidR="002C6C97" w:rsidRDefault="002C6C97">
      <w:pPr>
        <w:pStyle w:val="Header"/>
        <w:numPr>
          <w:ilvl w:val="0"/>
          <w:numId w:val="2"/>
        </w:numPr>
        <w:ind w:right="0"/>
        <w:rPr>
          <w:rFonts w:hint="cs"/>
          <w:sz w:val="24"/>
          <w:rtl/>
        </w:rPr>
      </w:pPr>
      <w:r>
        <w:rPr>
          <w:rFonts w:hint="cs"/>
          <w:sz w:val="24"/>
          <w:rtl/>
        </w:rPr>
        <w:t>ב"כ  הנאשם ייחד חלק מסיכומיו לטענות בדבר מחדלי החקירה אשר יהא בהם לטענתו כדי לחתור תחת מהימנות המתלוננת ולהוביל ביתר שאת למסקנה כי יש מקום לזכות את הנאשם ולמצער, מחמת הספק מכל המיוחס לו.</w:t>
      </w:r>
    </w:p>
    <w:p w14:paraId="244F63C0" w14:textId="77777777" w:rsidR="002C6C97" w:rsidRDefault="002C6C97">
      <w:pPr>
        <w:pStyle w:val="Header"/>
        <w:ind w:left="360"/>
        <w:rPr>
          <w:rFonts w:hint="cs"/>
          <w:sz w:val="24"/>
          <w:rtl/>
        </w:rPr>
      </w:pPr>
    </w:p>
    <w:p w14:paraId="14B294CB" w14:textId="77777777" w:rsidR="002C6C97" w:rsidRDefault="002C6C97">
      <w:pPr>
        <w:pStyle w:val="Header"/>
        <w:tabs>
          <w:tab w:val="left" w:pos="720"/>
        </w:tabs>
        <w:ind w:left="720"/>
        <w:rPr>
          <w:rFonts w:hint="cs"/>
          <w:sz w:val="24"/>
          <w:rtl/>
        </w:rPr>
      </w:pPr>
    </w:p>
    <w:p w14:paraId="2202F3A2" w14:textId="77777777" w:rsidR="002C6C97" w:rsidRDefault="002C6C97">
      <w:pPr>
        <w:pStyle w:val="Header"/>
        <w:tabs>
          <w:tab w:val="left" w:pos="1038"/>
        </w:tabs>
        <w:ind w:left="1038"/>
        <w:rPr>
          <w:rFonts w:hint="cs"/>
          <w:sz w:val="24"/>
          <w:rtl/>
        </w:rPr>
      </w:pPr>
      <w:r>
        <w:rPr>
          <w:rFonts w:hint="cs"/>
          <w:sz w:val="24"/>
          <w:rtl/>
        </w:rPr>
        <w:tab/>
        <w:t xml:space="preserve">זאת ככל הנוגע לאי מיצוי החקירה באשר לשאלת מקום מושבה של המתלוננת במונית. לנוכח גרסתה כי ישבה לצידו של הנאשם, בניגוד לגרסתו כי ישבה מאחור. באשר לעניין זה טען ב"כ הנאשם כי היה על המשטרה לחקור את רועי, חברו של אבי, אשר בחברתו שהו טרם עלייתה של המתלוננת למונית. </w:t>
      </w:r>
    </w:p>
    <w:p w14:paraId="6649570E" w14:textId="77777777" w:rsidR="002C6C97" w:rsidRDefault="002C6C97">
      <w:pPr>
        <w:pStyle w:val="Header"/>
        <w:tabs>
          <w:tab w:val="left" w:pos="1038"/>
        </w:tabs>
        <w:ind w:left="1038"/>
        <w:rPr>
          <w:rFonts w:hint="cs"/>
          <w:sz w:val="24"/>
          <w:rtl/>
        </w:rPr>
      </w:pPr>
    </w:p>
    <w:p w14:paraId="269D9FAF" w14:textId="77777777" w:rsidR="002C6C97" w:rsidRDefault="002C6C97">
      <w:pPr>
        <w:pStyle w:val="Header"/>
        <w:tabs>
          <w:tab w:val="left" w:pos="1038"/>
        </w:tabs>
        <w:ind w:left="1038"/>
        <w:rPr>
          <w:rFonts w:hint="cs"/>
          <w:sz w:val="24"/>
          <w:rtl/>
        </w:rPr>
      </w:pPr>
      <w:r>
        <w:rPr>
          <w:rFonts w:hint="cs"/>
          <w:sz w:val="24"/>
          <w:rtl/>
        </w:rPr>
        <w:tab/>
        <w:t xml:space="preserve">עוד טען ב"כ הנאשם כי היה מקום לחקור את בעלי הקיוסק באשר לשאלה מי רכש את הסיגריות ובקבוק הקולה. </w:t>
      </w:r>
    </w:p>
    <w:p w14:paraId="0803D01F" w14:textId="77777777" w:rsidR="002C6C97" w:rsidRDefault="002C6C97">
      <w:pPr>
        <w:pStyle w:val="Header"/>
        <w:tabs>
          <w:tab w:val="left" w:pos="1038"/>
        </w:tabs>
        <w:ind w:left="1038"/>
        <w:rPr>
          <w:rFonts w:hint="cs"/>
          <w:sz w:val="24"/>
          <w:rtl/>
        </w:rPr>
      </w:pPr>
    </w:p>
    <w:p w14:paraId="1553FD0C" w14:textId="77777777" w:rsidR="002C6C97" w:rsidRDefault="002C6C97">
      <w:pPr>
        <w:pStyle w:val="Header"/>
        <w:tabs>
          <w:tab w:val="left" w:pos="1038"/>
        </w:tabs>
        <w:ind w:left="1038"/>
        <w:rPr>
          <w:rFonts w:hint="cs"/>
          <w:sz w:val="24"/>
          <w:rtl/>
        </w:rPr>
      </w:pPr>
      <w:r>
        <w:rPr>
          <w:rFonts w:hint="cs"/>
          <w:sz w:val="24"/>
          <w:rtl/>
        </w:rPr>
        <w:t xml:space="preserve">כמו כן כי היה מקום לחקור את חברתה של המתלוננת, אשר ממכשיר הטלפון הנייד שלה התקשרה המתלוננת לאבי . </w:t>
      </w:r>
    </w:p>
    <w:p w14:paraId="521F6949" w14:textId="77777777" w:rsidR="002C6C97" w:rsidRDefault="002C6C97">
      <w:pPr>
        <w:pStyle w:val="Header"/>
        <w:tabs>
          <w:tab w:val="left" w:pos="1038"/>
        </w:tabs>
        <w:ind w:left="1038"/>
        <w:rPr>
          <w:rFonts w:hint="cs"/>
          <w:sz w:val="24"/>
          <w:rtl/>
        </w:rPr>
      </w:pPr>
    </w:p>
    <w:p w14:paraId="1A16EAA4" w14:textId="77777777" w:rsidR="002C6C97" w:rsidRDefault="002C6C97">
      <w:pPr>
        <w:pStyle w:val="Header"/>
        <w:tabs>
          <w:tab w:val="left" w:pos="1038"/>
        </w:tabs>
        <w:ind w:left="1038"/>
        <w:rPr>
          <w:rFonts w:hint="cs"/>
          <w:sz w:val="24"/>
          <w:rtl/>
        </w:rPr>
      </w:pPr>
      <w:r>
        <w:rPr>
          <w:rFonts w:hint="cs"/>
          <w:sz w:val="24"/>
          <w:rtl/>
        </w:rPr>
        <w:t>בנוסף טען כי היה על המשטרה לבדוק את אמיתות טענת המתלוננת כי הקלידה את פרטי מספר הטלפון של הנאשם  על גבי הטלפון הנייד שלה.</w:t>
      </w:r>
    </w:p>
    <w:p w14:paraId="7C34563D" w14:textId="77777777" w:rsidR="002C6C97" w:rsidRDefault="002C6C97">
      <w:pPr>
        <w:pStyle w:val="Header"/>
        <w:tabs>
          <w:tab w:val="left" w:pos="1038"/>
        </w:tabs>
        <w:ind w:left="1038"/>
        <w:rPr>
          <w:rFonts w:hint="cs"/>
          <w:sz w:val="24"/>
          <w:rtl/>
        </w:rPr>
      </w:pPr>
    </w:p>
    <w:p w14:paraId="7EDD58FE" w14:textId="77777777" w:rsidR="002C6C97" w:rsidRDefault="002C6C97">
      <w:pPr>
        <w:pStyle w:val="Header"/>
        <w:tabs>
          <w:tab w:val="left" w:pos="1038"/>
        </w:tabs>
        <w:ind w:left="1038"/>
        <w:rPr>
          <w:rFonts w:hint="cs"/>
          <w:sz w:val="24"/>
          <w:rtl/>
        </w:rPr>
      </w:pPr>
      <w:r>
        <w:rPr>
          <w:rFonts w:hint="cs"/>
          <w:sz w:val="24"/>
          <w:rtl/>
        </w:rPr>
        <w:t>טענה נוספת שהועלתה היתה בדבר אי עריכת עימות בין הנאשם למתלוננת לנוכח השוני המהותי בין גרסאותיהם.</w:t>
      </w:r>
    </w:p>
    <w:p w14:paraId="0CAC0BC7" w14:textId="77777777" w:rsidR="002C6C97" w:rsidRDefault="002C6C97">
      <w:pPr>
        <w:pStyle w:val="Header"/>
        <w:tabs>
          <w:tab w:val="left" w:pos="720"/>
        </w:tabs>
        <w:ind w:left="720"/>
        <w:rPr>
          <w:rFonts w:hint="cs"/>
          <w:sz w:val="24"/>
          <w:rtl/>
        </w:rPr>
      </w:pPr>
    </w:p>
    <w:p w14:paraId="3F4C7C61" w14:textId="77777777" w:rsidR="002C6C97" w:rsidRDefault="002C6C97">
      <w:pPr>
        <w:numPr>
          <w:ilvl w:val="0"/>
          <w:numId w:val="2"/>
        </w:numPr>
        <w:ind w:right="0"/>
        <w:rPr>
          <w:rFonts w:hint="cs"/>
          <w:rtl/>
        </w:rPr>
      </w:pPr>
      <w:r>
        <w:rPr>
          <w:rFonts w:hint="cs"/>
          <w:sz w:val="24"/>
          <w:rtl/>
        </w:rPr>
        <w:t xml:space="preserve">אף אם אצא מנקודת הנחה כי אכן במחדלי חקירה עסקינן, הרי שהלכה היא כי על </w:t>
      </w:r>
      <w:r>
        <w:rPr>
          <w:rFonts w:hint="cs"/>
          <w:rtl/>
        </w:rPr>
        <w:t>בית המשפט לבדוק את דיות הראיות שבפניו ואין בכל מחדלי החקירה כדי לפגום בתוצאתו הסופית של ההליך משמצא בית המשפט כי משקלן המצטבר של הראיות האחרות הוא מכריע ומוכיח את אשמתו של הנאשם מעבר לכל ספק סביר, כפי ששוכנעתי אני. (ע"פ 9363, 9143/01, בריזנטי נ' מ"י תק-על 2002 (2) 1641, סעיף 7).</w:t>
      </w:r>
    </w:p>
    <w:p w14:paraId="744C59B8" w14:textId="77777777" w:rsidR="002C6C97" w:rsidRDefault="002C6C97">
      <w:pPr>
        <w:ind w:left="360"/>
        <w:rPr>
          <w:rFonts w:hint="cs"/>
          <w:rtl/>
        </w:rPr>
      </w:pPr>
      <w:r>
        <w:rPr>
          <w:rFonts w:hint="cs"/>
          <w:rtl/>
        </w:rPr>
        <w:br w:type="page"/>
      </w:r>
    </w:p>
    <w:p w14:paraId="301AE8CC" w14:textId="77777777" w:rsidR="002C6C97" w:rsidRDefault="002C6C97">
      <w:pPr>
        <w:ind w:left="360"/>
        <w:rPr>
          <w:rFonts w:hint="cs"/>
          <w:b/>
          <w:bCs/>
          <w:u w:val="single"/>
          <w:rtl/>
        </w:rPr>
      </w:pPr>
      <w:r>
        <w:rPr>
          <w:rFonts w:hint="cs"/>
          <w:b/>
          <w:bCs/>
          <w:u w:val="single"/>
          <w:rtl/>
        </w:rPr>
        <w:t>סוף דבר</w:t>
      </w:r>
    </w:p>
    <w:p w14:paraId="1361A4D1" w14:textId="77777777" w:rsidR="002C6C97" w:rsidRDefault="002C6C97">
      <w:pPr>
        <w:ind w:left="720"/>
        <w:rPr>
          <w:rFonts w:hint="cs"/>
          <w:b/>
          <w:bCs/>
          <w:u w:val="single"/>
          <w:rtl/>
        </w:rPr>
      </w:pPr>
    </w:p>
    <w:p w14:paraId="23FC9D13" w14:textId="77777777" w:rsidR="002C6C97" w:rsidRDefault="002C6C97">
      <w:pPr>
        <w:numPr>
          <w:ilvl w:val="0"/>
          <w:numId w:val="2"/>
        </w:numPr>
        <w:ind w:right="0"/>
        <w:rPr>
          <w:rFonts w:hint="cs"/>
          <w:rtl/>
        </w:rPr>
      </w:pPr>
      <w:r>
        <w:rPr>
          <w:rFonts w:hint="cs"/>
          <w:rtl/>
        </w:rPr>
        <w:t>לאחר ששוכנעתי כי הוכחו בפני מעבר לכל ספק סביר כל עובדות כתב האישום ויסודות העבירות המיוחסות לנאשם על פיו אני מרשיעה אותו בביצוען.</w:t>
      </w:r>
    </w:p>
    <w:p w14:paraId="2D22AFC1" w14:textId="77777777" w:rsidR="002C6C97" w:rsidRDefault="002C6C97">
      <w:pPr>
        <w:rPr>
          <w:rtl/>
        </w:rPr>
      </w:pPr>
    </w:p>
    <w:p w14:paraId="26BD4E64" w14:textId="77777777" w:rsidR="002C6C97" w:rsidRDefault="002C6C97">
      <w:pPr>
        <w:suppressLineNumbers/>
        <w:rPr>
          <w:rFonts w:hint="cs"/>
          <w:b/>
          <w:bCs/>
          <w:sz w:val="24"/>
          <w:rtl/>
        </w:rPr>
      </w:pPr>
      <w:bookmarkStart w:id="8" w:name="Decision1"/>
      <w:r>
        <w:rPr>
          <w:rFonts w:hint="cs"/>
          <w:b/>
          <w:bCs/>
          <w:sz w:val="24"/>
          <w:rtl/>
        </w:rPr>
        <w:t>ניתנה היום, י' בניסן, תשס"ז (29 במרץ 2007) במעמד הצדדים.</w:t>
      </w:r>
    </w:p>
    <w:p w14:paraId="47750C8C" w14:textId="77777777" w:rsidR="002C6C97" w:rsidRDefault="002C6C97">
      <w:pPr>
        <w:rPr>
          <w:rFonts w:hint="cs"/>
          <w:sz w:val="24"/>
          <w:rtl/>
        </w:rPr>
      </w:pP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p>
    <w:tbl>
      <w:tblPr>
        <w:tblW w:w="0" w:type="auto"/>
        <w:tblInd w:w="6436" w:type="dxa"/>
        <w:tblBorders>
          <w:top w:val="single" w:sz="4" w:space="0" w:color="auto"/>
        </w:tblBorders>
        <w:tblLook w:val="0000" w:firstRow="0" w:lastRow="0" w:firstColumn="0" w:lastColumn="0" w:noHBand="0" w:noVBand="0"/>
      </w:tblPr>
      <w:tblGrid>
        <w:gridCol w:w="2086"/>
      </w:tblGrid>
      <w:tr w:rsidR="002C6C97" w14:paraId="75726BC6" w14:textId="77777777">
        <w:tc>
          <w:tcPr>
            <w:tcW w:w="2093" w:type="dxa"/>
            <w:tcBorders>
              <w:top w:val="single" w:sz="4" w:space="0" w:color="auto"/>
              <w:left w:val="nil"/>
              <w:bottom w:val="nil"/>
              <w:right w:val="nil"/>
            </w:tcBorders>
          </w:tcPr>
          <w:p w14:paraId="706F35DE" w14:textId="77777777" w:rsidR="002C6C97" w:rsidRDefault="002C6C97">
            <w:pPr>
              <w:jc w:val="center"/>
              <w:rPr>
                <w:b/>
                <w:bCs/>
                <w:sz w:val="24"/>
              </w:rPr>
            </w:pPr>
            <w:r>
              <w:rPr>
                <w:rFonts w:hint="cs"/>
                <w:b/>
                <w:bCs/>
                <w:sz w:val="24"/>
                <w:rtl/>
              </w:rPr>
              <w:t>דבורה עטר, שופטת</w:t>
            </w:r>
          </w:p>
        </w:tc>
      </w:tr>
    </w:tbl>
    <w:p w14:paraId="419D7AF3" w14:textId="77777777" w:rsidR="002C6C97" w:rsidRDefault="002C6C97">
      <w:pPr>
        <w:pStyle w:val="Heading3"/>
        <w:rPr>
          <w:rFonts w:hint="cs"/>
          <w:sz w:val="24"/>
          <w:rtl/>
        </w:rPr>
      </w:pPr>
    </w:p>
    <w:bookmarkEnd w:id="8"/>
    <w:p w14:paraId="51828508" w14:textId="77777777" w:rsidR="002C6C97" w:rsidRDefault="002C6C97">
      <w:pPr>
        <w:rPr>
          <w:rtl/>
        </w:rPr>
      </w:pPr>
      <w:r>
        <w:rPr>
          <w:rFonts w:hint="cs"/>
          <w:bCs/>
          <w:u w:val="single"/>
          <w:rtl/>
        </w:rPr>
        <w:t>ב"כ הנאשם</w:t>
      </w:r>
      <w:r>
        <w:rPr>
          <w:rFonts w:hint="cs"/>
          <w:b/>
          <w:bCs/>
          <w:rtl/>
        </w:rPr>
        <w:t>:</w:t>
      </w:r>
      <w:r>
        <w:rPr>
          <w:rFonts w:hint="cs"/>
          <w:rtl/>
        </w:rPr>
        <w:t xml:space="preserve"> לאור העובדה שאנו מבקשים ללמוד את הכרעת הדין, ולהתכונן לטיעונים לעונש מבחינת מסמכים ופסיקה רלוונטיים, אבקש לדחות את שמיעת הטיעונים לעונש.</w:t>
      </w:r>
    </w:p>
    <w:p w14:paraId="17366C0F" w14:textId="77777777" w:rsidR="002C6C97" w:rsidRDefault="002C6C97">
      <w:pPr>
        <w:rPr>
          <w:rFonts w:hint="cs"/>
          <w:rtl/>
        </w:rPr>
      </w:pPr>
    </w:p>
    <w:p w14:paraId="1DDC415C" w14:textId="77777777" w:rsidR="002C6C97" w:rsidRDefault="002C6C97">
      <w:pPr>
        <w:rPr>
          <w:rFonts w:hint="cs"/>
          <w:rtl/>
        </w:rPr>
      </w:pPr>
      <w:r>
        <w:rPr>
          <w:rFonts w:hint="cs"/>
          <w:bCs/>
          <w:u w:val="single"/>
          <w:rtl/>
        </w:rPr>
        <w:t>ב"כ המאשימה</w:t>
      </w:r>
      <w:r>
        <w:rPr>
          <w:rFonts w:hint="cs"/>
          <w:b/>
          <w:bCs/>
          <w:rtl/>
        </w:rPr>
        <w:t>:</w:t>
      </w:r>
      <w:r>
        <w:rPr>
          <w:rFonts w:hint="cs"/>
          <w:rtl/>
        </w:rPr>
        <w:t xml:space="preserve"> אני מסכים לדחיה קצרה.</w:t>
      </w:r>
    </w:p>
    <w:p w14:paraId="25C42BF5" w14:textId="77777777" w:rsidR="002C6C97" w:rsidRDefault="002C6C97">
      <w:pPr>
        <w:rPr>
          <w:rFonts w:hint="cs"/>
          <w:color w:val="FFFFFF"/>
          <w:sz w:val="2"/>
          <w:szCs w:val="2"/>
          <w:rtl/>
        </w:rPr>
      </w:pPr>
    </w:p>
    <w:p w14:paraId="71D71F0E" w14:textId="77777777" w:rsidR="002C6C97" w:rsidRDefault="002C6C97">
      <w:pPr>
        <w:rPr>
          <w:color w:val="FFFFFF"/>
          <w:sz w:val="2"/>
          <w:szCs w:val="2"/>
          <w:rtl/>
        </w:rPr>
      </w:pPr>
      <w:r>
        <w:rPr>
          <w:color w:val="FFFFFF"/>
          <w:sz w:val="2"/>
          <w:szCs w:val="2"/>
          <w:rtl/>
        </w:rPr>
        <w:t>5129371</w:t>
      </w:r>
    </w:p>
    <w:p w14:paraId="64CF601C" w14:textId="77777777" w:rsidR="002C6C97" w:rsidRDefault="002C6C97">
      <w:pPr>
        <w:rPr>
          <w:rFonts w:hint="cs"/>
          <w:rtl/>
        </w:rPr>
      </w:pPr>
      <w:r>
        <w:rPr>
          <w:color w:val="FFFFFF"/>
          <w:sz w:val="2"/>
          <w:szCs w:val="2"/>
          <w:rtl/>
        </w:rPr>
        <w:t>54678313</w:t>
      </w:r>
    </w:p>
    <w:p w14:paraId="02A6EE1D" w14:textId="77777777" w:rsidR="002C6C97" w:rsidRDefault="002C6C97">
      <w:pPr>
        <w:pStyle w:val="Heading1"/>
        <w:rPr>
          <w:rFonts w:hint="cs"/>
          <w:sz w:val="28"/>
          <w:szCs w:val="28"/>
          <w:rtl/>
        </w:rPr>
      </w:pPr>
      <w:bookmarkStart w:id="9" w:name="Decision2"/>
      <w:r>
        <w:rPr>
          <w:rFonts w:hint="cs"/>
          <w:sz w:val="28"/>
          <w:szCs w:val="28"/>
          <w:rtl/>
        </w:rPr>
        <w:t>החלטה</w:t>
      </w:r>
    </w:p>
    <w:p w14:paraId="59097D24" w14:textId="77777777" w:rsidR="002C6C97" w:rsidRDefault="002C6C97">
      <w:pPr>
        <w:rPr>
          <w:rFonts w:hint="cs"/>
          <w:b/>
          <w:bCs/>
          <w:sz w:val="24"/>
          <w:rtl/>
        </w:rPr>
      </w:pPr>
    </w:p>
    <w:p w14:paraId="5C12A72B" w14:textId="77777777" w:rsidR="002C6C97" w:rsidRDefault="002C6C97">
      <w:pPr>
        <w:rPr>
          <w:rFonts w:hint="cs"/>
          <w:b/>
          <w:bCs/>
          <w:color w:val="FFFFFF"/>
          <w:sz w:val="2"/>
          <w:szCs w:val="2"/>
          <w:rtl/>
        </w:rPr>
      </w:pPr>
    </w:p>
    <w:p w14:paraId="52A40C57" w14:textId="77777777" w:rsidR="002C6C97" w:rsidRDefault="002C6C97">
      <w:pPr>
        <w:rPr>
          <w:b/>
          <w:bCs/>
          <w:color w:val="FFFFFF"/>
          <w:sz w:val="2"/>
          <w:szCs w:val="2"/>
          <w:rtl/>
        </w:rPr>
      </w:pPr>
      <w:r>
        <w:rPr>
          <w:b/>
          <w:bCs/>
          <w:color w:val="FFFFFF"/>
          <w:sz w:val="2"/>
          <w:szCs w:val="2"/>
          <w:rtl/>
        </w:rPr>
        <w:t>5129371</w:t>
      </w:r>
    </w:p>
    <w:p w14:paraId="7A7A38C6" w14:textId="77777777" w:rsidR="002C6C97" w:rsidRDefault="002C6C97">
      <w:pPr>
        <w:rPr>
          <w:rFonts w:hint="cs"/>
          <w:b/>
          <w:bCs/>
          <w:sz w:val="24"/>
          <w:rtl/>
        </w:rPr>
      </w:pPr>
      <w:r>
        <w:rPr>
          <w:b/>
          <w:bCs/>
          <w:color w:val="FFFFFF"/>
          <w:sz w:val="2"/>
          <w:szCs w:val="2"/>
          <w:rtl/>
        </w:rPr>
        <w:t>54678313</w:t>
      </w:r>
      <w:r>
        <w:rPr>
          <w:rFonts w:hint="cs"/>
          <w:b/>
          <w:bCs/>
          <w:sz w:val="24"/>
          <w:rtl/>
        </w:rPr>
        <w:t xml:space="preserve">נדחה לשמיעת הטיעונים לעונש ליום 19.4.07 בשעה 11.30. </w:t>
      </w:r>
    </w:p>
    <w:p w14:paraId="3DE0F599" w14:textId="77777777" w:rsidR="002C6C97" w:rsidRDefault="002C6C97">
      <w:pPr>
        <w:rPr>
          <w:rFonts w:hint="cs"/>
          <w:b/>
          <w:bCs/>
          <w:sz w:val="24"/>
          <w:rtl/>
        </w:rPr>
      </w:pPr>
    </w:p>
    <w:p w14:paraId="7A3AB72F" w14:textId="77777777" w:rsidR="002C6C97" w:rsidRDefault="002C6C97">
      <w:pPr>
        <w:keepNext/>
        <w:jc w:val="left"/>
        <w:rPr>
          <w:rFonts w:hAnsi="David"/>
          <w:color w:val="000000"/>
          <w:sz w:val="22"/>
          <w:szCs w:val="22"/>
          <w:rtl/>
        </w:rPr>
      </w:pPr>
    </w:p>
    <w:p w14:paraId="399286A7" w14:textId="77777777" w:rsidR="002C6C97" w:rsidRDefault="002C6C97">
      <w:pPr>
        <w:keepNext/>
        <w:jc w:val="left"/>
        <w:rPr>
          <w:rFonts w:hAnsi="David"/>
          <w:color w:val="000000"/>
          <w:sz w:val="22"/>
          <w:szCs w:val="22"/>
          <w:rtl/>
        </w:rPr>
      </w:pPr>
    </w:p>
    <w:p w14:paraId="454482D1" w14:textId="77777777" w:rsidR="002C6C97" w:rsidRDefault="002C6C97">
      <w:pPr>
        <w:keepNext/>
        <w:jc w:val="left"/>
        <w:rPr>
          <w:rFonts w:hAnsi="David"/>
          <w:color w:val="000000"/>
          <w:sz w:val="22"/>
          <w:szCs w:val="22"/>
          <w:rtl/>
        </w:rPr>
      </w:pPr>
      <w:r>
        <w:rPr>
          <w:rFonts w:hAnsi="David"/>
          <w:color w:val="000000"/>
          <w:sz w:val="22"/>
          <w:szCs w:val="22"/>
          <w:rtl/>
        </w:rPr>
        <w:t>דבורה עטר 54678313-2497/05</w:t>
      </w:r>
    </w:p>
    <w:p w14:paraId="705B7712" w14:textId="77777777" w:rsidR="002C6C97" w:rsidRDefault="002C6C97">
      <w:pPr>
        <w:rPr>
          <w:rFonts w:hint="cs"/>
          <w:sz w:val="24"/>
          <w:rtl/>
        </w:rPr>
      </w:pPr>
      <w:r>
        <w:rPr>
          <w:b/>
          <w:bCs/>
          <w:sz w:val="24"/>
          <w:rtl/>
        </w:rPr>
        <w:t xml:space="preserve">ניתנה היום, י' בניסן, תשס"ז (29 במרץ 2007) במעמד הצדדים. </w:t>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p>
    <w:tbl>
      <w:tblPr>
        <w:tblW w:w="0" w:type="auto"/>
        <w:tblInd w:w="6436" w:type="dxa"/>
        <w:tblBorders>
          <w:top w:val="single" w:sz="4" w:space="0" w:color="auto"/>
        </w:tblBorders>
        <w:tblLook w:val="0000" w:firstRow="0" w:lastRow="0" w:firstColumn="0" w:lastColumn="0" w:noHBand="0" w:noVBand="0"/>
      </w:tblPr>
      <w:tblGrid>
        <w:gridCol w:w="2086"/>
      </w:tblGrid>
      <w:tr w:rsidR="002C6C97" w14:paraId="4A7EB495" w14:textId="77777777">
        <w:tc>
          <w:tcPr>
            <w:tcW w:w="2093" w:type="dxa"/>
            <w:tcBorders>
              <w:top w:val="single" w:sz="4" w:space="0" w:color="auto"/>
              <w:left w:val="nil"/>
              <w:bottom w:val="nil"/>
              <w:right w:val="nil"/>
            </w:tcBorders>
          </w:tcPr>
          <w:p w14:paraId="7FF3E3FF" w14:textId="77777777" w:rsidR="002C6C97" w:rsidRDefault="002C6C97">
            <w:pPr>
              <w:jc w:val="center"/>
              <w:rPr>
                <w:b/>
                <w:bCs/>
                <w:sz w:val="24"/>
              </w:rPr>
            </w:pPr>
            <w:r>
              <w:rPr>
                <w:rFonts w:hint="cs"/>
                <w:b/>
                <w:bCs/>
                <w:sz w:val="24"/>
                <w:rtl/>
              </w:rPr>
              <w:t>דבורה עטר, שופטת</w:t>
            </w:r>
          </w:p>
        </w:tc>
      </w:tr>
    </w:tbl>
    <w:bookmarkEnd w:id="9"/>
    <w:p w14:paraId="79E29736" w14:textId="77777777" w:rsidR="002C6C97" w:rsidRDefault="002C6C97">
      <w:pPr>
        <w:jc w:val="left"/>
        <w:rPr>
          <w:color w:val="000000"/>
          <w:rtl/>
        </w:rPr>
      </w:pPr>
      <w:r>
        <w:rPr>
          <w:color w:val="000000"/>
          <w:rtl/>
        </w:rPr>
        <w:t>נוסח מסמך זה כפוף לשינויי ניסוח ועריכה</w:t>
      </w:r>
    </w:p>
    <w:sectPr w:rsidR="002C6C97">
      <w:headerReference w:type="even" r:id="rId39"/>
      <w:headerReference w:type="default" r:id="rId40"/>
      <w:footerReference w:type="even" r:id="rId41"/>
      <w:footerReference w:type="default" r:id="rId42"/>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830D" w14:textId="77777777" w:rsidR="003B3A4B" w:rsidRDefault="003B3A4B">
      <w:r>
        <w:separator/>
      </w:r>
    </w:p>
  </w:endnote>
  <w:endnote w:type="continuationSeparator" w:id="0">
    <w:p w14:paraId="7EDAF75D" w14:textId="77777777" w:rsidR="003B3A4B" w:rsidRDefault="003B3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D347" w14:textId="77777777" w:rsidR="003B3A4B" w:rsidRDefault="003B3A4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76B0623" w14:textId="77777777" w:rsidR="003B3A4B" w:rsidRDefault="003B3A4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D74129" w14:textId="77777777" w:rsidR="003B3A4B" w:rsidRDefault="003B3A4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C:\nevo\final=9 - march\s05002497-207.doc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003D" w14:textId="77777777" w:rsidR="003B3A4B" w:rsidRDefault="003B3A4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35EDA">
      <w:rPr>
        <w:rFonts w:hAnsi="FrankRuehl" w:cs="FrankRuehl"/>
        <w:noProof/>
        <w:sz w:val="24"/>
        <w:rtl/>
      </w:rPr>
      <w:t>1</w:t>
    </w:r>
    <w:r>
      <w:rPr>
        <w:rFonts w:hAnsi="FrankRuehl" w:cs="FrankRuehl"/>
        <w:sz w:val="24"/>
        <w:rtl/>
      </w:rPr>
      <w:fldChar w:fldCharType="end"/>
    </w:r>
  </w:p>
  <w:p w14:paraId="0613FDC7" w14:textId="77777777" w:rsidR="003B3A4B" w:rsidRDefault="003B3A4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FB780F" w14:textId="77777777" w:rsidR="003B3A4B" w:rsidRDefault="003B3A4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C:\nevo\final=9 - march\s05002497-207.doc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FDFB7" w14:textId="77777777" w:rsidR="003B3A4B" w:rsidRDefault="003B3A4B">
      <w:r>
        <w:separator/>
      </w:r>
    </w:p>
  </w:footnote>
  <w:footnote w:type="continuationSeparator" w:id="0">
    <w:p w14:paraId="0FE9C3A4" w14:textId="77777777" w:rsidR="003B3A4B" w:rsidRDefault="003B3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CC41F" w14:textId="77777777" w:rsidR="003B3A4B" w:rsidRDefault="003B3A4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2497/05</w:t>
    </w:r>
    <w:r>
      <w:rPr>
        <w:rFonts w:hAnsi="David"/>
        <w:color w:val="000000"/>
        <w:sz w:val="22"/>
        <w:szCs w:val="22"/>
        <w:rtl/>
      </w:rPr>
      <w:tab/>
      <w:t xml:space="preserve"> מדינת ישראל נ' ארביב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BFA4B" w14:textId="77777777" w:rsidR="003B3A4B" w:rsidRDefault="003B3A4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2497/05</w:t>
    </w:r>
    <w:r>
      <w:rPr>
        <w:rFonts w:hAnsi="David"/>
        <w:color w:val="000000"/>
        <w:sz w:val="22"/>
        <w:szCs w:val="22"/>
        <w:rtl/>
      </w:rPr>
      <w:tab/>
      <w:t xml:space="preserve"> מדינת ישראל נ' ארביב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5037C"/>
    <w:multiLevelType w:val="hybridMultilevel"/>
    <w:tmpl w:val="B7A6EC56"/>
    <w:lvl w:ilvl="0" w:tplc="BAD4115E">
      <w:start w:val="1"/>
      <w:numFmt w:val="decimal"/>
      <w:lvlText w:val="%1."/>
      <w:lvlJc w:val="left"/>
      <w:pPr>
        <w:tabs>
          <w:tab w:val="num" w:pos="1080"/>
        </w:tabs>
        <w:ind w:left="1080" w:right="1080" w:hanging="720"/>
      </w:pPr>
    </w:lvl>
    <w:lvl w:ilvl="1" w:tplc="040D0013">
      <w:start w:val="1"/>
      <w:numFmt w:val="hebrew1"/>
      <w:lvlText w:val="%2."/>
      <w:lvlJc w:val="center"/>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735622595">
    <w:abstractNumId w:val="0"/>
  </w:num>
  <w:num w:numId="2" w16cid:durableId="853113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2C6C97"/>
    <w:rsid w:val="002C6C97"/>
    <w:rsid w:val="003B3A4B"/>
    <w:rsid w:val="00412BC8"/>
    <w:rsid w:val="00502B40"/>
    <w:rsid w:val="007818FB"/>
    <w:rsid w:val="0080172B"/>
    <w:rsid w:val="008C0B43"/>
    <w:rsid w:val="00A35EDA"/>
    <w:rsid w:val="00AD3F76"/>
    <w:rsid w:val="00B173BA"/>
    <w:rsid w:val="00DE0C25"/>
    <w:rsid w:val="00F34C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335248"/>
  <w15:chartTrackingRefBased/>
  <w15:docId w15:val="{23DC8F1C-24B7-4CE5-92DE-9F2F1BA9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rFonts w:ascii="Arial" w:hAnsi="Arial" w:cs="Arial"/>
      <w:b/>
      <w:bCs/>
      <w:szCs w:val="26"/>
      <w:u w:val="single"/>
    </w:rPr>
  </w:style>
  <w:style w:type="paragraph" w:styleId="Heading6">
    <w:name w:val="heading 6"/>
    <w:basedOn w:val="Normal"/>
    <w:next w:val="Normal"/>
    <w:qFormat/>
    <w:pPr>
      <w:keepNext/>
      <w:spacing w:line="480" w:lineRule="auto"/>
      <w:jc w:val="center"/>
      <w:outlineLvl w:val="5"/>
    </w:pPr>
    <w:rPr>
      <w:b/>
      <w:bCs/>
      <w:sz w:val="28"/>
      <w:szCs w:val="28"/>
      <w:u w:val="single"/>
    </w:rPr>
  </w:style>
  <w:style w:type="paragraph" w:styleId="Heading7">
    <w:name w:val="heading 7"/>
    <w:basedOn w:val="Normal"/>
    <w:next w:val="Normal"/>
    <w:qFormat/>
    <w:pPr>
      <w:keepNext/>
      <w:outlineLvl w:val="6"/>
    </w:pPr>
    <w:rPr>
      <w:rFonts w:ascii="Arial" w:hAnsi="Arial" w:cs="Arial"/>
      <w:b/>
      <w:bCs/>
      <w:u w:val="double"/>
    </w:rPr>
  </w:style>
  <w:style w:type="paragraph" w:styleId="Heading8">
    <w:name w:val="heading 8"/>
    <w:basedOn w:val="Normal"/>
    <w:next w:val="Normal"/>
    <w:qFormat/>
    <w:pPr>
      <w:keepNext/>
      <w:outlineLvl w:val="7"/>
    </w:pPr>
    <w:rPr>
      <w:rFonts w:ascii="Arial" w:hAnsi="Arial" w:cs="Arial"/>
      <w:u w:val="single"/>
    </w:rPr>
  </w:style>
  <w:style w:type="paragraph" w:styleId="Heading9">
    <w:name w:val="heading 9"/>
    <w:basedOn w:val="Normal"/>
    <w:next w:val="Normal"/>
    <w:qFormat/>
    <w:pPr>
      <w:keepNext/>
      <w:jc w:val="center"/>
      <w:outlineLvl w:val="8"/>
    </w:pPr>
    <w:rPr>
      <w:rFonts w:ascii="Arial" w:hAnsi="Arial" w:cs="Arial"/>
      <w:sz w:val="32"/>
      <w:szCs w:val="32"/>
      <w:u w:val="doub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b/>
      <w:bCs/>
      <w:sz w:val="32"/>
      <w:szCs w:val="32"/>
    </w:rPr>
  </w:style>
  <w:style w:type="paragraph" w:styleId="BodyText">
    <w:name w:val="Body Text"/>
    <w:basedOn w:val="Normal"/>
    <w:pPr>
      <w:spacing w:after="1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Ruller4">
    <w:name w:val="Ruller4 תו תו"/>
    <w:basedOn w:val="Normal"/>
    <w:pPr>
      <w:tabs>
        <w:tab w:val="left" w:pos="800"/>
      </w:tabs>
      <w:overflowPunct w:val="0"/>
      <w:autoSpaceDE w:val="0"/>
      <w:autoSpaceDN w:val="0"/>
      <w:adjustRightInd w:val="0"/>
    </w:pPr>
    <w:rPr>
      <w:rFonts w:ascii="Arial TUR" w:hAnsi="Arial TUR" w:cs="FrankRuehl"/>
      <w:spacing w:val="10"/>
      <w:sz w:val="22"/>
      <w:szCs w:val="28"/>
    </w:rPr>
  </w:style>
  <w:style w:type="character" w:styleId="PageNumber">
    <w:name w:val="page number"/>
    <w:rPr>
      <w:rFonts w:cs="David"/>
    </w:rPr>
  </w:style>
  <w:style w:type="character" w:styleId="Hyperlink">
    <w:name w:val="Hyperlink"/>
    <w:rsid w:val="008C0B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3.a.3" TargetMode="External"/><Relationship Id="rId18" Type="http://schemas.openxmlformats.org/officeDocument/2006/relationships/hyperlink" Target="http://www.nevo.co.il/law/98569/10.1" TargetMode="External"/><Relationship Id="rId26" Type="http://schemas.openxmlformats.org/officeDocument/2006/relationships/hyperlink" Target="http://www.nevo.co.il/law/98569" TargetMode="External"/><Relationship Id="rId39" Type="http://schemas.openxmlformats.org/officeDocument/2006/relationships/header" Target="header1.xml"/><Relationship Id="rId21" Type="http://schemas.openxmlformats.org/officeDocument/2006/relationships/hyperlink" Target="http://www.nevo.co.il/law/72507/5.c" TargetMode="External"/><Relationship Id="rId34" Type="http://schemas.openxmlformats.org/officeDocument/2006/relationships/hyperlink" Target="http://www.nevo.co.il/law/72507/3.a.b"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2507/5.c"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250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28" TargetMode="External"/><Relationship Id="rId24" Type="http://schemas.openxmlformats.org/officeDocument/2006/relationships/hyperlink" Target="http://www.nevo.co.il/case/5739234" TargetMode="External"/><Relationship Id="rId32" Type="http://schemas.openxmlformats.org/officeDocument/2006/relationships/hyperlink" Target="http://www.nevo.co.il/law/70301/348;349" TargetMode="External"/><Relationship Id="rId37" Type="http://schemas.openxmlformats.org/officeDocument/2006/relationships/hyperlink" Target="http://www.nevo.co.il/law/72507/3.a.5"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2507/3.a.b" TargetMode="External"/><Relationship Id="rId23" Type="http://schemas.openxmlformats.org/officeDocument/2006/relationships/hyperlink" Target="http://www.nevo.co.il/law/72507" TargetMode="External"/><Relationship Id="rId28" Type="http://schemas.openxmlformats.org/officeDocument/2006/relationships/hyperlink" Target="http://www.nevo.co.il/case/258643" TargetMode="External"/><Relationship Id="rId36" Type="http://schemas.openxmlformats.org/officeDocument/2006/relationships/hyperlink" Target="http://www.nevo.co.il/law/72507/3.a.3" TargetMode="External"/><Relationship Id="rId10" Type="http://schemas.openxmlformats.org/officeDocument/2006/relationships/hyperlink" Target="http://www.nevo.co.il/law/70301/349" TargetMode="External"/><Relationship Id="rId19" Type="http://schemas.openxmlformats.org/officeDocument/2006/relationships/hyperlink" Target="http://www.nevo.co.il/law/70301/348.c.1"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8.c.1" TargetMode="External"/><Relationship Id="rId14" Type="http://schemas.openxmlformats.org/officeDocument/2006/relationships/hyperlink" Target="http://www.nevo.co.il/law/72507/3.a.5" TargetMode="External"/><Relationship Id="rId22" Type="http://schemas.openxmlformats.org/officeDocument/2006/relationships/hyperlink" Target="http://www.nevo.co.il/law/72507/3.a.b" TargetMode="External"/><Relationship Id="rId27" Type="http://schemas.openxmlformats.org/officeDocument/2006/relationships/hyperlink" Target="http://www.nevo.co.il/law/98569/10.1" TargetMode="External"/><Relationship Id="rId30" Type="http://schemas.openxmlformats.org/officeDocument/2006/relationships/hyperlink" Target="http://www.nevo.co.il/law/70301/428" TargetMode="External"/><Relationship Id="rId35" Type="http://schemas.openxmlformats.org/officeDocument/2006/relationships/hyperlink" Target="http://www.nevo.co.il/law/72507" TargetMode="External"/><Relationship Id="rId43" Type="http://schemas.openxmlformats.org/officeDocument/2006/relationships/fontTable" Target="fontTable.xml"/><Relationship Id="rId8" Type="http://schemas.openxmlformats.org/officeDocument/2006/relationships/hyperlink" Target="http://www.nevo.co.il/law/70301/348" TargetMode="External"/><Relationship Id="rId3" Type="http://schemas.openxmlformats.org/officeDocument/2006/relationships/settings" Target="settings.xml"/><Relationship Id="rId12" Type="http://schemas.openxmlformats.org/officeDocument/2006/relationships/hyperlink" Target="http://www.nevo.co.il/law/72507" TargetMode="External"/><Relationship Id="rId17" Type="http://schemas.openxmlformats.org/officeDocument/2006/relationships/hyperlink" Target="http://www.nevo.co.il/law/98569" TargetMode="External"/><Relationship Id="rId25" Type="http://schemas.openxmlformats.org/officeDocument/2006/relationships/hyperlink" Target="http://www.nevo.co.il/law/98569/1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818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3691</Words>
  <Characters>21041</Characters>
  <Application>Microsoft Office Word</Application>
  <DocSecurity>0</DocSecurity>
  <Lines>175</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24683</CharactersWithSpaces>
  <SharedDoc>false</SharedDoc>
  <HLinks>
    <vt:vector size="192" baseType="variant">
      <vt:variant>
        <vt:i4>3342455</vt:i4>
      </vt:variant>
      <vt:variant>
        <vt:i4>93</vt:i4>
      </vt:variant>
      <vt:variant>
        <vt:i4>0</vt:i4>
      </vt:variant>
      <vt:variant>
        <vt:i4>5</vt:i4>
      </vt:variant>
      <vt:variant>
        <vt:lpwstr>http://www.nevo.co.il/case/5818433</vt:lpwstr>
      </vt:variant>
      <vt:variant>
        <vt:lpwstr/>
      </vt:variant>
      <vt:variant>
        <vt:i4>5701639</vt:i4>
      </vt:variant>
      <vt:variant>
        <vt:i4>90</vt:i4>
      </vt:variant>
      <vt:variant>
        <vt:i4>0</vt:i4>
      </vt:variant>
      <vt:variant>
        <vt:i4>5</vt:i4>
      </vt:variant>
      <vt:variant>
        <vt:lpwstr>http://www.nevo.co.il/law/72507/3.a.5</vt:lpwstr>
      </vt:variant>
      <vt:variant>
        <vt:lpwstr/>
      </vt:variant>
      <vt:variant>
        <vt:i4>5701639</vt:i4>
      </vt:variant>
      <vt:variant>
        <vt:i4>87</vt:i4>
      </vt:variant>
      <vt:variant>
        <vt:i4>0</vt:i4>
      </vt:variant>
      <vt:variant>
        <vt:i4>5</vt:i4>
      </vt:variant>
      <vt:variant>
        <vt:lpwstr>http://www.nevo.co.il/law/72507/3.a.3</vt:lpwstr>
      </vt:variant>
      <vt:variant>
        <vt:lpwstr/>
      </vt:variant>
      <vt:variant>
        <vt:i4>7864418</vt:i4>
      </vt:variant>
      <vt:variant>
        <vt:i4>84</vt:i4>
      </vt:variant>
      <vt:variant>
        <vt:i4>0</vt:i4>
      </vt:variant>
      <vt:variant>
        <vt:i4>5</vt:i4>
      </vt:variant>
      <vt:variant>
        <vt:lpwstr>http://www.nevo.co.il/law/72507</vt:lpwstr>
      </vt:variant>
      <vt:variant>
        <vt:lpwstr/>
      </vt:variant>
      <vt:variant>
        <vt:i4>5701639</vt:i4>
      </vt:variant>
      <vt:variant>
        <vt:i4>81</vt:i4>
      </vt:variant>
      <vt:variant>
        <vt:i4>0</vt:i4>
      </vt:variant>
      <vt:variant>
        <vt:i4>5</vt:i4>
      </vt:variant>
      <vt:variant>
        <vt:lpwstr>http://www.nevo.co.il/law/72507/3.a.b</vt:lpwstr>
      </vt:variant>
      <vt:variant>
        <vt:lpwstr/>
      </vt:variant>
      <vt:variant>
        <vt:i4>7995492</vt:i4>
      </vt:variant>
      <vt:variant>
        <vt:i4>78</vt:i4>
      </vt:variant>
      <vt:variant>
        <vt:i4>0</vt:i4>
      </vt:variant>
      <vt:variant>
        <vt:i4>5</vt:i4>
      </vt:variant>
      <vt:variant>
        <vt:lpwstr>http://www.nevo.co.il/law/70301</vt:lpwstr>
      </vt:variant>
      <vt:variant>
        <vt:lpwstr/>
      </vt:variant>
      <vt:variant>
        <vt:i4>7209069</vt:i4>
      </vt:variant>
      <vt:variant>
        <vt:i4>75</vt:i4>
      </vt:variant>
      <vt:variant>
        <vt:i4>0</vt:i4>
      </vt:variant>
      <vt:variant>
        <vt:i4>5</vt:i4>
      </vt:variant>
      <vt:variant>
        <vt:lpwstr>http://www.nevo.co.il/law/70301/348;349</vt:lpwstr>
      </vt:variant>
      <vt:variant>
        <vt:lpwstr/>
      </vt:variant>
      <vt:variant>
        <vt:i4>7995492</vt:i4>
      </vt:variant>
      <vt:variant>
        <vt:i4>72</vt:i4>
      </vt:variant>
      <vt:variant>
        <vt:i4>0</vt:i4>
      </vt:variant>
      <vt:variant>
        <vt:i4>5</vt:i4>
      </vt:variant>
      <vt:variant>
        <vt:lpwstr>http://www.nevo.co.il/law/70301</vt:lpwstr>
      </vt:variant>
      <vt:variant>
        <vt:lpwstr/>
      </vt:variant>
      <vt:variant>
        <vt:i4>6750305</vt:i4>
      </vt:variant>
      <vt:variant>
        <vt:i4>69</vt:i4>
      </vt:variant>
      <vt:variant>
        <vt:i4>0</vt:i4>
      </vt:variant>
      <vt:variant>
        <vt:i4>5</vt:i4>
      </vt:variant>
      <vt:variant>
        <vt:lpwstr>http://www.nevo.co.il/law/70301/428</vt:lpwstr>
      </vt:variant>
      <vt:variant>
        <vt:lpwstr/>
      </vt:variant>
      <vt:variant>
        <vt:i4>7864418</vt:i4>
      </vt:variant>
      <vt:variant>
        <vt:i4>66</vt:i4>
      </vt:variant>
      <vt:variant>
        <vt:i4>0</vt:i4>
      </vt:variant>
      <vt:variant>
        <vt:i4>5</vt:i4>
      </vt:variant>
      <vt:variant>
        <vt:lpwstr>http://www.nevo.co.il/law/72507</vt:lpwstr>
      </vt:variant>
      <vt:variant>
        <vt:lpwstr/>
      </vt:variant>
      <vt:variant>
        <vt:i4>917575</vt:i4>
      </vt:variant>
      <vt:variant>
        <vt:i4>63</vt:i4>
      </vt:variant>
      <vt:variant>
        <vt:i4>0</vt:i4>
      </vt:variant>
      <vt:variant>
        <vt:i4>5</vt:i4>
      </vt:variant>
      <vt:variant>
        <vt:lpwstr>http://www.nevo.co.il/case/258643</vt:lpwstr>
      </vt:variant>
      <vt:variant>
        <vt:lpwstr/>
      </vt:variant>
      <vt:variant>
        <vt:i4>5898314</vt:i4>
      </vt:variant>
      <vt:variant>
        <vt:i4>60</vt:i4>
      </vt:variant>
      <vt:variant>
        <vt:i4>0</vt:i4>
      </vt:variant>
      <vt:variant>
        <vt:i4>5</vt:i4>
      </vt:variant>
      <vt:variant>
        <vt:lpwstr>http://www.nevo.co.il/law/98569/10.1</vt:lpwstr>
      </vt:variant>
      <vt:variant>
        <vt:lpwstr/>
      </vt:variant>
      <vt:variant>
        <vt:i4>7602284</vt:i4>
      </vt:variant>
      <vt:variant>
        <vt:i4>57</vt:i4>
      </vt:variant>
      <vt:variant>
        <vt:i4>0</vt:i4>
      </vt:variant>
      <vt:variant>
        <vt:i4>5</vt:i4>
      </vt:variant>
      <vt:variant>
        <vt:lpwstr>http://www.nevo.co.il/law/98569</vt:lpwstr>
      </vt:variant>
      <vt:variant>
        <vt:lpwstr/>
      </vt:variant>
      <vt:variant>
        <vt:i4>5898314</vt:i4>
      </vt:variant>
      <vt:variant>
        <vt:i4>54</vt:i4>
      </vt:variant>
      <vt:variant>
        <vt:i4>0</vt:i4>
      </vt:variant>
      <vt:variant>
        <vt:i4>5</vt:i4>
      </vt:variant>
      <vt:variant>
        <vt:lpwstr>http://www.nevo.co.il/law/98569/10.1</vt:lpwstr>
      </vt:variant>
      <vt:variant>
        <vt:lpwstr/>
      </vt:variant>
      <vt:variant>
        <vt:i4>3145849</vt:i4>
      </vt:variant>
      <vt:variant>
        <vt:i4>51</vt:i4>
      </vt:variant>
      <vt:variant>
        <vt:i4>0</vt:i4>
      </vt:variant>
      <vt:variant>
        <vt:i4>5</vt:i4>
      </vt:variant>
      <vt:variant>
        <vt:lpwstr>http://www.nevo.co.il/case/5739234</vt:lpwstr>
      </vt:variant>
      <vt:variant>
        <vt:lpwstr/>
      </vt:variant>
      <vt:variant>
        <vt:i4>7864418</vt:i4>
      </vt:variant>
      <vt:variant>
        <vt:i4>48</vt:i4>
      </vt:variant>
      <vt:variant>
        <vt:i4>0</vt:i4>
      </vt:variant>
      <vt:variant>
        <vt:i4>5</vt:i4>
      </vt:variant>
      <vt:variant>
        <vt:lpwstr>http://www.nevo.co.il/law/72507</vt:lpwstr>
      </vt:variant>
      <vt:variant>
        <vt:lpwstr/>
      </vt:variant>
      <vt:variant>
        <vt:i4>5701639</vt:i4>
      </vt:variant>
      <vt:variant>
        <vt:i4>45</vt:i4>
      </vt:variant>
      <vt:variant>
        <vt:i4>0</vt:i4>
      </vt:variant>
      <vt:variant>
        <vt:i4>5</vt:i4>
      </vt:variant>
      <vt:variant>
        <vt:lpwstr>http://www.nevo.co.il/law/72507/3.a.b</vt:lpwstr>
      </vt:variant>
      <vt:variant>
        <vt:lpwstr/>
      </vt:variant>
      <vt:variant>
        <vt:i4>7929952</vt:i4>
      </vt:variant>
      <vt:variant>
        <vt:i4>42</vt:i4>
      </vt:variant>
      <vt:variant>
        <vt:i4>0</vt:i4>
      </vt:variant>
      <vt:variant>
        <vt:i4>5</vt:i4>
      </vt:variant>
      <vt:variant>
        <vt:lpwstr>http://www.nevo.co.il/law/72507/5.c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6357053</vt:i4>
      </vt:variant>
      <vt:variant>
        <vt:i4>36</vt:i4>
      </vt:variant>
      <vt:variant>
        <vt:i4>0</vt:i4>
      </vt:variant>
      <vt:variant>
        <vt:i4>5</vt:i4>
      </vt:variant>
      <vt:variant>
        <vt:lpwstr>http://www.nevo.co.il/law/70301/348.c.1</vt:lpwstr>
      </vt:variant>
      <vt:variant>
        <vt:lpwstr/>
      </vt:variant>
      <vt:variant>
        <vt:i4>5898314</vt:i4>
      </vt:variant>
      <vt:variant>
        <vt:i4>33</vt:i4>
      </vt:variant>
      <vt:variant>
        <vt:i4>0</vt:i4>
      </vt:variant>
      <vt:variant>
        <vt:i4>5</vt:i4>
      </vt:variant>
      <vt:variant>
        <vt:lpwstr>http://www.nevo.co.il/law/98569/10.1</vt:lpwstr>
      </vt:variant>
      <vt:variant>
        <vt:lpwstr/>
      </vt:variant>
      <vt:variant>
        <vt:i4>7602284</vt:i4>
      </vt:variant>
      <vt:variant>
        <vt:i4>30</vt:i4>
      </vt:variant>
      <vt:variant>
        <vt:i4>0</vt:i4>
      </vt:variant>
      <vt:variant>
        <vt:i4>5</vt:i4>
      </vt:variant>
      <vt:variant>
        <vt:lpwstr>http://www.nevo.co.il/law/98569</vt:lpwstr>
      </vt:variant>
      <vt:variant>
        <vt:lpwstr/>
      </vt:variant>
      <vt:variant>
        <vt:i4>7929952</vt:i4>
      </vt:variant>
      <vt:variant>
        <vt:i4>27</vt:i4>
      </vt:variant>
      <vt:variant>
        <vt:i4>0</vt:i4>
      </vt:variant>
      <vt:variant>
        <vt:i4>5</vt:i4>
      </vt:variant>
      <vt:variant>
        <vt:lpwstr>http://www.nevo.co.il/law/72507/5.c</vt:lpwstr>
      </vt:variant>
      <vt:variant>
        <vt:lpwstr/>
      </vt:variant>
      <vt:variant>
        <vt:i4>5701639</vt:i4>
      </vt:variant>
      <vt:variant>
        <vt:i4>24</vt:i4>
      </vt:variant>
      <vt:variant>
        <vt:i4>0</vt:i4>
      </vt:variant>
      <vt:variant>
        <vt:i4>5</vt:i4>
      </vt:variant>
      <vt:variant>
        <vt:lpwstr>http://www.nevo.co.il/law/72507/3.a.b</vt:lpwstr>
      </vt:variant>
      <vt:variant>
        <vt:lpwstr/>
      </vt:variant>
      <vt:variant>
        <vt:i4>5701639</vt:i4>
      </vt:variant>
      <vt:variant>
        <vt:i4>21</vt:i4>
      </vt:variant>
      <vt:variant>
        <vt:i4>0</vt:i4>
      </vt:variant>
      <vt:variant>
        <vt:i4>5</vt:i4>
      </vt:variant>
      <vt:variant>
        <vt:lpwstr>http://www.nevo.co.il/law/72507/3.a.5</vt:lpwstr>
      </vt:variant>
      <vt:variant>
        <vt:lpwstr/>
      </vt:variant>
      <vt:variant>
        <vt:i4>5701639</vt:i4>
      </vt:variant>
      <vt:variant>
        <vt:i4>18</vt:i4>
      </vt:variant>
      <vt:variant>
        <vt:i4>0</vt:i4>
      </vt:variant>
      <vt:variant>
        <vt:i4>5</vt:i4>
      </vt:variant>
      <vt:variant>
        <vt:lpwstr>http://www.nevo.co.il/law/72507/3.a.3</vt:lpwstr>
      </vt:variant>
      <vt:variant>
        <vt:lpwstr/>
      </vt:variant>
      <vt:variant>
        <vt:i4>7864418</vt:i4>
      </vt:variant>
      <vt:variant>
        <vt:i4>15</vt:i4>
      </vt:variant>
      <vt:variant>
        <vt:i4>0</vt:i4>
      </vt:variant>
      <vt:variant>
        <vt:i4>5</vt:i4>
      </vt:variant>
      <vt:variant>
        <vt:lpwstr>http://www.nevo.co.il/law/72507</vt:lpwstr>
      </vt:variant>
      <vt:variant>
        <vt:lpwstr/>
      </vt:variant>
      <vt:variant>
        <vt:i4>6750305</vt:i4>
      </vt:variant>
      <vt:variant>
        <vt:i4>12</vt:i4>
      </vt:variant>
      <vt:variant>
        <vt:i4>0</vt:i4>
      </vt:variant>
      <vt:variant>
        <vt:i4>5</vt:i4>
      </vt:variant>
      <vt:variant>
        <vt:lpwstr>http://www.nevo.co.il/law/70301/428</vt:lpwstr>
      </vt:variant>
      <vt:variant>
        <vt:lpwstr/>
      </vt:variant>
      <vt:variant>
        <vt:i4>6357094</vt:i4>
      </vt:variant>
      <vt:variant>
        <vt:i4>9</vt:i4>
      </vt:variant>
      <vt:variant>
        <vt:i4>0</vt:i4>
      </vt:variant>
      <vt:variant>
        <vt:i4>5</vt:i4>
      </vt:variant>
      <vt:variant>
        <vt:lpwstr>http://www.nevo.co.il/law/70301/349</vt:lpwstr>
      </vt:variant>
      <vt:variant>
        <vt:lpwstr/>
      </vt:variant>
      <vt:variant>
        <vt:i4>6357053</vt:i4>
      </vt:variant>
      <vt:variant>
        <vt:i4>6</vt:i4>
      </vt:variant>
      <vt:variant>
        <vt:i4>0</vt:i4>
      </vt:variant>
      <vt:variant>
        <vt:i4>5</vt:i4>
      </vt:variant>
      <vt:variant>
        <vt:lpwstr>http://www.nevo.co.il/law/70301/348.c.1</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2007-03-25T07:24:00Z</cp:lastPrinted>
  <dcterms:created xsi:type="dcterms:W3CDTF">2022-05-24T10:24:00Z</dcterms:created>
  <dcterms:modified xsi:type="dcterms:W3CDTF">2022-05-24T10:24:00Z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2497</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ארביב יוסף</vt:lpwstr>
  </property>
  <property fmtid="{D5CDD505-2E9C-101B-9397-08002B2CF9AE}" pid="9" name="LAWYER">
    <vt:lpwstr>צורי;ברגמן</vt:lpwstr>
  </property>
  <property fmtid="{D5CDD505-2E9C-101B-9397-08002B2CF9AE}" pid="10" name="JUDGE">
    <vt:lpwstr>דבורה עטר</vt:lpwstr>
  </property>
  <property fmtid="{D5CDD505-2E9C-101B-9397-08002B2CF9AE}" pid="11" name="CITY">
    <vt:lpwstr>פ"ת</vt:lpwstr>
  </property>
  <property fmtid="{D5CDD505-2E9C-101B-9397-08002B2CF9AE}" pid="12" name="DATE">
    <vt:lpwstr>20070329</vt:lpwstr>
  </property>
  <property fmtid="{D5CDD505-2E9C-101B-9397-08002B2CF9AE}" pid="13" name="WORDNUMPAGES">
    <vt:lpwstr>15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5739234;258643;5818433</vt:lpwstr>
  </property>
  <property fmtid="{D5CDD505-2E9C-101B-9397-08002B2CF9AE}" pid="33" name="LAWLISTTMP1">
    <vt:lpwstr>70301/348.c.1;428;348;349</vt:lpwstr>
  </property>
  <property fmtid="{D5CDD505-2E9C-101B-9397-08002B2CF9AE}" pid="34" name="LAWLISTTMP2">
    <vt:lpwstr>72507/005.c;003.a.b:2;003.a.3;003.a.5</vt:lpwstr>
  </property>
  <property fmtid="{D5CDD505-2E9C-101B-9397-08002B2CF9AE}" pid="35" name="LAWLISTTMP3">
    <vt:lpwstr>98569/010.1:2</vt:lpwstr>
  </property>
</Properties>
</file>