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1C25" w14:textId="77777777" w:rsidR="00BE53D7" w:rsidRDefault="00BE53D7">
      <w:pPr>
        <w:pStyle w:val="Header"/>
        <w:rPr>
          <w:rtl/>
        </w:rPr>
      </w:pPr>
      <w:bookmarkStart w:id="0" w:name="צד_ג"/>
      <w:bookmarkStart w:id="1" w:name="LastJudge"/>
      <w:bookmarkEnd w:id="0"/>
    </w:p>
    <w:p w14:paraId="0B4E5B69" w14:textId="77777777" w:rsidR="00BE53D7" w:rsidRDefault="00BE53D7">
      <w:pPr>
        <w:spacing w:line="240" w:lineRule="auto"/>
        <w:jc w:val="center"/>
        <w:rPr>
          <w:b/>
          <w:bCs/>
          <w:sz w:val="28"/>
          <w:rtl/>
        </w:rPr>
      </w:pPr>
      <w:r>
        <w:rPr>
          <w:rFonts w:hint="cs"/>
          <w:b/>
          <w:bCs/>
          <w:sz w:val="28"/>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531"/>
        <w:gridCol w:w="1133"/>
        <w:gridCol w:w="2092"/>
      </w:tblGrid>
      <w:tr w:rsidR="00BE53D7" w14:paraId="4B391038"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581585D0" w14:textId="77777777" w:rsidR="00BE53D7" w:rsidRDefault="00BE53D7">
            <w:pPr>
              <w:pStyle w:val="Heading5"/>
              <w:spacing w:line="240" w:lineRule="auto"/>
              <w:rPr>
                <w:sz w:val="28"/>
                <w:szCs w:val="28"/>
                <w:u w:val="none"/>
              </w:rPr>
            </w:pPr>
            <w:r>
              <w:rPr>
                <w:rFonts w:hint="cs"/>
                <w:sz w:val="28"/>
                <w:szCs w:val="28"/>
                <w:u w:val="none"/>
                <w:rtl/>
              </w:rPr>
              <w:t>בית משפט השלום בצפת</w:t>
            </w:r>
          </w:p>
        </w:tc>
        <w:tc>
          <w:tcPr>
            <w:tcW w:w="3227" w:type="dxa"/>
            <w:gridSpan w:val="2"/>
            <w:tcBorders>
              <w:top w:val="single" w:sz="4" w:space="0" w:color="auto"/>
              <w:left w:val="single" w:sz="4" w:space="0" w:color="auto"/>
              <w:bottom w:val="single" w:sz="4" w:space="0" w:color="auto"/>
              <w:right w:val="single" w:sz="4" w:space="0" w:color="auto"/>
            </w:tcBorders>
          </w:tcPr>
          <w:p w14:paraId="4CBB5F05" w14:textId="77777777" w:rsidR="00BE53D7" w:rsidRDefault="00BE53D7">
            <w:pPr>
              <w:spacing w:line="240" w:lineRule="auto"/>
              <w:rPr>
                <w:b/>
                <w:bCs/>
                <w:sz w:val="28"/>
              </w:rPr>
            </w:pPr>
            <w:r>
              <w:rPr>
                <w:rFonts w:hint="cs"/>
                <w:b/>
                <w:bCs/>
                <w:sz w:val="28"/>
                <w:rtl/>
              </w:rPr>
              <w:t>פ  001880/06</w:t>
            </w:r>
          </w:p>
        </w:tc>
      </w:tr>
      <w:tr w:rsidR="00BE53D7" w14:paraId="47AA093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730002B" w14:textId="77777777" w:rsidR="00BE53D7" w:rsidRDefault="00BE53D7">
            <w:pPr>
              <w:bidi w:val="0"/>
              <w:spacing w:line="240" w:lineRule="auto"/>
              <w:jc w:val="left"/>
              <w:rPr>
                <w:b/>
                <w:bCs/>
                <w:sz w:val="28"/>
              </w:rPr>
            </w:pPr>
          </w:p>
        </w:tc>
        <w:tc>
          <w:tcPr>
            <w:tcW w:w="3227" w:type="dxa"/>
            <w:gridSpan w:val="2"/>
            <w:tcBorders>
              <w:top w:val="single" w:sz="4" w:space="0" w:color="auto"/>
              <w:left w:val="single" w:sz="4" w:space="0" w:color="auto"/>
              <w:bottom w:val="single" w:sz="4" w:space="0" w:color="auto"/>
              <w:right w:val="single" w:sz="4" w:space="0" w:color="auto"/>
            </w:tcBorders>
          </w:tcPr>
          <w:p w14:paraId="37836AEE" w14:textId="77777777" w:rsidR="00BE53D7" w:rsidRDefault="00BE53D7">
            <w:pPr>
              <w:spacing w:line="240" w:lineRule="auto"/>
              <w:rPr>
                <w:b/>
                <w:bCs/>
                <w:sz w:val="28"/>
              </w:rPr>
            </w:pPr>
          </w:p>
        </w:tc>
      </w:tr>
      <w:tr w:rsidR="00BE53D7" w14:paraId="6F4E87A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130A499" w14:textId="77777777" w:rsidR="00BE53D7" w:rsidRDefault="00BE53D7">
            <w:pPr>
              <w:spacing w:line="240" w:lineRule="auto"/>
              <w:rPr>
                <w:b/>
                <w:bCs/>
                <w:sz w:val="28"/>
              </w:rPr>
            </w:pPr>
            <w:r>
              <w:rPr>
                <w:rFonts w:hint="cs"/>
                <w:b/>
                <w:bCs/>
                <w:sz w:val="28"/>
                <w:rtl/>
              </w:rPr>
              <w:t>בפני</w:t>
            </w:r>
          </w:p>
        </w:tc>
        <w:tc>
          <w:tcPr>
            <w:tcW w:w="4536" w:type="dxa"/>
            <w:tcBorders>
              <w:top w:val="single" w:sz="4" w:space="0" w:color="auto"/>
              <w:left w:val="single" w:sz="4" w:space="0" w:color="auto"/>
              <w:bottom w:val="single" w:sz="4" w:space="0" w:color="auto"/>
              <w:right w:val="single" w:sz="4" w:space="0" w:color="auto"/>
            </w:tcBorders>
          </w:tcPr>
          <w:p w14:paraId="22277A12" w14:textId="77777777" w:rsidR="00BE53D7" w:rsidRDefault="00BE53D7">
            <w:pPr>
              <w:spacing w:line="240" w:lineRule="auto"/>
              <w:rPr>
                <w:b/>
                <w:bCs/>
                <w:sz w:val="28"/>
              </w:rPr>
            </w:pPr>
            <w:r>
              <w:rPr>
                <w:rFonts w:hint="cs"/>
                <w:b/>
                <w:bCs/>
                <w:sz w:val="28"/>
                <w:rtl/>
              </w:rPr>
              <w:t>כבוד השופט פיילס בן</w:t>
            </w: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F82BB03" w14:textId="77777777" w:rsidR="00BE53D7" w:rsidRDefault="00BE53D7">
            <w:pPr>
              <w:spacing w:line="240" w:lineRule="auto"/>
              <w:rPr>
                <w:b/>
                <w:bCs/>
                <w:sz w:val="28"/>
              </w:rPr>
            </w:pPr>
            <w:r>
              <w:rPr>
                <w:rFonts w:hint="cs"/>
                <w:b/>
                <w:bCs/>
                <w:sz w:val="28"/>
                <w:rtl/>
              </w:rPr>
              <w:t>תאריך :</w:t>
            </w:r>
          </w:p>
        </w:tc>
        <w:tc>
          <w:tcPr>
            <w:tcW w:w="2093" w:type="dxa"/>
            <w:tcBorders>
              <w:top w:val="single" w:sz="4" w:space="0" w:color="auto"/>
              <w:left w:val="single" w:sz="4" w:space="0" w:color="auto"/>
              <w:bottom w:val="single" w:sz="4" w:space="0" w:color="auto"/>
              <w:right w:val="single" w:sz="4" w:space="0" w:color="auto"/>
            </w:tcBorders>
          </w:tcPr>
          <w:p w14:paraId="354D3DF4" w14:textId="77777777" w:rsidR="00BE53D7" w:rsidRDefault="00BE53D7">
            <w:pPr>
              <w:spacing w:line="240" w:lineRule="auto"/>
              <w:rPr>
                <w:b/>
                <w:bCs/>
                <w:sz w:val="28"/>
              </w:rPr>
            </w:pPr>
            <w:r>
              <w:rPr>
                <w:rFonts w:hint="cs"/>
                <w:b/>
                <w:bCs/>
                <w:sz w:val="28"/>
                <w:rtl/>
              </w:rPr>
              <w:t>12/04/2007</w:t>
            </w:r>
          </w:p>
        </w:tc>
      </w:tr>
    </w:tbl>
    <w:p w14:paraId="32B67BCA" w14:textId="77777777" w:rsidR="00BE53D7" w:rsidRDefault="00BE53D7">
      <w:pPr>
        <w:pStyle w:val="Header"/>
        <w:spacing w:line="240" w:lineRule="auto"/>
        <w:jc w:val="left"/>
        <w:rPr>
          <w:rFonts w:hint="cs"/>
          <w:sz w:val="28"/>
          <w:szCs w:val="28"/>
          <w:rtl/>
        </w:rPr>
      </w:pPr>
    </w:p>
    <w:p w14:paraId="1DB7CCBA" w14:textId="77777777" w:rsidR="00BE53D7" w:rsidRDefault="00BE53D7">
      <w:pPr>
        <w:suppressLineNumbers/>
        <w:spacing w:line="240" w:lineRule="auto"/>
        <w:rPr>
          <w:rFonts w:hint="cs"/>
          <w:b/>
          <w:bCs/>
          <w:sz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E53D7" w14:paraId="0E6BC6DB" w14:textId="77777777">
        <w:tc>
          <w:tcPr>
            <w:tcW w:w="1362" w:type="dxa"/>
          </w:tcPr>
          <w:p w14:paraId="2F35B4F7" w14:textId="77777777" w:rsidR="00BE53D7" w:rsidRDefault="00BE53D7">
            <w:pPr>
              <w:spacing w:line="240" w:lineRule="auto"/>
              <w:rPr>
                <w:b/>
                <w:bCs/>
                <w:sz w:val="28"/>
              </w:rPr>
            </w:pPr>
            <w:bookmarkStart w:id="2" w:name="FirstAppellant"/>
            <w:r>
              <w:rPr>
                <w:rFonts w:hint="cs"/>
                <w:b/>
                <w:bCs/>
                <w:sz w:val="28"/>
                <w:rtl/>
              </w:rPr>
              <w:t>בעניין:</w:t>
            </w:r>
          </w:p>
        </w:tc>
        <w:tc>
          <w:tcPr>
            <w:tcW w:w="4820" w:type="dxa"/>
            <w:gridSpan w:val="2"/>
          </w:tcPr>
          <w:p w14:paraId="3A6C46D1" w14:textId="77777777" w:rsidR="00BE53D7" w:rsidRDefault="00BE53D7">
            <w:pPr>
              <w:spacing w:line="240" w:lineRule="auto"/>
              <w:rPr>
                <w:b/>
                <w:bCs/>
                <w:sz w:val="28"/>
              </w:rPr>
            </w:pPr>
            <w:r>
              <w:rPr>
                <w:rFonts w:hint="cs"/>
                <w:b/>
                <w:bCs/>
                <w:sz w:val="28"/>
                <w:rtl/>
              </w:rPr>
              <w:t xml:space="preserve">מדינת ישראל </w:t>
            </w:r>
          </w:p>
        </w:tc>
        <w:tc>
          <w:tcPr>
            <w:tcW w:w="2409" w:type="dxa"/>
          </w:tcPr>
          <w:p w14:paraId="66E586A8" w14:textId="77777777" w:rsidR="00BE53D7" w:rsidRDefault="00BE53D7">
            <w:pPr>
              <w:spacing w:line="240" w:lineRule="auto"/>
              <w:rPr>
                <w:b/>
                <w:bCs/>
                <w:sz w:val="28"/>
              </w:rPr>
            </w:pPr>
          </w:p>
        </w:tc>
      </w:tr>
      <w:bookmarkEnd w:id="2"/>
      <w:tr w:rsidR="00BE53D7" w14:paraId="3E56E500" w14:textId="77777777">
        <w:tc>
          <w:tcPr>
            <w:tcW w:w="1362" w:type="dxa"/>
          </w:tcPr>
          <w:p w14:paraId="57B881A5" w14:textId="77777777" w:rsidR="00BE53D7" w:rsidRDefault="00BE53D7">
            <w:pPr>
              <w:spacing w:line="240" w:lineRule="auto"/>
              <w:rPr>
                <w:b/>
                <w:bCs/>
                <w:sz w:val="28"/>
              </w:rPr>
            </w:pPr>
          </w:p>
        </w:tc>
        <w:tc>
          <w:tcPr>
            <w:tcW w:w="1757" w:type="dxa"/>
          </w:tcPr>
          <w:p w14:paraId="5C5278B9" w14:textId="77777777" w:rsidR="00BE53D7" w:rsidRDefault="00BE53D7">
            <w:pPr>
              <w:spacing w:line="240" w:lineRule="auto"/>
              <w:rPr>
                <w:b/>
                <w:bCs/>
                <w:sz w:val="28"/>
              </w:rPr>
            </w:pPr>
          </w:p>
        </w:tc>
        <w:tc>
          <w:tcPr>
            <w:tcW w:w="3063" w:type="dxa"/>
          </w:tcPr>
          <w:p w14:paraId="62EE2C9E" w14:textId="77777777" w:rsidR="00BE53D7" w:rsidRDefault="00BE53D7">
            <w:pPr>
              <w:spacing w:line="240" w:lineRule="auto"/>
              <w:rPr>
                <w:b/>
                <w:bCs/>
                <w:sz w:val="28"/>
              </w:rPr>
            </w:pPr>
          </w:p>
        </w:tc>
        <w:tc>
          <w:tcPr>
            <w:tcW w:w="2409" w:type="dxa"/>
          </w:tcPr>
          <w:p w14:paraId="66329A50" w14:textId="77777777" w:rsidR="00BE53D7" w:rsidRDefault="00BE53D7">
            <w:pPr>
              <w:spacing w:line="240" w:lineRule="auto"/>
              <w:rPr>
                <w:b/>
                <w:bCs/>
                <w:sz w:val="28"/>
              </w:rPr>
            </w:pPr>
            <w:r>
              <w:rPr>
                <w:rFonts w:hint="cs"/>
                <w:b/>
                <w:bCs/>
                <w:sz w:val="28"/>
                <w:rtl/>
              </w:rPr>
              <w:t>המאשימה</w:t>
            </w:r>
          </w:p>
        </w:tc>
      </w:tr>
      <w:tr w:rsidR="00BE53D7" w14:paraId="04F0D0BB" w14:textId="77777777">
        <w:tc>
          <w:tcPr>
            <w:tcW w:w="1362" w:type="dxa"/>
          </w:tcPr>
          <w:p w14:paraId="269C0718" w14:textId="77777777" w:rsidR="00BE53D7" w:rsidRDefault="00BE53D7">
            <w:pPr>
              <w:spacing w:line="240" w:lineRule="auto"/>
              <w:rPr>
                <w:b/>
                <w:bCs/>
                <w:sz w:val="28"/>
              </w:rPr>
            </w:pPr>
          </w:p>
        </w:tc>
        <w:tc>
          <w:tcPr>
            <w:tcW w:w="4820" w:type="dxa"/>
            <w:gridSpan w:val="2"/>
          </w:tcPr>
          <w:p w14:paraId="4AC8F23E" w14:textId="77777777" w:rsidR="00BE53D7" w:rsidRDefault="00BE53D7">
            <w:pPr>
              <w:spacing w:line="240" w:lineRule="auto"/>
              <w:jc w:val="center"/>
              <w:rPr>
                <w:b/>
                <w:bCs/>
                <w:sz w:val="28"/>
              </w:rPr>
            </w:pPr>
          </w:p>
          <w:p w14:paraId="1A021C27" w14:textId="77777777" w:rsidR="00BE53D7" w:rsidRDefault="00BE53D7">
            <w:pPr>
              <w:spacing w:line="240" w:lineRule="auto"/>
              <w:jc w:val="center"/>
              <w:rPr>
                <w:rFonts w:hint="cs"/>
                <w:b/>
                <w:bCs/>
                <w:sz w:val="28"/>
                <w:rtl/>
              </w:rPr>
            </w:pPr>
            <w:r>
              <w:rPr>
                <w:rFonts w:hint="cs"/>
                <w:b/>
                <w:bCs/>
                <w:sz w:val="28"/>
                <w:rtl/>
              </w:rPr>
              <w:t>נ  ג  ד</w:t>
            </w:r>
          </w:p>
          <w:p w14:paraId="5DFEBFA9" w14:textId="77777777" w:rsidR="00BE53D7" w:rsidRDefault="00BE53D7">
            <w:pPr>
              <w:spacing w:line="240" w:lineRule="auto"/>
              <w:jc w:val="center"/>
              <w:rPr>
                <w:b/>
                <w:bCs/>
                <w:sz w:val="28"/>
              </w:rPr>
            </w:pPr>
          </w:p>
        </w:tc>
        <w:tc>
          <w:tcPr>
            <w:tcW w:w="2409" w:type="dxa"/>
          </w:tcPr>
          <w:p w14:paraId="110B98C7" w14:textId="77777777" w:rsidR="00BE53D7" w:rsidRDefault="00BE53D7">
            <w:pPr>
              <w:spacing w:line="240" w:lineRule="auto"/>
              <w:rPr>
                <w:b/>
                <w:bCs/>
                <w:sz w:val="28"/>
              </w:rPr>
            </w:pPr>
          </w:p>
        </w:tc>
      </w:tr>
      <w:tr w:rsidR="00BE53D7" w14:paraId="254E57E3" w14:textId="77777777">
        <w:tc>
          <w:tcPr>
            <w:tcW w:w="1362" w:type="dxa"/>
          </w:tcPr>
          <w:p w14:paraId="25843F85" w14:textId="77777777" w:rsidR="00BE53D7" w:rsidRDefault="00BE53D7">
            <w:pPr>
              <w:spacing w:line="240" w:lineRule="auto"/>
              <w:rPr>
                <w:b/>
                <w:bCs/>
                <w:sz w:val="28"/>
              </w:rPr>
            </w:pPr>
            <w:bookmarkStart w:id="3" w:name="שם_ב" w:colFirst="1" w:colLast="1"/>
          </w:p>
        </w:tc>
        <w:tc>
          <w:tcPr>
            <w:tcW w:w="4820" w:type="dxa"/>
            <w:gridSpan w:val="2"/>
          </w:tcPr>
          <w:p w14:paraId="5D85A3E3" w14:textId="77777777" w:rsidR="00BE53D7" w:rsidRDefault="00BE53D7">
            <w:pPr>
              <w:spacing w:line="240" w:lineRule="auto"/>
              <w:rPr>
                <w:b/>
                <w:bCs/>
                <w:sz w:val="28"/>
              </w:rPr>
            </w:pPr>
            <w:r>
              <w:rPr>
                <w:rFonts w:hint="cs"/>
                <w:b/>
                <w:bCs/>
                <w:sz w:val="28"/>
                <w:rtl/>
              </w:rPr>
              <w:t>חודורוב אליעזר</w:t>
            </w:r>
          </w:p>
        </w:tc>
        <w:tc>
          <w:tcPr>
            <w:tcW w:w="2409" w:type="dxa"/>
          </w:tcPr>
          <w:p w14:paraId="6AED1BBF" w14:textId="77777777" w:rsidR="00BE53D7" w:rsidRDefault="00BE53D7">
            <w:pPr>
              <w:spacing w:line="240" w:lineRule="auto"/>
              <w:rPr>
                <w:b/>
                <w:bCs/>
                <w:sz w:val="28"/>
              </w:rPr>
            </w:pPr>
          </w:p>
        </w:tc>
      </w:tr>
      <w:bookmarkEnd w:id="3"/>
      <w:tr w:rsidR="00BE53D7" w14:paraId="50CAEA04" w14:textId="77777777">
        <w:tc>
          <w:tcPr>
            <w:tcW w:w="1362" w:type="dxa"/>
          </w:tcPr>
          <w:p w14:paraId="498E6FB6" w14:textId="77777777" w:rsidR="00BE53D7" w:rsidRDefault="00BE53D7">
            <w:pPr>
              <w:spacing w:line="240" w:lineRule="auto"/>
              <w:rPr>
                <w:b/>
                <w:bCs/>
                <w:sz w:val="28"/>
              </w:rPr>
            </w:pPr>
          </w:p>
        </w:tc>
        <w:tc>
          <w:tcPr>
            <w:tcW w:w="1757" w:type="dxa"/>
          </w:tcPr>
          <w:p w14:paraId="7860878F" w14:textId="77777777" w:rsidR="00BE53D7" w:rsidRDefault="00BE53D7">
            <w:pPr>
              <w:spacing w:line="240" w:lineRule="auto"/>
              <w:rPr>
                <w:b/>
                <w:bCs/>
                <w:sz w:val="28"/>
              </w:rPr>
            </w:pPr>
          </w:p>
        </w:tc>
        <w:tc>
          <w:tcPr>
            <w:tcW w:w="3063" w:type="dxa"/>
          </w:tcPr>
          <w:p w14:paraId="2A3D6F1D" w14:textId="77777777" w:rsidR="00BE53D7" w:rsidRDefault="00BE53D7">
            <w:pPr>
              <w:spacing w:line="240" w:lineRule="auto"/>
              <w:rPr>
                <w:b/>
                <w:bCs/>
                <w:sz w:val="28"/>
              </w:rPr>
            </w:pPr>
          </w:p>
        </w:tc>
        <w:tc>
          <w:tcPr>
            <w:tcW w:w="2409" w:type="dxa"/>
          </w:tcPr>
          <w:p w14:paraId="11DC703F" w14:textId="77777777" w:rsidR="00BE53D7" w:rsidRDefault="00BE53D7">
            <w:pPr>
              <w:spacing w:line="240" w:lineRule="auto"/>
              <w:rPr>
                <w:b/>
                <w:bCs/>
                <w:sz w:val="28"/>
              </w:rPr>
            </w:pPr>
            <w:r>
              <w:rPr>
                <w:rFonts w:hint="cs"/>
                <w:b/>
                <w:bCs/>
                <w:sz w:val="28"/>
                <w:rtl/>
              </w:rPr>
              <w:t>הנאשם</w:t>
            </w:r>
          </w:p>
        </w:tc>
      </w:tr>
    </w:tbl>
    <w:p w14:paraId="13808016" w14:textId="77777777" w:rsidR="00BE53D7" w:rsidRDefault="00BE53D7">
      <w:pPr>
        <w:suppressLineNumbers/>
        <w:spacing w:line="240" w:lineRule="auto"/>
        <w:rPr>
          <w:rFonts w:hint="cs"/>
          <w:b/>
          <w:bCs/>
          <w:sz w:val="28"/>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BE53D7" w14:paraId="4CBE6310" w14:textId="77777777">
        <w:tc>
          <w:tcPr>
            <w:tcW w:w="1332" w:type="dxa"/>
          </w:tcPr>
          <w:p w14:paraId="43BE7D4C" w14:textId="77777777" w:rsidR="00BE53D7" w:rsidRDefault="00BE53D7">
            <w:pPr>
              <w:spacing w:line="240" w:lineRule="auto"/>
              <w:rPr>
                <w:b/>
                <w:bCs/>
                <w:sz w:val="28"/>
              </w:rPr>
            </w:pPr>
            <w:bookmarkStart w:id="4" w:name="FirstLawyer"/>
            <w:r>
              <w:rPr>
                <w:rFonts w:hint="cs"/>
                <w:b/>
                <w:bCs/>
                <w:sz w:val="28"/>
                <w:rtl/>
              </w:rPr>
              <w:t>נוכחים:</w:t>
            </w:r>
          </w:p>
        </w:tc>
        <w:tc>
          <w:tcPr>
            <w:tcW w:w="7230" w:type="dxa"/>
          </w:tcPr>
          <w:p w14:paraId="7DD99403" w14:textId="77777777" w:rsidR="00BE53D7" w:rsidRDefault="00BE53D7">
            <w:pPr>
              <w:pStyle w:val="Heading6"/>
            </w:pPr>
            <w:r>
              <w:rPr>
                <w:rFonts w:hint="cs"/>
                <w:rtl/>
              </w:rPr>
              <w:t xml:space="preserve">ב"כ המאשימה: רס"ר רומיאו חורי </w:t>
            </w:r>
          </w:p>
          <w:p w14:paraId="1F103B44" w14:textId="77777777" w:rsidR="00BE53D7" w:rsidRDefault="00BE53D7">
            <w:pPr>
              <w:spacing w:line="240" w:lineRule="auto"/>
              <w:rPr>
                <w:b/>
                <w:bCs/>
                <w:sz w:val="28"/>
              </w:rPr>
            </w:pPr>
            <w:r>
              <w:rPr>
                <w:rFonts w:hint="cs"/>
                <w:b/>
                <w:bCs/>
                <w:sz w:val="28"/>
                <w:rtl/>
              </w:rPr>
              <w:t>הנאשם:  בעצמו וע"י ב"כ עו"ד</w:t>
            </w:r>
          </w:p>
        </w:tc>
      </w:tr>
    </w:tbl>
    <w:p w14:paraId="3EEB41F7" w14:textId="77777777" w:rsidR="00E05F6E" w:rsidRDefault="00E05F6E">
      <w:pPr>
        <w:suppressLineNumbers/>
        <w:rPr>
          <w:sz w:val="28"/>
          <w:rtl/>
        </w:rPr>
      </w:pPr>
      <w:bookmarkStart w:id="5" w:name="LawTable"/>
      <w:bookmarkEnd w:id="4"/>
      <w:bookmarkEnd w:id="5"/>
    </w:p>
    <w:p w14:paraId="624E82CF" w14:textId="77777777" w:rsidR="00E05F6E" w:rsidRPr="00E05F6E" w:rsidRDefault="00E05F6E" w:rsidP="00E05F6E">
      <w:pPr>
        <w:suppressLineNumbers/>
        <w:spacing w:after="120" w:line="240" w:lineRule="exact"/>
        <w:ind w:left="283" w:hanging="283"/>
        <w:rPr>
          <w:rFonts w:ascii="FrankRuehl" w:hAnsi="FrankRuehl" w:cs="FrankRuehl"/>
          <w:sz w:val="24"/>
          <w:szCs w:val="24"/>
          <w:rtl/>
        </w:rPr>
      </w:pPr>
    </w:p>
    <w:p w14:paraId="78FD367B" w14:textId="77777777" w:rsidR="00E05F6E" w:rsidRPr="00E05F6E" w:rsidRDefault="00E05F6E" w:rsidP="00E05F6E">
      <w:pPr>
        <w:suppressLineNumbers/>
        <w:spacing w:after="120" w:line="240" w:lineRule="exact"/>
        <w:ind w:left="283" w:hanging="283"/>
        <w:rPr>
          <w:rFonts w:ascii="FrankRuehl" w:hAnsi="FrankRuehl" w:cs="FrankRuehl"/>
          <w:sz w:val="24"/>
          <w:szCs w:val="24"/>
          <w:rtl/>
        </w:rPr>
      </w:pPr>
      <w:r w:rsidRPr="00E05F6E">
        <w:rPr>
          <w:rFonts w:ascii="FrankRuehl" w:hAnsi="FrankRuehl" w:cs="FrankRuehl"/>
          <w:sz w:val="24"/>
          <w:szCs w:val="24"/>
          <w:rtl/>
        </w:rPr>
        <w:t xml:space="preserve">חקיקה שאוזכרה: </w:t>
      </w:r>
    </w:p>
    <w:p w14:paraId="2520137B" w14:textId="77777777" w:rsidR="00E05F6E" w:rsidRPr="00E05F6E" w:rsidRDefault="00E05F6E" w:rsidP="00E05F6E">
      <w:pPr>
        <w:suppressLineNumbers/>
        <w:spacing w:after="120" w:line="240" w:lineRule="exact"/>
        <w:ind w:left="283" w:hanging="283"/>
        <w:rPr>
          <w:rFonts w:ascii="FrankRuehl" w:hAnsi="FrankRuehl" w:cs="FrankRuehl"/>
          <w:sz w:val="24"/>
          <w:szCs w:val="24"/>
          <w:rtl/>
        </w:rPr>
      </w:pPr>
      <w:hyperlink r:id="rId6" w:history="1">
        <w:r w:rsidRPr="00E05F6E">
          <w:rPr>
            <w:rFonts w:ascii="FrankRuehl" w:hAnsi="FrankRuehl" w:cs="FrankRuehl"/>
            <w:color w:val="0000FF"/>
            <w:sz w:val="24"/>
            <w:szCs w:val="24"/>
            <w:u w:val="single"/>
            <w:rtl/>
          </w:rPr>
          <w:t>חוק העונשין, תשל"ז-1977</w:t>
        </w:r>
      </w:hyperlink>
      <w:r w:rsidRPr="00E05F6E">
        <w:rPr>
          <w:rFonts w:ascii="FrankRuehl" w:hAnsi="FrankRuehl" w:cs="FrankRuehl"/>
          <w:sz w:val="24"/>
          <w:szCs w:val="24"/>
          <w:rtl/>
        </w:rPr>
        <w:t xml:space="preserve">: סע'  </w:t>
      </w:r>
      <w:hyperlink r:id="rId7" w:history="1">
        <w:r w:rsidRPr="00E05F6E">
          <w:rPr>
            <w:rFonts w:ascii="FrankRuehl" w:hAnsi="FrankRuehl" w:cs="FrankRuehl"/>
            <w:color w:val="0000FF"/>
            <w:sz w:val="24"/>
            <w:szCs w:val="24"/>
            <w:u w:val="single"/>
            <w:rtl/>
          </w:rPr>
          <w:t>348 (ה)</w:t>
        </w:r>
      </w:hyperlink>
    </w:p>
    <w:p w14:paraId="5A9826D4" w14:textId="77777777" w:rsidR="00E05F6E" w:rsidRPr="00E05F6E" w:rsidRDefault="00E05F6E" w:rsidP="00E05F6E">
      <w:pPr>
        <w:suppressLineNumbers/>
        <w:spacing w:after="120" w:line="240" w:lineRule="exact"/>
        <w:ind w:left="283" w:hanging="283"/>
        <w:rPr>
          <w:rFonts w:ascii="FrankRuehl" w:hAnsi="FrankRuehl" w:cs="FrankRuehl"/>
          <w:sz w:val="24"/>
          <w:szCs w:val="24"/>
          <w:rtl/>
        </w:rPr>
      </w:pPr>
      <w:hyperlink r:id="rId8" w:history="1">
        <w:r w:rsidRPr="00E05F6E">
          <w:rPr>
            <w:rFonts w:ascii="FrankRuehl" w:hAnsi="FrankRuehl" w:cs="FrankRuehl"/>
            <w:color w:val="0000FF"/>
            <w:sz w:val="24"/>
            <w:szCs w:val="24"/>
            <w:u w:val="single"/>
            <w:rtl/>
          </w:rPr>
          <w:t>חוק למניעת הטרדה מינית, תשנ"ח-1998</w:t>
        </w:r>
      </w:hyperlink>
      <w:r w:rsidRPr="00E05F6E">
        <w:rPr>
          <w:rFonts w:ascii="FrankRuehl" w:hAnsi="FrankRuehl" w:cs="FrankRuehl"/>
          <w:sz w:val="24"/>
          <w:szCs w:val="24"/>
          <w:rtl/>
        </w:rPr>
        <w:t xml:space="preserve">: סע'  </w:t>
      </w:r>
      <w:hyperlink r:id="rId9" w:history="1">
        <w:r w:rsidRPr="00E05F6E">
          <w:rPr>
            <w:rFonts w:ascii="FrankRuehl" w:hAnsi="FrankRuehl" w:cs="FrankRuehl"/>
            <w:color w:val="0000FF"/>
            <w:sz w:val="24"/>
            <w:szCs w:val="24"/>
            <w:u w:val="single"/>
            <w:rtl/>
          </w:rPr>
          <w:t>3.א.4.</w:t>
        </w:r>
      </w:hyperlink>
      <w:r w:rsidRPr="00E05F6E">
        <w:rPr>
          <w:rFonts w:ascii="FrankRuehl" w:hAnsi="FrankRuehl" w:cs="FrankRuehl"/>
          <w:sz w:val="24"/>
          <w:szCs w:val="24"/>
          <w:rtl/>
        </w:rPr>
        <w:t xml:space="preserve">, </w:t>
      </w:r>
      <w:hyperlink r:id="rId10" w:history="1">
        <w:r w:rsidRPr="00E05F6E">
          <w:rPr>
            <w:rFonts w:ascii="FrankRuehl" w:hAnsi="FrankRuehl" w:cs="FrankRuehl"/>
            <w:color w:val="0000FF"/>
            <w:sz w:val="24"/>
            <w:szCs w:val="24"/>
            <w:u w:val="single"/>
            <w:rtl/>
          </w:rPr>
          <w:t>5.א</w:t>
        </w:r>
      </w:hyperlink>
      <w:r w:rsidRPr="00E05F6E">
        <w:rPr>
          <w:rFonts w:ascii="FrankRuehl" w:hAnsi="FrankRuehl" w:cs="FrankRuehl"/>
          <w:sz w:val="24"/>
          <w:szCs w:val="24"/>
          <w:rtl/>
        </w:rPr>
        <w:t xml:space="preserve">, </w:t>
      </w:r>
      <w:hyperlink r:id="rId11" w:history="1">
        <w:r w:rsidRPr="00E05F6E">
          <w:rPr>
            <w:rFonts w:ascii="FrankRuehl" w:hAnsi="FrankRuehl" w:cs="FrankRuehl"/>
            <w:color w:val="0000FF"/>
            <w:sz w:val="24"/>
            <w:szCs w:val="24"/>
            <w:u w:val="single"/>
            <w:rtl/>
          </w:rPr>
          <w:t>6.ג.</w:t>
        </w:r>
      </w:hyperlink>
    </w:p>
    <w:p w14:paraId="1A16885B" w14:textId="77777777" w:rsidR="00E05F6E" w:rsidRPr="00E05F6E" w:rsidRDefault="00E05F6E" w:rsidP="00E05F6E">
      <w:pPr>
        <w:suppressLineNumbers/>
        <w:spacing w:after="120" w:line="240" w:lineRule="exact"/>
        <w:ind w:left="283" w:hanging="283"/>
        <w:rPr>
          <w:rFonts w:ascii="FrankRuehl" w:hAnsi="FrankRuehl" w:cs="FrankRuehl"/>
          <w:sz w:val="24"/>
          <w:szCs w:val="24"/>
          <w:rtl/>
        </w:rPr>
      </w:pPr>
      <w:hyperlink r:id="rId12" w:history="1">
        <w:r w:rsidRPr="00E05F6E">
          <w:rPr>
            <w:rFonts w:ascii="FrankRuehl" w:hAnsi="FrankRuehl" w:cs="FrankRuehl"/>
            <w:color w:val="0000FF"/>
            <w:sz w:val="24"/>
            <w:szCs w:val="24"/>
            <w:u w:val="single"/>
            <w:rtl/>
          </w:rPr>
          <w:t>פקודת הראיות [נוסח חדש], תשל"א-1971</w:t>
        </w:r>
      </w:hyperlink>
      <w:r w:rsidRPr="00E05F6E">
        <w:rPr>
          <w:rFonts w:ascii="FrankRuehl" w:hAnsi="FrankRuehl" w:cs="FrankRuehl"/>
          <w:sz w:val="24"/>
          <w:szCs w:val="24"/>
          <w:rtl/>
        </w:rPr>
        <w:t xml:space="preserve">: סע'  </w:t>
      </w:r>
      <w:hyperlink r:id="rId13" w:history="1">
        <w:r w:rsidRPr="00E05F6E">
          <w:rPr>
            <w:rFonts w:ascii="FrankRuehl" w:hAnsi="FrankRuehl" w:cs="FrankRuehl"/>
            <w:color w:val="0000FF"/>
            <w:sz w:val="24"/>
            <w:szCs w:val="24"/>
            <w:u w:val="single"/>
            <w:rtl/>
          </w:rPr>
          <w:t>53</w:t>
        </w:r>
      </w:hyperlink>
      <w:r w:rsidRPr="00E05F6E">
        <w:rPr>
          <w:rFonts w:ascii="FrankRuehl" w:hAnsi="FrankRuehl" w:cs="FrankRuehl"/>
          <w:sz w:val="24"/>
          <w:szCs w:val="24"/>
          <w:rtl/>
        </w:rPr>
        <w:t xml:space="preserve">, </w:t>
      </w:r>
      <w:hyperlink r:id="rId14" w:history="1">
        <w:r w:rsidRPr="00E05F6E">
          <w:rPr>
            <w:rFonts w:ascii="FrankRuehl" w:hAnsi="FrankRuehl" w:cs="FrankRuehl"/>
            <w:color w:val="0000FF"/>
            <w:sz w:val="24"/>
            <w:szCs w:val="24"/>
            <w:u w:val="single"/>
            <w:rtl/>
          </w:rPr>
          <w:t>54 א'</w:t>
        </w:r>
      </w:hyperlink>
    </w:p>
    <w:p w14:paraId="6D79CFC4" w14:textId="77777777" w:rsidR="00E05F6E" w:rsidRPr="00E05F6E" w:rsidRDefault="00E05F6E" w:rsidP="00E05F6E">
      <w:pPr>
        <w:suppressLineNumbers/>
        <w:spacing w:after="120" w:line="240" w:lineRule="exact"/>
        <w:ind w:left="283" w:hanging="283"/>
        <w:rPr>
          <w:rFonts w:ascii="FrankRuehl" w:hAnsi="FrankRuehl" w:cs="FrankRuehl"/>
          <w:sz w:val="24"/>
          <w:szCs w:val="24"/>
          <w:rtl/>
        </w:rPr>
      </w:pPr>
    </w:p>
    <w:p w14:paraId="752481B2" w14:textId="77777777" w:rsidR="00E05F6E" w:rsidRPr="00E05F6E" w:rsidRDefault="00E05F6E">
      <w:pPr>
        <w:suppressLineNumbers/>
        <w:rPr>
          <w:sz w:val="28"/>
          <w:rtl/>
        </w:rPr>
      </w:pPr>
      <w:bookmarkStart w:id="6" w:name="LawTable_End"/>
      <w:bookmarkEnd w:id="6"/>
    </w:p>
    <w:p w14:paraId="14906E4C" w14:textId="77777777" w:rsidR="00E05F6E" w:rsidRPr="00E05F6E" w:rsidRDefault="00E05F6E">
      <w:pPr>
        <w:suppressLineNumbers/>
        <w:rPr>
          <w:sz w:val="28"/>
          <w:rtl/>
        </w:rPr>
      </w:pPr>
    </w:p>
    <w:p w14:paraId="03E40AFE" w14:textId="77777777" w:rsidR="00E05F6E" w:rsidRPr="00E05F6E" w:rsidRDefault="00E05F6E">
      <w:pPr>
        <w:suppressLineNumbers/>
        <w:rPr>
          <w:sz w:val="28"/>
          <w:rtl/>
        </w:rPr>
      </w:pPr>
    </w:p>
    <w:p w14:paraId="5E865A49" w14:textId="77777777" w:rsidR="00BE53D7" w:rsidRPr="00E05F6E" w:rsidRDefault="00BE53D7">
      <w:pPr>
        <w:suppressLineNumbers/>
        <w:rPr>
          <w:rFonts w:hint="cs"/>
          <w:sz w:val="28"/>
          <w:rtl/>
        </w:rPr>
      </w:pPr>
    </w:p>
    <w:p w14:paraId="63427C35" w14:textId="77777777" w:rsidR="00C7054F" w:rsidRPr="00C7054F" w:rsidRDefault="00C7054F">
      <w:pPr>
        <w:pStyle w:val="Heading4"/>
        <w:rPr>
          <w:b w:val="0"/>
          <w:bCs w:val="0"/>
          <w:sz w:val="28"/>
          <w:szCs w:val="28"/>
          <w:u w:val="none"/>
          <w:rtl/>
        </w:rPr>
      </w:pPr>
      <w:bookmarkStart w:id="7" w:name="סוג_מסמך"/>
      <w:bookmarkEnd w:id="7"/>
    </w:p>
    <w:p w14:paraId="08A3E75B" w14:textId="77777777" w:rsidR="00C7054F" w:rsidRPr="00C7054F" w:rsidRDefault="00C7054F">
      <w:pPr>
        <w:pStyle w:val="Heading4"/>
        <w:rPr>
          <w:sz w:val="28"/>
          <w:szCs w:val="28"/>
          <w:u w:val="none"/>
          <w:rtl/>
        </w:rPr>
      </w:pPr>
    </w:p>
    <w:p w14:paraId="12EF4954" w14:textId="77777777" w:rsidR="00BE53D7" w:rsidRPr="00C7054F" w:rsidRDefault="00BE53D7">
      <w:pPr>
        <w:pStyle w:val="Heading4"/>
        <w:rPr>
          <w:sz w:val="28"/>
          <w:szCs w:val="28"/>
          <w:u w:val="none"/>
          <w:rtl/>
        </w:rPr>
      </w:pPr>
    </w:p>
    <w:p w14:paraId="00DCE8FF" w14:textId="77777777" w:rsidR="00BE53D7" w:rsidRDefault="00BE53D7">
      <w:pPr>
        <w:jc w:val="center"/>
        <w:rPr>
          <w:b/>
          <w:bCs/>
          <w:sz w:val="28"/>
          <w:u w:val="single"/>
          <w:rtl/>
        </w:rPr>
      </w:pPr>
      <w:bookmarkStart w:id="8" w:name="PsakDin"/>
      <w:bookmarkEnd w:id="1"/>
      <w:r>
        <w:rPr>
          <w:b/>
          <w:bCs/>
          <w:sz w:val="28"/>
          <w:u w:val="single"/>
          <w:rtl/>
        </w:rPr>
        <w:t>הכרעת דין</w:t>
      </w:r>
    </w:p>
    <w:bookmarkEnd w:id="8"/>
    <w:p w14:paraId="35E32B12" w14:textId="77777777" w:rsidR="00BE53D7" w:rsidRDefault="00BE53D7">
      <w:pPr>
        <w:rPr>
          <w:rFonts w:hint="cs"/>
          <w:rtl/>
        </w:rPr>
      </w:pPr>
    </w:p>
    <w:p w14:paraId="66F8205D" w14:textId="77777777" w:rsidR="00BE53D7" w:rsidRDefault="00BE53D7">
      <w:pPr>
        <w:rPr>
          <w:rFonts w:hint="cs"/>
          <w:rtl/>
        </w:rPr>
      </w:pPr>
      <w:r>
        <w:rPr>
          <w:rFonts w:hint="cs"/>
          <w:rtl/>
        </w:rPr>
        <w:t>בפתח הדברים, אני מודיע כי החלטתי לזכות את הנאשם מן העבירות אשר יוחסו לו בכתב האישום, וזאת, מחמת הספק.</w:t>
      </w:r>
    </w:p>
    <w:p w14:paraId="57FE7862" w14:textId="77777777" w:rsidR="00BE53D7" w:rsidRDefault="00BE53D7">
      <w:pPr>
        <w:rPr>
          <w:rFonts w:hint="cs"/>
          <w:rtl/>
        </w:rPr>
      </w:pPr>
    </w:p>
    <w:p w14:paraId="585D3752" w14:textId="77777777" w:rsidR="00BE53D7" w:rsidRDefault="00BE53D7">
      <w:pPr>
        <w:rPr>
          <w:rFonts w:hint="cs"/>
          <w:b/>
          <w:bCs/>
          <w:u w:val="single"/>
          <w:rtl/>
        </w:rPr>
      </w:pPr>
      <w:r>
        <w:rPr>
          <w:rFonts w:hint="cs"/>
          <w:b/>
          <w:bCs/>
          <w:u w:val="single"/>
          <w:rtl/>
        </w:rPr>
        <w:t>עובדות כתב האישום:</w:t>
      </w:r>
    </w:p>
    <w:p w14:paraId="0B2017F7" w14:textId="77777777" w:rsidR="00BE53D7" w:rsidRDefault="00BE53D7">
      <w:pPr>
        <w:rPr>
          <w:rFonts w:hint="cs"/>
          <w:rtl/>
        </w:rPr>
      </w:pPr>
      <w:r>
        <w:rPr>
          <w:rFonts w:hint="cs"/>
          <w:rtl/>
        </w:rPr>
        <w:lastRenderedPageBreak/>
        <w:t>בתקופה הרלוונטית לכתב האישום, בין חודש ספטמבר 2001 לחודש ספטמבר 2005, עבדה גילה גבריאלי (להלן: "המתלוננת"), בקיבוץ מחניים (להלן: "הקיבוץ") כמזכירתו של הנאשם, וכן, בקניונית במרכז המסחרי אשר בבעלות הקיבוץ תחת ניהולו של הנאשם (להלן: "הקניונית").</w:t>
      </w:r>
    </w:p>
    <w:p w14:paraId="694403AB" w14:textId="77777777" w:rsidR="00BE53D7" w:rsidRDefault="00BE53D7">
      <w:pPr>
        <w:rPr>
          <w:rFonts w:hint="cs"/>
          <w:rtl/>
        </w:rPr>
      </w:pPr>
    </w:p>
    <w:p w14:paraId="714DA603" w14:textId="77777777" w:rsidR="00BE53D7" w:rsidRDefault="00BE53D7">
      <w:pPr>
        <w:rPr>
          <w:rFonts w:hint="cs"/>
          <w:rtl/>
        </w:rPr>
      </w:pPr>
      <w:bookmarkStart w:id="9" w:name="ABSTRACT_START"/>
      <w:bookmarkEnd w:id="9"/>
      <w:r>
        <w:rPr>
          <w:rFonts w:hint="cs"/>
          <w:rtl/>
        </w:rPr>
        <w:t>על פי הנטען בכתב האישום, במהלך תקופה זו במועדים אשר אינם ידועים למאשימה, ביצע הנאשם במתלוננת מעשים מגונים</w:t>
      </w:r>
      <w:bookmarkStart w:id="10" w:name="ABSTRACT_END"/>
      <w:bookmarkEnd w:id="10"/>
      <w:r>
        <w:rPr>
          <w:rFonts w:hint="cs"/>
          <w:rtl/>
        </w:rPr>
        <w:t>, כך שבמהלך נסיעות בלוית המתלוננת נהג הנאשם להניח את ידיו על ירכיה ועל בטנה, וכן, לפת את מותניה תוך כדי שהמתלוננת מנסה לזוז בכדי להתחמק מנגיעותיו.</w:t>
      </w:r>
    </w:p>
    <w:p w14:paraId="4AE6BAB3" w14:textId="77777777" w:rsidR="00BE53D7" w:rsidRDefault="00BE53D7">
      <w:pPr>
        <w:rPr>
          <w:rFonts w:hint="cs"/>
          <w:rtl/>
        </w:rPr>
      </w:pPr>
    </w:p>
    <w:p w14:paraId="10953760" w14:textId="77777777" w:rsidR="00BE53D7" w:rsidRDefault="00BE53D7">
      <w:pPr>
        <w:rPr>
          <w:rFonts w:hint="cs"/>
          <w:rtl/>
        </w:rPr>
      </w:pPr>
      <w:r>
        <w:rPr>
          <w:rFonts w:hint="cs"/>
          <w:rtl/>
        </w:rPr>
        <w:t>כעולה מכתב האישום, הנאשם ביצע מעשים אלה תוך ניצול יחסי מרות בעבודה ולשם גירוי, סיפוק או ביזוי מיני.</w:t>
      </w:r>
    </w:p>
    <w:p w14:paraId="477A2941" w14:textId="77777777" w:rsidR="00BE53D7" w:rsidRDefault="00BE53D7">
      <w:pPr>
        <w:rPr>
          <w:rFonts w:hint="cs"/>
          <w:rtl/>
        </w:rPr>
      </w:pPr>
    </w:p>
    <w:p w14:paraId="348D721D" w14:textId="77777777" w:rsidR="00BE53D7" w:rsidRDefault="00BE53D7">
      <w:pPr>
        <w:rPr>
          <w:rFonts w:hint="cs"/>
          <w:rtl/>
        </w:rPr>
      </w:pPr>
      <w:r>
        <w:rPr>
          <w:rFonts w:hint="cs"/>
          <w:rtl/>
        </w:rPr>
        <w:t xml:space="preserve">על בסיס האמור לעיל, יוחסה לנאשם עבירה של ביצוע מעשה מגונה בעובד תוך ניצול יחסי מרות בעבודה, עבירה לפי </w:t>
      </w:r>
      <w:hyperlink r:id="rId15" w:history="1">
        <w:r w:rsidR="00E05F6E" w:rsidRPr="00E05F6E">
          <w:rPr>
            <w:color w:val="0000FF"/>
            <w:u w:val="single"/>
            <w:rtl/>
          </w:rPr>
          <w:t>סעיף 348 (ה)</w:t>
        </w:r>
      </w:hyperlink>
      <w:r>
        <w:rPr>
          <w:rFonts w:hint="cs"/>
          <w:rtl/>
        </w:rPr>
        <w:t xml:space="preserve"> ל</w:t>
      </w:r>
      <w:hyperlink r:id="rId16" w:history="1">
        <w:r w:rsidR="00C7054F" w:rsidRPr="00C7054F">
          <w:rPr>
            <w:rStyle w:val="Hyperlink"/>
            <w:rFonts w:hint="eastAsia"/>
            <w:rtl/>
          </w:rPr>
          <w:t>חוק</w:t>
        </w:r>
        <w:r w:rsidR="00C7054F" w:rsidRPr="00C7054F">
          <w:rPr>
            <w:rStyle w:val="Hyperlink"/>
            <w:rtl/>
          </w:rPr>
          <w:t xml:space="preserve"> העונשין</w:t>
        </w:r>
      </w:hyperlink>
      <w:r>
        <w:rPr>
          <w:rFonts w:hint="cs"/>
          <w:rtl/>
        </w:rPr>
        <w:t>, התשל"ז- 1977.</w:t>
      </w:r>
    </w:p>
    <w:p w14:paraId="315F91A9" w14:textId="77777777" w:rsidR="00BE53D7" w:rsidRDefault="00BE53D7">
      <w:pPr>
        <w:rPr>
          <w:rFonts w:hint="cs"/>
          <w:rtl/>
        </w:rPr>
      </w:pPr>
    </w:p>
    <w:p w14:paraId="3A63D30B" w14:textId="77777777" w:rsidR="00BE53D7" w:rsidRDefault="00BE53D7">
      <w:pPr>
        <w:rPr>
          <w:rFonts w:hint="cs"/>
          <w:rtl/>
        </w:rPr>
      </w:pPr>
      <w:r>
        <w:rPr>
          <w:rFonts w:hint="cs"/>
          <w:rtl/>
        </w:rPr>
        <w:t>עוד נטען בכתב האישום, כי במהלך אותה תקופה, במקומות ובמועדים אשר אינם ידועים למאשימה ובמסגרת יחסי העבודה אשר שררו בין הנאשם למתלוננת, נהג הנאשם לפנות למתלוננת בהתייחסויות חוזרות המתמקדות במיניותה.</w:t>
      </w:r>
    </w:p>
    <w:p w14:paraId="22A40DE3" w14:textId="77777777" w:rsidR="00BE53D7" w:rsidRDefault="00BE53D7">
      <w:pPr>
        <w:rPr>
          <w:rFonts w:hint="cs"/>
          <w:rtl/>
        </w:rPr>
      </w:pPr>
    </w:p>
    <w:p w14:paraId="0AB57C7C" w14:textId="77777777" w:rsidR="00BE53D7" w:rsidRDefault="00BE53D7">
      <w:pPr>
        <w:rPr>
          <w:rFonts w:hint="cs"/>
          <w:rtl/>
        </w:rPr>
      </w:pPr>
      <w:r>
        <w:rPr>
          <w:rFonts w:hint="cs"/>
          <w:rtl/>
        </w:rPr>
        <w:t>על פי הנטען בכתב האישום, נהג הנאשם לומר למתלוננת כי היא "אישה סקסית". כן נטען, כי תוך כדי דיבור עם המתלוננת על כך שהיא נראית לו "חמה במיטה", נהג הנאשם לרמוז למתלוננת על אקטים מיניים תוך שהוא אומר לה: "איזה אורך בגטים את אוהבת לאכול", וכן, "איך את בולעת".</w:t>
      </w:r>
    </w:p>
    <w:p w14:paraId="6F754B4E" w14:textId="77777777" w:rsidR="00BE53D7" w:rsidRDefault="00BE53D7">
      <w:pPr>
        <w:rPr>
          <w:rFonts w:hint="cs"/>
          <w:rtl/>
        </w:rPr>
      </w:pPr>
    </w:p>
    <w:p w14:paraId="01D6DA43" w14:textId="77777777" w:rsidR="00BE53D7" w:rsidRDefault="00BE53D7">
      <w:pPr>
        <w:rPr>
          <w:rFonts w:hint="cs"/>
          <w:rtl/>
        </w:rPr>
      </w:pPr>
      <w:r>
        <w:rPr>
          <w:rFonts w:hint="cs"/>
          <w:rtl/>
        </w:rPr>
        <w:t>עוד נטען בכתב האישום, כי הנאשם נהג להרתיע את המתלוננת מלפעול כנגדו באופן שהזכיר לה כי מצבה איננו בטוח וכי עליה ל"התנהג יפה".</w:t>
      </w:r>
    </w:p>
    <w:p w14:paraId="2A7FF79C" w14:textId="77777777" w:rsidR="00BE53D7" w:rsidRDefault="00BE53D7">
      <w:pPr>
        <w:rPr>
          <w:rFonts w:hint="cs"/>
          <w:rtl/>
        </w:rPr>
      </w:pPr>
    </w:p>
    <w:p w14:paraId="0A4AE927" w14:textId="77777777" w:rsidR="00BE53D7" w:rsidRDefault="00BE53D7">
      <w:pPr>
        <w:rPr>
          <w:rFonts w:hint="cs"/>
          <w:rtl/>
        </w:rPr>
      </w:pPr>
      <w:r>
        <w:rPr>
          <w:rFonts w:hint="cs"/>
          <w:rtl/>
        </w:rPr>
        <w:t xml:space="preserve">לאור דברים אלו, יוחסה לנאשם אף עבירת הטרדה מינית, עבירה לפי </w:t>
      </w:r>
      <w:hyperlink r:id="rId17" w:history="1">
        <w:r w:rsidR="00E05F6E" w:rsidRPr="00E05F6E">
          <w:rPr>
            <w:color w:val="0000FF"/>
            <w:u w:val="single"/>
            <w:rtl/>
          </w:rPr>
          <w:t>סעיפים 3(א)(4) + 6(ג) ו- 5 (א)</w:t>
        </w:r>
      </w:hyperlink>
      <w:r>
        <w:rPr>
          <w:rFonts w:hint="cs"/>
          <w:rtl/>
        </w:rPr>
        <w:t xml:space="preserve"> ל</w:t>
      </w:r>
      <w:hyperlink r:id="rId18" w:history="1">
        <w:r w:rsidR="00C7054F" w:rsidRPr="00C7054F">
          <w:rPr>
            <w:rStyle w:val="Hyperlink"/>
            <w:rFonts w:hint="eastAsia"/>
            <w:rtl/>
          </w:rPr>
          <w:t>חוק</w:t>
        </w:r>
        <w:r w:rsidR="00C7054F" w:rsidRPr="00C7054F">
          <w:rPr>
            <w:rStyle w:val="Hyperlink"/>
            <w:rtl/>
          </w:rPr>
          <w:t xml:space="preserve"> למניעת הטרדה מינית</w:t>
        </w:r>
      </w:hyperlink>
      <w:r>
        <w:rPr>
          <w:rFonts w:hint="cs"/>
          <w:rtl/>
        </w:rPr>
        <w:t>, התשנ"ח- 1988.</w:t>
      </w:r>
    </w:p>
    <w:p w14:paraId="76DF409A" w14:textId="77777777" w:rsidR="00BE53D7" w:rsidRDefault="00BE53D7">
      <w:pPr>
        <w:rPr>
          <w:rFonts w:hint="cs"/>
          <w:rtl/>
        </w:rPr>
      </w:pPr>
    </w:p>
    <w:p w14:paraId="6DBE4010" w14:textId="77777777" w:rsidR="00BE53D7" w:rsidRDefault="00BE53D7">
      <w:pPr>
        <w:rPr>
          <w:rFonts w:hint="cs"/>
          <w:b/>
          <w:bCs/>
          <w:u w:val="single"/>
          <w:rtl/>
        </w:rPr>
      </w:pPr>
      <w:r>
        <w:rPr>
          <w:rFonts w:hint="cs"/>
          <w:b/>
          <w:bCs/>
          <w:u w:val="single"/>
          <w:rtl/>
        </w:rPr>
        <w:t>תשובת הנאשם:</w:t>
      </w:r>
    </w:p>
    <w:p w14:paraId="36ACAA36" w14:textId="77777777" w:rsidR="00BE53D7" w:rsidRDefault="00BE53D7">
      <w:pPr>
        <w:rPr>
          <w:rFonts w:hint="cs"/>
          <w:rtl/>
        </w:rPr>
      </w:pPr>
      <w:r>
        <w:rPr>
          <w:rFonts w:hint="cs"/>
          <w:rtl/>
        </w:rPr>
        <w:lastRenderedPageBreak/>
        <w:t>בדיון אשר התקיים ביום 29.10.06 כפר הנאשם בעובדות כתב האישום.</w:t>
      </w:r>
    </w:p>
    <w:p w14:paraId="190AB1F6" w14:textId="77777777" w:rsidR="00BE53D7" w:rsidRDefault="00BE53D7">
      <w:pPr>
        <w:rPr>
          <w:rFonts w:hint="cs"/>
          <w:u w:val="single"/>
          <w:rtl/>
        </w:rPr>
      </w:pPr>
    </w:p>
    <w:p w14:paraId="4A59E3C3" w14:textId="77777777" w:rsidR="00BE53D7" w:rsidRDefault="00BE53D7">
      <w:pPr>
        <w:rPr>
          <w:rFonts w:hint="cs"/>
          <w:b/>
          <w:bCs/>
          <w:u w:val="single"/>
          <w:rtl/>
        </w:rPr>
      </w:pPr>
      <w:r>
        <w:rPr>
          <w:rFonts w:hint="cs"/>
          <w:b/>
          <w:bCs/>
          <w:u w:val="single"/>
          <w:rtl/>
        </w:rPr>
        <w:t>ראיות המאשימה:</w:t>
      </w:r>
    </w:p>
    <w:p w14:paraId="75838EEC" w14:textId="77777777" w:rsidR="00BE53D7" w:rsidRDefault="00BE53D7">
      <w:pPr>
        <w:rPr>
          <w:rFonts w:hint="cs"/>
          <w:rtl/>
        </w:rPr>
      </w:pPr>
      <w:r>
        <w:rPr>
          <w:rFonts w:hint="cs"/>
          <w:rtl/>
        </w:rPr>
        <w:t>להוכחת אשמתו של הנאשם, העידו מטעם המאשימה שתי עדות, עדת התביעה מספר 1, הגב' גילה גבריאלי (המתלוננת), וכן, עדת התביעה מספר 2, הגב' יערית עמר- חוקרת בתחנת ירדן.</w:t>
      </w:r>
    </w:p>
    <w:p w14:paraId="530EE0D4" w14:textId="77777777" w:rsidR="00BE53D7" w:rsidRDefault="00BE53D7">
      <w:pPr>
        <w:rPr>
          <w:rFonts w:hint="cs"/>
          <w:rtl/>
        </w:rPr>
      </w:pPr>
    </w:p>
    <w:p w14:paraId="7CD410D6" w14:textId="77777777" w:rsidR="00BE53D7" w:rsidRDefault="00BE53D7">
      <w:pPr>
        <w:rPr>
          <w:rFonts w:hint="cs"/>
          <w:rtl/>
        </w:rPr>
      </w:pPr>
      <w:r>
        <w:rPr>
          <w:rFonts w:hint="cs"/>
          <w:rtl/>
        </w:rPr>
        <w:t>כמו כן, הגישה המאשימה מוצג אחד הודעתו של הנאשם מיום 30.3.06- סומנה ת/1.</w:t>
      </w:r>
    </w:p>
    <w:p w14:paraId="6E96CA31" w14:textId="77777777" w:rsidR="00BE53D7" w:rsidRDefault="00BE53D7">
      <w:pPr>
        <w:rPr>
          <w:rFonts w:hint="cs"/>
          <w:b/>
          <w:bCs/>
          <w:u w:val="single"/>
          <w:rtl/>
        </w:rPr>
      </w:pPr>
      <w:r>
        <w:rPr>
          <w:rFonts w:hint="cs"/>
          <w:b/>
          <w:bCs/>
          <w:u w:val="single"/>
          <w:rtl/>
        </w:rPr>
        <w:t>ראיות ההגנה:</w:t>
      </w:r>
    </w:p>
    <w:p w14:paraId="29D79BBC" w14:textId="77777777" w:rsidR="00BE53D7" w:rsidRDefault="00BE53D7">
      <w:pPr>
        <w:rPr>
          <w:rFonts w:hint="cs"/>
          <w:rtl/>
        </w:rPr>
      </w:pPr>
      <w:r>
        <w:rPr>
          <w:rFonts w:hint="cs"/>
          <w:rtl/>
        </w:rPr>
        <w:t>מטעם ההגנה העיד הנאשם בעצמו, וכן, עד ההגנה מספר 2 מר יובל צור אשר שימש במועדים הרלוונטיים לכתב האישום כמנהל קהילת הקיבוץ.</w:t>
      </w:r>
    </w:p>
    <w:p w14:paraId="4F7E3E5B" w14:textId="77777777" w:rsidR="00BE53D7" w:rsidRDefault="00BE53D7">
      <w:pPr>
        <w:rPr>
          <w:rFonts w:hint="cs"/>
          <w:rtl/>
        </w:rPr>
      </w:pPr>
    </w:p>
    <w:p w14:paraId="392B18B4" w14:textId="77777777" w:rsidR="00BE53D7" w:rsidRDefault="00BE53D7">
      <w:pPr>
        <w:rPr>
          <w:rFonts w:hint="cs"/>
          <w:rtl/>
        </w:rPr>
      </w:pPr>
      <w:r>
        <w:rPr>
          <w:rFonts w:hint="cs"/>
          <w:rtl/>
        </w:rPr>
        <w:t>כמו כן, הוגשו מטעם ההגנה מסמכים שונים אשר סומנו נ/1- נ/13.</w:t>
      </w:r>
    </w:p>
    <w:p w14:paraId="455F7D98" w14:textId="77777777" w:rsidR="00BE53D7" w:rsidRDefault="00BE53D7">
      <w:pPr>
        <w:rPr>
          <w:rFonts w:hint="cs"/>
          <w:u w:val="single"/>
          <w:rtl/>
        </w:rPr>
      </w:pPr>
    </w:p>
    <w:p w14:paraId="7B61FFA4" w14:textId="77777777" w:rsidR="00BE53D7" w:rsidRDefault="00BE53D7">
      <w:pPr>
        <w:rPr>
          <w:rFonts w:hint="cs"/>
          <w:b/>
          <w:bCs/>
          <w:u w:val="single"/>
          <w:rtl/>
        </w:rPr>
      </w:pPr>
      <w:r>
        <w:rPr>
          <w:rFonts w:hint="cs"/>
          <w:b/>
          <w:bCs/>
          <w:u w:val="single"/>
          <w:rtl/>
        </w:rPr>
        <w:t>דיון והכרעה:</w:t>
      </w:r>
    </w:p>
    <w:p w14:paraId="79992518" w14:textId="77777777" w:rsidR="00BE53D7" w:rsidRDefault="00BE53D7">
      <w:pPr>
        <w:rPr>
          <w:rFonts w:hint="cs"/>
          <w:b/>
          <w:bCs/>
          <w:u w:val="single"/>
          <w:rtl/>
        </w:rPr>
      </w:pPr>
      <w:r>
        <w:rPr>
          <w:rFonts w:hint="cs"/>
          <w:b/>
          <w:bCs/>
          <w:u w:val="single"/>
          <w:rtl/>
        </w:rPr>
        <w:t>רקע כללי:</w:t>
      </w:r>
    </w:p>
    <w:p w14:paraId="033106EE" w14:textId="77777777" w:rsidR="00BE53D7" w:rsidRDefault="00BE53D7">
      <w:pPr>
        <w:pStyle w:val="BodyText"/>
        <w:rPr>
          <w:rFonts w:hint="cs"/>
          <w:rtl/>
        </w:rPr>
      </w:pPr>
      <w:r>
        <w:rPr>
          <w:rFonts w:hint="cs"/>
          <w:rtl/>
        </w:rPr>
        <w:t>בפתח הדברים יצוין, כי מצויות בפני שתי גרסאות סותרות, זו של המתלוננת מחד, וזו של הנאשם מאידך.</w:t>
      </w:r>
    </w:p>
    <w:p w14:paraId="0AE379A8" w14:textId="77777777" w:rsidR="00BE53D7" w:rsidRDefault="00BE53D7">
      <w:pPr>
        <w:rPr>
          <w:rFonts w:hint="cs"/>
          <w:rtl/>
        </w:rPr>
      </w:pPr>
    </w:p>
    <w:p w14:paraId="53BEE76B" w14:textId="77777777" w:rsidR="00BE53D7" w:rsidRDefault="00BE53D7">
      <w:pPr>
        <w:rPr>
          <w:rFonts w:hint="cs"/>
          <w:rtl/>
        </w:rPr>
      </w:pPr>
      <w:r>
        <w:rPr>
          <w:rFonts w:hint="cs"/>
          <w:rtl/>
        </w:rPr>
        <w:t>עוד יצוין, כי לא מצאתי בראיות המאשימה תמיכה, חיזוק או סיוע לטענות המתלוננת. משכך, הרי שלמעשה הסוגיה העיקרית בענייננו הינה קביעת מהימנות עדויותיהם של המתלוננת והנאשם אשר נשמעו בתיק זה.</w:t>
      </w:r>
    </w:p>
    <w:p w14:paraId="5DC0C5FB" w14:textId="77777777" w:rsidR="00BE53D7" w:rsidRDefault="00BE53D7">
      <w:pPr>
        <w:rPr>
          <w:rFonts w:hint="cs"/>
          <w:rtl/>
        </w:rPr>
      </w:pPr>
    </w:p>
    <w:p w14:paraId="47782219" w14:textId="77777777" w:rsidR="00BE53D7" w:rsidRDefault="00E05F6E">
      <w:pPr>
        <w:rPr>
          <w:rFonts w:hint="cs"/>
          <w:rtl/>
        </w:rPr>
      </w:pPr>
      <w:hyperlink r:id="rId19" w:history="1">
        <w:r w:rsidRPr="00E05F6E">
          <w:rPr>
            <w:color w:val="0000FF"/>
            <w:u w:val="single"/>
            <w:rtl/>
          </w:rPr>
          <w:t>בסעיף 53</w:t>
        </w:r>
      </w:hyperlink>
      <w:r w:rsidR="00BE53D7">
        <w:rPr>
          <w:rFonts w:hint="cs"/>
          <w:rtl/>
        </w:rPr>
        <w:t xml:space="preserve"> ל</w:t>
      </w:r>
      <w:hyperlink r:id="rId20" w:history="1">
        <w:r w:rsidR="00C7054F" w:rsidRPr="00C7054F">
          <w:rPr>
            <w:rStyle w:val="Hyperlink"/>
            <w:rFonts w:hint="eastAsia"/>
            <w:rtl/>
          </w:rPr>
          <w:t>פקודת</w:t>
        </w:r>
        <w:r w:rsidR="00C7054F" w:rsidRPr="00C7054F">
          <w:rPr>
            <w:rStyle w:val="Hyperlink"/>
            <w:rtl/>
          </w:rPr>
          <w:t xml:space="preserve"> הראיות</w:t>
        </w:r>
      </w:hyperlink>
      <w:r w:rsidR="00BE53D7">
        <w:rPr>
          <w:rFonts w:hint="cs"/>
          <w:rtl/>
        </w:rPr>
        <w:t xml:space="preserve"> [נוסח חדש], התשל"א- 1971 (להלן: "הפקודה") נקבעו הכללים המנחים בסוגיית מהימנות העדים:</w:t>
      </w:r>
    </w:p>
    <w:p w14:paraId="66C0F2D8" w14:textId="77777777" w:rsidR="00BE53D7" w:rsidRDefault="00BE53D7">
      <w:pPr>
        <w:rPr>
          <w:rFonts w:hint="cs"/>
          <w:rtl/>
        </w:rPr>
      </w:pPr>
    </w:p>
    <w:p w14:paraId="1331398A" w14:textId="77777777" w:rsidR="00BE53D7" w:rsidRDefault="00BE53D7">
      <w:pPr>
        <w:ind w:left="720"/>
        <w:rPr>
          <w:rFonts w:hint="cs"/>
          <w:i/>
          <w:iCs/>
          <w:rtl/>
        </w:rPr>
      </w:pPr>
      <w:r>
        <w:rPr>
          <w:rFonts w:hint="cs"/>
          <w:i/>
          <w:iCs/>
          <w:rtl/>
        </w:rPr>
        <w:t xml:space="preserve">" ערכה של עדות שבעל- פה ומהימנותם של עדים הם ענין של בית המשפט להחליט בו על פי התנהגותם של העדים, נסיבות הענין ואותות האמת המתגלים במשך המשפט". </w:t>
      </w:r>
    </w:p>
    <w:p w14:paraId="62791A47" w14:textId="77777777" w:rsidR="00BE53D7" w:rsidRDefault="00BE53D7">
      <w:pPr>
        <w:rPr>
          <w:rFonts w:hint="cs"/>
          <w:rtl/>
        </w:rPr>
      </w:pPr>
    </w:p>
    <w:p w14:paraId="5AF20A01" w14:textId="77777777" w:rsidR="00BE53D7" w:rsidRDefault="00BE53D7">
      <w:pPr>
        <w:rPr>
          <w:rFonts w:hint="cs"/>
          <w:rtl/>
        </w:rPr>
      </w:pPr>
      <w:r>
        <w:rPr>
          <w:rFonts w:hint="cs"/>
          <w:rtl/>
        </w:rPr>
        <w:t xml:space="preserve">אמנם, לאחר הוספתו של </w:t>
      </w:r>
      <w:hyperlink r:id="rId21" w:history="1">
        <w:r w:rsidR="00E05F6E" w:rsidRPr="00E05F6E">
          <w:rPr>
            <w:color w:val="0000FF"/>
            <w:u w:val="single"/>
            <w:rtl/>
          </w:rPr>
          <w:t>סעיף 54 א'</w:t>
        </w:r>
      </w:hyperlink>
      <w:r>
        <w:rPr>
          <w:rFonts w:hint="cs"/>
          <w:rtl/>
        </w:rPr>
        <w:t xml:space="preserve"> לפקודה בוטל דרישת הסיוע לעדות יחידה של קורבן בעבירות מין, שהתגבשה בהלכה פסוקה, ואולם, הסתמכות על עדות יחידה </w:t>
      </w:r>
      <w:r>
        <w:rPr>
          <w:rFonts w:hint="cs"/>
          <w:rtl/>
        </w:rPr>
        <w:lastRenderedPageBreak/>
        <w:t>לצורך הרשעה מחייבת הנמקה, קיומם של טעמים טובים לכך ונקיטת זהירות רבה מצד בית המשפט.</w:t>
      </w:r>
    </w:p>
    <w:p w14:paraId="1276BE01" w14:textId="77777777" w:rsidR="00BE53D7" w:rsidRDefault="00BE53D7">
      <w:pPr>
        <w:rPr>
          <w:rFonts w:hint="cs"/>
          <w:rtl/>
        </w:rPr>
      </w:pPr>
    </w:p>
    <w:p w14:paraId="7063E694" w14:textId="77777777" w:rsidR="00BE53D7" w:rsidRDefault="00BE53D7">
      <w:pPr>
        <w:rPr>
          <w:rFonts w:hint="cs"/>
          <w:rtl/>
        </w:rPr>
      </w:pPr>
      <w:r>
        <w:rPr>
          <w:rFonts w:hint="cs"/>
          <w:rtl/>
        </w:rPr>
        <w:t>כפי שיפורט להלן, ולאחר בחינת גרסאות הצדדים נותר בליבי ספק סביר בדבר נכונות גרסת המתלוננת, זאת, לאור הסתירות אשר התגלו בגרסתה, וכן, לאור סתירות אשר התגלו בין גרסתה ובין גרסת עדת התביעה מספר 2.</w:t>
      </w:r>
    </w:p>
    <w:p w14:paraId="4391C123" w14:textId="77777777" w:rsidR="00BE53D7" w:rsidRDefault="00BE53D7">
      <w:pPr>
        <w:rPr>
          <w:rFonts w:hint="cs"/>
          <w:rtl/>
        </w:rPr>
      </w:pPr>
    </w:p>
    <w:p w14:paraId="49AB41D8" w14:textId="77777777" w:rsidR="00BE53D7" w:rsidRDefault="00BE53D7">
      <w:pPr>
        <w:rPr>
          <w:rFonts w:hint="cs"/>
          <w:b/>
          <w:bCs/>
          <w:u w:val="single"/>
          <w:rtl/>
        </w:rPr>
      </w:pPr>
      <w:r>
        <w:rPr>
          <w:rFonts w:hint="cs"/>
          <w:b/>
          <w:bCs/>
          <w:u w:val="single"/>
          <w:rtl/>
        </w:rPr>
        <w:t>מחדלי החקירה:</w:t>
      </w:r>
    </w:p>
    <w:p w14:paraId="4A09C50C" w14:textId="77777777" w:rsidR="00BE53D7" w:rsidRDefault="00BE53D7">
      <w:pPr>
        <w:rPr>
          <w:rFonts w:hint="cs"/>
          <w:rtl/>
        </w:rPr>
      </w:pPr>
      <w:r>
        <w:rPr>
          <w:rFonts w:hint="cs"/>
          <w:rtl/>
        </w:rPr>
        <w:t>בטרם אפנה לבחון את גרסאות הצדדים, מצאתי לנכון לציין את העובדה כי במהלך שמיעת הראיות בתיק התברר כי המאשימה נמנעה, מטעמים השמורים עימה, לבצע מספר פעולות חקירה אשר היה בהן כדי לשפוך אור על פרשה זו ויכלו להיות לעזר רב לבית המשפט בכדי להכריע בין הגרסאות המצויות בפניו.</w:t>
      </w:r>
    </w:p>
    <w:p w14:paraId="73D9456F" w14:textId="77777777" w:rsidR="00BE53D7" w:rsidRDefault="00BE53D7">
      <w:pPr>
        <w:rPr>
          <w:rFonts w:hint="cs"/>
          <w:rtl/>
        </w:rPr>
      </w:pPr>
    </w:p>
    <w:p w14:paraId="714998A0" w14:textId="77777777" w:rsidR="00BE53D7" w:rsidRDefault="00BE53D7">
      <w:pPr>
        <w:rPr>
          <w:rFonts w:hint="cs"/>
          <w:rtl/>
        </w:rPr>
      </w:pPr>
      <w:r>
        <w:rPr>
          <w:rFonts w:hint="cs"/>
          <w:rtl/>
        </w:rPr>
        <w:t>חשיבותן של פעולות חקירה אלה, הינו רב בעיקר לנוכח העובדה כי, כפי שצוין לעיל, המדובר בתיק בו מצויות שתי גרסאות סותרות והמאשימה לא הביאה כל ראיה לתמיכה בגרסת המתלוננת.</w:t>
      </w:r>
    </w:p>
    <w:p w14:paraId="2F712225" w14:textId="77777777" w:rsidR="00BE53D7" w:rsidRDefault="00BE53D7">
      <w:pPr>
        <w:rPr>
          <w:rFonts w:hint="cs"/>
          <w:rtl/>
        </w:rPr>
      </w:pPr>
    </w:p>
    <w:p w14:paraId="2237AE33" w14:textId="77777777" w:rsidR="00BE53D7" w:rsidRDefault="00BE53D7">
      <w:pPr>
        <w:rPr>
          <w:rFonts w:hint="cs"/>
          <w:rtl/>
        </w:rPr>
      </w:pPr>
      <w:r>
        <w:rPr>
          <w:rFonts w:hint="cs"/>
          <w:rtl/>
        </w:rPr>
        <w:t>המאשימה נמנעה מלחקור את הגב' נלי זלץ, אשר שמה הועלה על ידי המתלוננת בחקירתה כמי שידעה על מעשיו של הנאשם, וכן, נמנעה היא מלערוך עימות בין המתלוננת לנאשם.</w:t>
      </w:r>
    </w:p>
    <w:p w14:paraId="4D229C50" w14:textId="77777777" w:rsidR="00BE53D7" w:rsidRDefault="00BE53D7">
      <w:pPr>
        <w:rPr>
          <w:rFonts w:hint="cs"/>
          <w:rtl/>
        </w:rPr>
      </w:pPr>
    </w:p>
    <w:p w14:paraId="43D39555" w14:textId="77777777" w:rsidR="00BE53D7" w:rsidRDefault="00BE53D7">
      <w:pPr>
        <w:rPr>
          <w:rFonts w:hint="cs"/>
          <w:rtl/>
        </w:rPr>
      </w:pPr>
      <w:r>
        <w:rPr>
          <w:rFonts w:hint="cs"/>
          <w:rtl/>
        </w:rPr>
        <w:t>עוד יצוין, כי חשיבותן של פעולות חקירה אלו, אשר לא בוצעו על ידי המאשימה, מקבלות משנה תוקף לנוכח נסיבותיו הספציפיות של תיק זה, דהיינו, לנוכח העובדה כי הנאשם הגיש תלונה כנגד המתלוננת קודם לכן בחשד לגניבה ממעביד, ולנוכח האמור בנ/10- יומן החקירה.</w:t>
      </w:r>
    </w:p>
    <w:p w14:paraId="2714C9C7" w14:textId="77777777" w:rsidR="00BE53D7" w:rsidRDefault="00BE53D7">
      <w:pPr>
        <w:rPr>
          <w:rFonts w:hint="cs"/>
          <w:rtl/>
        </w:rPr>
      </w:pPr>
    </w:p>
    <w:p w14:paraId="638DA059" w14:textId="77777777" w:rsidR="00BE53D7" w:rsidRDefault="00BE53D7">
      <w:pPr>
        <w:rPr>
          <w:rFonts w:hint="cs"/>
          <w:rtl/>
        </w:rPr>
      </w:pPr>
      <w:r>
        <w:rPr>
          <w:rFonts w:hint="cs"/>
          <w:rtl/>
        </w:rPr>
        <w:t>אמנם, אין באמור בנ/10, בו המליצה היחידה החוקרת על סגירת התיק, כדי להוות ראיה כנגד גרסת המתלוננת ואולם, יש בה כדי להדגיש את הצורך בביצוע פעולות חקירה נוספות, אשר כאמור לא בוצעו.</w:t>
      </w:r>
    </w:p>
    <w:p w14:paraId="4B4D53FE" w14:textId="77777777" w:rsidR="00BE53D7" w:rsidRDefault="00BE53D7">
      <w:pPr>
        <w:rPr>
          <w:rFonts w:hint="cs"/>
          <w:rtl/>
        </w:rPr>
      </w:pPr>
    </w:p>
    <w:p w14:paraId="709C130F" w14:textId="77777777" w:rsidR="00BE53D7" w:rsidRDefault="00BE53D7">
      <w:pPr>
        <w:rPr>
          <w:rFonts w:hint="cs"/>
          <w:rtl/>
        </w:rPr>
      </w:pPr>
      <w:r>
        <w:rPr>
          <w:rFonts w:hint="cs"/>
          <w:rtl/>
        </w:rPr>
        <w:t>לנוכח חובת ההנמקה, במקרה בו חומר הראיות מתבסס על עדויות הנאשם והמתלוננת הסותרות זו את זו ובידי התביעה האפשרות להשיג ולבחון ראיה נוספת שעשויה לשפוך אור נוסף על התשתית הראייתית העובדתית הקיימת, והחקירה לא בוצעה. מחדלי החקירה מנעו הבאת ראיה שעשויה להשפיע על צד אחד או אחר של הגרסאות.</w:t>
      </w:r>
    </w:p>
    <w:p w14:paraId="2E9413D9" w14:textId="77777777" w:rsidR="00BE53D7" w:rsidRDefault="00BE53D7">
      <w:pPr>
        <w:rPr>
          <w:rFonts w:hint="cs"/>
          <w:rtl/>
        </w:rPr>
      </w:pPr>
    </w:p>
    <w:p w14:paraId="01CA26CE" w14:textId="77777777" w:rsidR="00BE53D7" w:rsidRDefault="00BE53D7">
      <w:pPr>
        <w:rPr>
          <w:rFonts w:hint="cs"/>
          <w:b/>
          <w:bCs/>
          <w:u w:val="single"/>
          <w:rtl/>
        </w:rPr>
      </w:pPr>
      <w:r>
        <w:rPr>
          <w:rFonts w:hint="cs"/>
          <w:b/>
          <w:bCs/>
          <w:u w:val="single"/>
          <w:rtl/>
        </w:rPr>
        <w:t>מועד הגשת התלונה:</w:t>
      </w:r>
    </w:p>
    <w:p w14:paraId="433F5E70" w14:textId="77777777" w:rsidR="00BE53D7" w:rsidRDefault="00BE53D7">
      <w:pPr>
        <w:rPr>
          <w:rFonts w:hint="cs"/>
          <w:rtl/>
        </w:rPr>
      </w:pPr>
      <w:r>
        <w:rPr>
          <w:rFonts w:hint="cs"/>
          <w:rtl/>
        </w:rPr>
        <w:t>בנסיבות המקרה דנן, מצאתי לנכון לבחון תחילה את גרסת המתלוננת ביחס לעיתוי שבו הגישה תלונתה.</w:t>
      </w:r>
    </w:p>
    <w:p w14:paraId="7116D1F8" w14:textId="77777777" w:rsidR="00BE53D7" w:rsidRDefault="00BE53D7">
      <w:pPr>
        <w:rPr>
          <w:rFonts w:hint="cs"/>
          <w:u w:val="single"/>
          <w:rtl/>
        </w:rPr>
      </w:pPr>
    </w:p>
    <w:p w14:paraId="1381FB6D" w14:textId="77777777" w:rsidR="00BE53D7" w:rsidRDefault="00BE53D7">
      <w:pPr>
        <w:rPr>
          <w:rFonts w:hint="cs"/>
          <w:rtl/>
        </w:rPr>
      </w:pPr>
      <w:r>
        <w:rPr>
          <w:rFonts w:hint="cs"/>
          <w:rtl/>
        </w:rPr>
        <w:t>תלונת המתלוננת כנגד הנאשם הוגשה ביום 26.3.06 כשלושה חודשים לאחר פיטוריה, וכחודשיים ימים לערך לאחר שהנאשם ומר דוד שביט הגישו כנגדה תלונה בגין גניבה ממעביד, בעקבות חשדם כי המתלוננת גנבה כספים במהלך עבודתה בקניונית תחת ניהולו של הנאשם.</w:t>
      </w:r>
    </w:p>
    <w:p w14:paraId="7C974076" w14:textId="77777777" w:rsidR="00BE53D7" w:rsidRDefault="00BE53D7">
      <w:pPr>
        <w:rPr>
          <w:rFonts w:hint="cs"/>
          <w:rtl/>
        </w:rPr>
      </w:pPr>
    </w:p>
    <w:p w14:paraId="5190F417" w14:textId="77777777" w:rsidR="00BE53D7" w:rsidRDefault="00BE53D7">
      <w:pPr>
        <w:rPr>
          <w:rFonts w:hint="cs"/>
          <w:rtl/>
        </w:rPr>
      </w:pPr>
      <w:r>
        <w:rPr>
          <w:rFonts w:hint="cs"/>
          <w:rtl/>
        </w:rPr>
        <w:t>עוד יצוין, כי ביום 19.2.06, דהיינו, כחודש טרם הגישה היא את תלונתה כנגד הנאשם נחקרה המתלוננת בעניין זה, וכן, כי המעשים אותם מייחסת המתלוננת לנאשם אירעו לטענתה בין חודש ספטמבר 2001 לחודש ספטמבר 2005.</w:t>
      </w:r>
    </w:p>
    <w:p w14:paraId="40F0EEB2" w14:textId="77777777" w:rsidR="00BE53D7" w:rsidRDefault="00BE53D7">
      <w:pPr>
        <w:rPr>
          <w:rFonts w:hint="cs"/>
          <w:rtl/>
        </w:rPr>
      </w:pPr>
    </w:p>
    <w:p w14:paraId="7602026B" w14:textId="77777777" w:rsidR="00BE53D7" w:rsidRDefault="00BE53D7">
      <w:pPr>
        <w:rPr>
          <w:rFonts w:hint="cs"/>
          <w:rtl/>
        </w:rPr>
      </w:pPr>
      <w:r>
        <w:rPr>
          <w:rFonts w:hint="cs"/>
          <w:rtl/>
        </w:rPr>
        <w:t>יאמר כבר כעת, כי אחת מטענותיו המרכזיות של הנאשם, אשר נטענה בלהט על ידי סנגורו, הינה כי למעשה תלונתה של המתלוננת היוותה "פעולת תגמול" מצידה בעקבות תלונתה כנגדו וכי אין לקבל את הסבריה של המתלוננת ביחס לשיהוי הרב בהגשת תלונתה.</w:t>
      </w:r>
    </w:p>
    <w:p w14:paraId="4623C851" w14:textId="77777777" w:rsidR="00BE53D7" w:rsidRDefault="00BE53D7">
      <w:pPr>
        <w:rPr>
          <w:rFonts w:hint="cs"/>
          <w:rtl/>
        </w:rPr>
      </w:pPr>
    </w:p>
    <w:p w14:paraId="65C8B898" w14:textId="77777777" w:rsidR="00BE53D7" w:rsidRDefault="00BE53D7">
      <w:pPr>
        <w:rPr>
          <w:rFonts w:hint="cs"/>
          <w:rtl/>
        </w:rPr>
      </w:pPr>
      <w:r>
        <w:rPr>
          <w:rFonts w:hint="cs"/>
          <w:rtl/>
        </w:rPr>
        <w:t>תופעת הימנעותן של קורבנות עבירות מין מלשתף אחרים בחוויות אשר חוו הינה תופעה ידועה ומוכרת, אשר בבסיסה מונחות סיבות שונות ומגוונות, ובכללן בושה מעצם קרות המעשים, חשש מתגובת הסביבה הקרובה והרחוקה ועוד.</w:t>
      </w:r>
    </w:p>
    <w:p w14:paraId="605E9202" w14:textId="77777777" w:rsidR="00BE53D7" w:rsidRDefault="00BE53D7">
      <w:pPr>
        <w:rPr>
          <w:rFonts w:hint="cs"/>
          <w:rtl/>
        </w:rPr>
      </w:pPr>
    </w:p>
    <w:p w14:paraId="27143B0F" w14:textId="77777777" w:rsidR="00BE53D7" w:rsidRDefault="00BE53D7">
      <w:pPr>
        <w:rPr>
          <w:rFonts w:hint="cs"/>
          <w:rtl/>
        </w:rPr>
      </w:pPr>
      <w:r>
        <w:rPr>
          <w:rFonts w:hint="cs"/>
          <w:rtl/>
        </w:rPr>
        <w:t>משכך, אין בעובדת השיהוי בהגשת התלונה על ידי המתלוננת לכשעצמה להביא לדחיית גרסתה.</w:t>
      </w:r>
    </w:p>
    <w:p w14:paraId="4E2A6A3E" w14:textId="77777777" w:rsidR="00BE53D7" w:rsidRDefault="00BE53D7">
      <w:pPr>
        <w:rPr>
          <w:rFonts w:hint="cs"/>
          <w:rtl/>
        </w:rPr>
      </w:pPr>
    </w:p>
    <w:p w14:paraId="4C3AA46A" w14:textId="77777777" w:rsidR="00BE53D7" w:rsidRDefault="00BE53D7">
      <w:pPr>
        <w:rPr>
          <w:rFonts w:hint="cs"/>
          <w:rtl/>
        </w:rPr>
      </w:pPr>
      <w:r>
        <w:rPr>
          <w:rFonts w:hint="cs"/>
          <w:rtl/>
        </w:rPr>
        <w:t xml:space="preserve">ואולם, כפי שיפורט להלן, מצאתי סתירות בגרסת המתלוננת לעניין הסיבה לכבישת תלונתה, סתירות, אשר יש בהן כדי לפגום באמינותה.  </w:t>
      </w:r>
    </w:p>
    <w:p w14:paraId="00C252D3" w14:textId="77777777" w:rsidR="00BE53D7" w:rsidRDefault="00BE53D7">
      <w:pPr>
        <w:rPr>
          <w:rFonts w:hint="cs"/>
          <w:rtl/>
        </w:rPr>
      </w:pPr>
    </w:p>
    <w:p w14:paraId="39F013BD" w14:textId="77777777" w:rsidR="00BE53D7" w:rsidRDefault="00BE53D7">
      <w:pPr>
        <w:rPr>
          <w:rFonts w:hint="cs"/>
          <w:rtl/>
        </w:rPr>
      </w:pPr>
      <w:r>
        <w:rPr>
          <w:rFonts w:hint="cs"/>
          <w:rtl/>
        </w:rPr>
        <w:t>בחקירתה, הסבירה המתלוננת את השיהוי בהגשת תלונתה כנגד הנאשם כך:</w:t>
      </w:r>
    </w:p>
    <w:p w14:paraId="4A31FE25" w14:textId="77777777" w:rsidR="00BE53D7" w:rsidRDefault="00BE53D7">
      <w:pPr>
        <w:rPr>
          <w:rFonts w:hint="cs"/>
          <w:rtl/>
        </w:rPr>
      </w:pPr>
    </w:p>
    <w:p w14:paraId="7AEFB77E" w14:textId="77777777" w:rsidR="00BE53D7" w:rsidRDefault="00BE53D7">
      <w:pPr>
        <w:ind w:left="720"/>
        <w:rPr>
          <w:rFonts w:hint="cs"/>
          <w:i/>
          <w:iCs/>
          <w:rtl/>
        </w:rPr>
      </w:pPr>
      <w:r>
        <w:rPr>
          <w:rFonts w:hint="cs"/>
          <w:i/>
          <w:iCs/>
          <w:rtl/>
        </w:rPr>
        <w:t>"... מה שגרם לי להגיע למשטרה, אני ידעתי שאני אעשה את זה, הייתי זקוקה לזמן עם המשפחה שלי, רוב המשפחה שלי הייתה בחו"ל רציתי לשתף את המשפחה שלי...".</w:t>
      </w:r>
    </w:p>
    <w:p w14:paraId="595F45BF" w14:textId="77777777" w:rsidR="00BE53D7" w:rsidRDefault="00BE53D7">
      <w:pPr>
        <w:rPr>
          <w:rFonts w:hint="cs"/>
          <w:rtl/>
        </w:rPr>
      </w:pPr>
    </w:p>
    <w:p w14:paraId="37039CA9" w14:textId="77777777" w:rsidR="00BE53D7" w:rsidRDefault="00BE53D7">
      <w:pPr>
        <w:rPr>
          <w:rFonts w:hint="cs"/>
          <w:rtl/>
        </w:rPr>
      </w:pPr>
      <w:r>
        <w:rPr>
          <w:rFonts w:hint="cs"/>
          <w:rtl/>
        </w:rPr>
        <w:t>(עמ' 6 שורות 27-28, עמ' 7 שורה 1).</w:t>
      </w:r>
    </w:p>
    <w:p w14:paraId="209DC4EE" w14:textId="77777777" w:rsidR="00BE53D7" w:rsidRDefault="00BE53D7">
      <w:pPr>
        <w:rPr>
          <w:rFonts w:hint="cs"/>
          <w:rtl/>
        </w:rPr>
      </w:pPr>
    </w:p>
    <w:p w14:paraId="5F98A784" w14:textId="77777777" w:rsidR="00BE53D7" w:rsidRDefault="00BE53D7">
      <w:pPr>
        <w:rPr>
          <w:rFonts w:hint="cs"/>
          <w:rtl/>
        </w:rPr>
      </w:pPr>
      <w:r>
        <w:rPr>
          <w:rFonts w:hint="cs"/>
          <w:rtl/>
        </w:rPr>
        <w:t>עוד טענת המתלוננת כי היה בכוונתה להגיש תלונה כנגד הנאשם מיד עם סיום העבודה עימו:</w:t>
      </w:r>
    </w:p>
    <w:p w14:paraId="7E5F509C" w14:textId="77777777" w:rsidR="00BE53D7" w:rsidRDefault="00BE53D7">
      <w:pPr>
        <w:rPr>
          <w:rFonts w:hint="cs"/>
          <w:rtl/>
        </w:rPr>
      </w:pPr>
    </w:p>
    <w:p w14:paraId="29A472D3" w14:textId="77777777" w:rsidR="00BE53D7" w:rsidRDefault="00BE53D7">
      <w:pPr>
        <w:ind w:left="720"/>
        <w:rPr>
          <w:rFonts w:hint="cs"/>
          <w:i/>
          <w:iCs/>
          <w:rtl/>
        </w:rPr>
      </w:pPr>
      <w:r>
        <w:rPr>
          <w:rFonts w:hint="cs"/>
          <w:i/>
          <w:iCs/>
          <w:rtl/>
        </w:rPr>
        <w:t>"...ידעתי שכשאסיים את העבודה איתו אני מגישה את התלונה וזה היה לפני שידעתי על התלונה שהוא הלך להגיש נגדי...".</w:t>
      </w:r>
    </w:p>
    <w:p w14:paraId="24D5CFC3" w14:textId="77777777" w:rsidR="00BE53D7" w:rsidRDefault="00BE53D7">
      <w:pPr>
        <w:rPr>
          <w:rFonts w:hint="cs"/>
          <w:rtl/>
        </w:rPr>
      </w:pPr>
    </w:p>
    <w:p w14:paraId="39902DC7" w14:textId="77777777" w:rsidR="00BE53D7" w:rsidRDefault="00BE53D7">
      <w:pPr>
        <w:rPr>
          <w:rFonts w:hint="cs"/>
          <w:rtl/>
        </w:rPr>
      </w:pPr>
      <w:r>
        <w:rPr>
          <w:rFonts w:hint="cs"/>
          <w:rtl/>
        </w:rPr>
        <w:t>(עמ' 7 שורות 3-5).</w:t>
      </w:r>
    </w:p>
    <w:p w14:paraId="6B38FF23" w14:textId="77777777" w:rsidR="00BE53D7" w:rsidRDefault="00BE53D7">
      <w:pPr>
        <w:rPr>
          <w:rFonts w:hint="cs"/>
          <w:rtl/>
        </w:rPr>
      </w:pPr>
    </w:p>
    <w:p w14:paraId="04A0C560" w14:textId="77777777" w:rsidR="00BE53D7" w:rsidRDefault="00BE53D7">
      <w:pPr>
        <w:rPr>
          <w:rFonts w:hint="cs"/>
          <w:rtl/>
        </w:rPr>
      </w:pPr>
      <w:r>
        <w:rPr>
          <w:rFonts w:hint="cs"/>
          <w:rtl/>
        </w:rPr>
        <w:t>ואולם, בהודעתה (נ/5 עמ' 3 שורות 27-28) טענה המתלוננת כי:</w:t>
      </w:r>
    </w:p>
    <w:p w14:paraId="26C09778" w14:textId="77777777" w:rsidR="00BE53D7" w:rsidRDefault="00BE53D7">
      <w:pPr>
        <w:rPr>
          <w:rFonts w:hint="cs"/>
          <w:rtl/>
        </w:rPr>
      </w:pPr>
    </w:p>
    <w:p w14:paraId="457F94C9" w14:textId="77777777" w:rsidR="00BE53D7" w:rsidRDefault="00BE53D7">
      <w:pPr>
        <w:ind w:firstLine="720"/>
        <w:rPr>
          <w:rFonts w:hint="cs"/>
          <w:i/>
          <w:iCs/>
          <w:rtl/>
        </w:rPr>
      </w:pPr>
      <w:r>
        <w:rPr>
          <w:rFonts w:hint="cs"/>
          <w:i/>
          <w:iCs/>
          <w:rtl/>
        </w:rPr>
        <w:t>"... יתכן שאם ללא התלונה הייתי ממשיכה עם הסוד הזה הלאה..."</w:t>
      </w:r>
    </w:p>
    <w:p w14:paraId="4A7BB3B8" w14:textId="77777777" w:rsidR="00BE53D7" w:rsidRDefault="00BE53D7">
      <w:pPr>
        <w:rPr>
          <w:rFonts w:hint="cs"/>
          <w:rtl/>
        </w:rPr>
      </w:pPr>
    </w:p>
    <w:p w14:paraId="06AA6560" w14:textId="77777777" w:rsidR="00BE53D7" w:rsidRDefault="00BE53D7">
      <w:pPr>
        <w:rPr>
          <w:rFonts w:hint="cs"/>
          <w:rtl/>
        </w:rPr>
      </w:pPr>
      <w:r>
        <w:rPr>
          <w:rFonts w:hint="cs"/>
          <w:rtl/>
        </w:rPr>
        <w:t>בהמשך דבריה אישרה למעשה המתלוננת כי הגשת התלונה על ידי הנאשם כנגדה האיצה את הגשת התלונה על ידה והסבירה כי:</w:t>
      </w:r>
    </w:p>
    <w:p w14:paraId="51FFCAF2" w14:textId="77777777" w:rsidR="00BE53D7" w:rsidRDefault="00BE53D7">
      <w:pPr>
        <w:rPr>
          <w:rFonts w:hint="cs"/>
          <w:rtl/>
        </w:rPr>
      </w:pPr>
    </w:p>
    <w:p w14:paraId="5D199328" w14:textId="77777777" w:rsidR="00BE53D7" w:rsidRDefault="00BE53D7">
      <w:pPr>
        <w:ind w:left="720"/>
        <w:rPr>
          <w:rFonts w:hint="cs"/>
          <w:i/>
          <w:iCs/>
          <w:rtl/>
        </w:rPr>
      </w:pPr>
      <w:r>
        <w:rPr>
          <w:rFonts w:hint="cs"/>
          <w:i/>
          <w:iCs/>
          <w:rtl/>
        </w:rPr>
        <w:t>"... הנאשם האיץ את תהליך הגשת התלונה שלי, כי אני רציתי ללכת עם כל המשפחה שלי על זה, לא רציתי ללכת עם זה לבד. כל כך הופתעתי מהתלונה שלו זה עשה לי מצב של "הרצחת וגם ירשת"..."</w:t>
      </w:r>
    </w:p>
    <w:p w14:paraId="392F5F4A" w14:textId="77777777" w:rsidR="00BE53D7" w:rsidRDefault="00BE53D7">
      <w:pPr>
        <w:rPr>
          <w:rFonts w:hint="cs"/>
          <w:rtl/>
        </w:rPr>
      </w:pPr>
    </w:p>
    <w:p w14:paraId="69677A17" w14:textId="77777777" w:rsidR="00BE53D7" w:rsidRDefault="00BE53D7">
      <w:pPr>
        <w:rPr>
          <w:rFonts w:hint="cs"/>
          <w:rtl/>
        </w:rPr>
      </w:pPr>
      <w:r>
        <w:rPr>
          <w:rFonts w:hint="cs"/>
          <w:rtl/>
        </w:rPr>
        <w:t>(עמ' 7 שורות 8-10).</w:t>
      </w:r>
    </w:p>
    <w:p w14:paraId="41C3A6E3" w14:textId="77777777" w:rsidR="00BE53D7" w:rsidRDefault="00BE53D7">
      <w:pPr>
        <w:rPr>
          <w:rFonts w:hint="cs"/>
          <w:rtl/>
        </w:rPr>
      </w:pPr>
    </w:p>
    <w:p w14:paraId="09E626D6" w14:textId="77777777" w:rsidR="00BE53D7" w:rsidRDefault="00BE53D7">
      <w:pPr>
        <w:rPr>
          <w:rFonts w:hint="cs"/>
          <w:rtl/>
        </w:rPr>
      </w:pPr>
      <w:r>
        <w:rPr>
          <w:rFonts w:hint="cs"/>
          <w:rtl/>
        </w:rPr>
        <w:t>בחקירתה הנגדית עומתה המתלוננת עם הסתירה לכאורה בדבריה,  היא לא ידעה לספק הסבר מניח את הדעת, אלא בתשובה לפיה:</w:t>
      </w:r>
    </w:p>
    <w:p w14:paraId="5D6CA772" w14:textId="77777777" w:rsidR="00BE53D7" w:rsidRDefault="00BE53D7">
      <w:pPr>
        <w:rPr>
          <w:rFonts w:hint="cs"/>
          <w:rtl/>
        </w:rPr>
      </w:pPr>
    </w:p>
    <w:p w14:paraId="2C60BA19" w14:textId="77777777" w:rsidR="00BE53D7" w:rsidRDefault="00BE53D7">
      <w:pPr>
        <w:ind w:left="720"/>
        <w:rPr>
          <w:rFonts w:hint="cs"/>
          <w:i/>
          <w:iCs/>
          <w:rtl/>
        </w:rPr>
      </w:pPr>
      <w:r>
        <w:rPr>
          <w:rFonts w:hint="cs"/>
          <w:i/>
          <w:iCs/>
          <w:rtl/>
        </w:rPr>
        <w:t>"...אני לא יודעת למה אמרתי שיתכן שללא התלונה שלו הייתי ממשיכה עם הסוד איתי הלאה..."</w:t>
      </w:r>
    </w:p>
    <w:p w14:paraId="15D02A53" w14:textId="77777777" w:rsidR="00BE53D7" w:rsidRDefault="00BE53D7">
      <w:pPr>
        <w:rPr>
          <w:rFonts w:hint="cs"/>
          <w:rtl/>
        </w:rPr>
      </w:pPr>
    </w:p>
    <w:p w14:paraId="6DF47270" w14:textId="77777777" w:rsidR="00BE53D7" w:rsidRDefault="00BE53D7">
      <w:pPr>
        <w:rPr>
          <w:rFonts w:hint="cs"/>
          <w:rtl/>
        </w:rPr>
      </w:pPr>
      <w:r>
        <w:rPr>
          <w:rFonts w:hint="cs"/>
          <w:rtl/>
        </w:rPr>
        <w:t>(עמ' 15 שורות 4-6).</w:t>
      </w:r>
    </w:p>
    <w:p w14:paraId="55D72D0B" w14:textId="77777777" w:rsidR="00BE53D7" w:rsidRDefault="00BE53D7">
      <w:pPr>
        <w:rPr>
          <w:rFonts w:hint="cs"/>
          <w:rtl/>
        </w:rPr>
      </w:pPr>
    </w:p>
    <w:p w14:paraId="3AE7F0AA" w14:textId="77777777" w:rsidR="00BE53D7" w:rsidRDefault="00BE53D7">
      <w:pPr>
        <w:rPr>
          <w:rFonts w:hint="cs"/>
          <w:rtl/>
        </w:rPr>
      </w:pPr>
      <w:r>
        <w:rPr>
          <w:rFonts w:hint="cs"/>
          <w:rtl/>
        </w:rPr>
        <w:t>בהמשך החקירה הנגדית, חזרה המתלוננת על הסברה לשיהוי בהגשת תלונתה.</w:t>
      </w:r>
    </w:p>
    <w:p w14:paraId="6F087249" w14:textId="77777777" w:rsidR="00BE53D7" w:rsidRDefault="00BE53D7">
      <w:pPr>
        <w:rPr>
          <w:rFonts w:hint="cs"/>
          <w:rtl/>
        </w:rPr>
      </w:pPr>
    </w:p>
    <w:p w14:paraId="32155421" w14:textId="77777777" w:rsidR="00BE53D7" w:rsidRDefault="00BE53D7">
      <w:pPr>
        <w:rPr>
          <w:rFonts w:hint="cs"/>
          <w:rtl/>
        </w:rPr>
      </w:pPr>
      <w:r>
        <w:rPr>
          <w:rFonts w:hint="cs"/>
          <w:rtl/>
        </w:rPr>
        <w:t>והינה כי בתלונתה במשטרה (נ/5) הפנתה לסיבה הכלכלית שמנעה הגשת התלונה אך בחקירתה בפני אישרה אפשרויות תעסוקה אחרות (עמ' 10 ש' 20-24).</w:t>
      </w:r>
    </w:p>
    <w:p w14:paraId="77494855" w14:textId="77777777" w:rsidR="00BE53D7" w:rsidRDefault="00BE53D7">
      <w:pPr>
        <w:rPr>
          <w:rFonts w:hint="cs"/>
          <w:rtl/>
        </w:rPr>
      </w:pPr>
    </w:p>
    <w:p w14:paraId="5168D69F" w14:textId="77777777" w:rsidR="00BE53D7" w:rsidRDefault="00BE53D7">
      <w:pPr>
        <w:rPr>
          <w:rFonts w:hint="cs"/>
          <w:rtl/>
        </w:rPr>
      </w:pPr>
      <w:r>
        <w:rPr>
          <w:rFonts w:hint="cs"/>
          <w:rtl/>
        </w:rPr>
        <w:t>כמו כן, עומתה המתלוננת עם העובדה כי במהלך חקירתה בנוגע לתלונת הנאשם כנגדה בחשד לגניבה ממעביד לא טענה היא בפני החוקרת כי הוטרדה מינית על ידי הנאשם, כאשר, לטענת הסנגור העלאת טענה זו על ידה בשלב זה הייתה מתבקשת.</w:t>
      </w:r>
    </w:p>
    <w:p w14:paraId="3DFE6169" w14:textId="77777777" w:rsidR="00BE53D7" w:rsidRDefault="00BE53D7">
      <w:pPr>
        <w:rPr>
          <w:rFonts w:hint="cs"/>
          <w:rtl/>
        </w:rPr>
      </w:pPr>
    </w:p>
    <w:p w14:paraId="62EBD634" w14:textId="77777777" w:rsidR="00BE53D7" w:rsidRDefault="00BE53D7">
      <w:pPr>
        <w:rPr>
          <w:rFonts w:hint="cs"/>
          <w:rtl/>
        </w:rPr>
      </w:pPr>
      <w:r>
        <w:rPr>
          <w:rFonts w:hint="cs"/>
          <w:rtl/>
        </w:rPr>
        <w:t>בתשובה לכך, טענה המתלוננת כי ציינה בפני החוקרת כי הנאשם הטריד אותה מינית שלוש שנים אך ביקשה כי לא תציין זאת בגלל משפחתה:</w:t>
      </w:r>
    </w:p>
    <w:p w14:paraId="0C8579A9" w14:textId="77777777" w:rsidR="00BE53D7" w:rsidRDefault="00BE53D7">
      <w:pPr>
        <w:rPr>
          <w:rFonts w:hint="cs"/>
          <w:rtl/>
        </w:rPr>
      </w:pPr>
    </w:p>
    <w:p w14:paraId="77990A07" w14:textId="77777777" w:rsidR="00BE53D7" w:rsidRDefault="00BE53D7">
      <w:pPr>
        <w:ind w:left="720"/>
        <w:rPr>
          <w:rFonts w:hint="cs"/>
          <w:i/>
          <w:iCs/>
          <w:rtl/>
        </w:rPr>
      </w:pPr>
      <w:r>
        <w:rPr>
          <w:rFonts w:hint="cs"/>
          <w:i/>
          <w:iCs/>
          <w:rtl/>
        </w:rPr>
        <w:t>"...אמרתי לחוקרת ששלוש שנים הנאשם מטריד אותי מינית, אבל אמרתי לחוקרת שלא תרשום את זה בגלל המשפחה שלי...".</w:t>
      </w:r>
    </w:p>
    <w:p w14:paraId="4522B33E" w14:textId="77777777" w:rsidR="00BE53D7" w:rsidRDefault="00BE53D7">
      <w:pPr>
        <w:rPr>
          <w:rFonts w:hint="cs"/>
          <w:rtl/>
        </w:rPr>
      </w:pPr>
    </w:p>
    <w:p w14:paraId="5F431F5F" w14:textId="77777777" w:rsidR="00BE53D7" w:rsidRDefault="00BE53D7">
      <w:pPr>
        <w:rPr>
          <w:rFonts w:hint="cs"/>
          <w:rtl/>
        </w:rPr>
      </w:pPr>
      <w:r>
        <w:rPr>
          <w:rFonts w:hint="cs"/>
          <w:rtl/>
        </w:rPr>
        <w:t>(עמ' 12 שורות 9-10).</w:t>
      </w:r>
    </w:p>
    <w:p w14:paraId="2D177527" w14:textId="77777777" w:rsidR="00BE53D7" w:rsidRDefault="00BE53D7">
      <w:pPr>
        <w:rPr>
          <w:rFonts w:hint="cs"/>
          <w:rtl/>
        </w:rPr>
      </w:pPr>
    </w:p>
    <w:p w14:paraId="77F61362" w14:textId="77777777" w:rsidR="00BE53D7" w:rsidRDefault="00BE53D7">
      <w:pPr>
        <w:rPr>
          <w:rFonts w:hint="cs"/>
          <w:rtl/>
        </w:rPr>
      </w:pPr>
      <w:r>
        <w:rPr>
          <w:rFonts w:hint="cs"/>
          <w:rtl/>
        </w:rPr>
        <w:t>החוקרת, הגב' יערית עמר- עדת התביעה מספר 2, העידה בפני ביום 28.1.07.</w:t>
      </w:r>
    </w:p>
    <w:p w14:paraId="36529BFA" w14:textId="77777777" w:rsidR="00BE53D7" w:rsidRDefault="00BE53D7">
      <w:pPr>
        <w:rPr>
          <w:rFonts w:hint="cs"/>
          <w:rtl/>
        </w:rPr>
      </w:pPr>
    </w:p>
    <w:p w14:paraId="1A368596" w14:textId="77777777" w:rsidR="00BE53D7" w:rsidRDefault="00BE53D7">
      <w:pPr>
        <w:rPr>
          <w:rFonts w:hint="cs"/>
          <w:rtl/>
        </w:rPr>
      </w:pPr>
      <w:r>
        <w:rPr>
          <w:rFonts w:hint="cs"/>
          <w:rtl/>
        </w:rPr>
        <w:t>בעדותה, סתרה העדה את טענתה של המתלוננת דלעיל, וטענה, כי כל מה שנאמר על ידי המתלוננת נרשם על ידה ואם היו דברים שמחייבים דיווח היה נרשם מזכר באותו עניין:</w:t>
      </w:r>
    </w:p>
    <w:p w14:paraId="38AF9513" w14:textId="77777777" w:rsidR="00BE53D7" w:rsidRDefault="00BE53D7">
      <w:pPr>
        <w:rPr>
          <w:rFonts w:hint="cs"/>
          <w:rtl/>
        </w:rPr>
      </w:pPr>
    </w:p>
    <w:p w14:paraId="42F6BB9D" w14:textId="77777777" w:rsidR="00BE53D7" w:rsidRDefault="00BE53D7">
      <w:pPr>
        <w:ind w:left="720"/>
        <w:rPr>
          <w:rFonts w:hint="cs"/>
          <w:i/>
          <w:iCs/>
          <w:rtl/>
        </w:rPr>
      </w:pPr>
      <w:r>
        <w:rPr>
          <w:rFonts w:hint="cs"/>
          <w:i/>
          <w:iCs/>
          <w:rtl/>
        </w:rPr>
        <w:t>"...מה שהיא אמרה לי רשמתי בכתב ידי. אם היו דברים שמחייבים דיווח הייתי רושמת מזכר..."</w:t>
      </w:r>
    </w:p>
    <w:p w14:paraId="0E885B57" w14:textId="77777777" w:rsidR="00BE53D7" w:rsidRDefault="00BE53D7">
      <w:pPr>
        <w:rPr>
          <w:rFonts w:hint="cs"/>
          <w:rtl/>
        </w:rPr>
      </w:pPr>
    </w:p>
    <w:p w14:paraId="2024E243" w14:textId="77777777" w:rsidR="00BE53D7" w:rsidRDefault="00BE53D7">
      <w:pPr>
        <w:rPr>
          <w:rFonts w:hint="cs"/>
          <w:rtl/>
        </w:rPr>
      </w:pPr>
      <w:r>
        <w:rPr>
          <w:rFonts w:hint="cs"/>
          <w:rtl/>
        </w:rPr>
        <w:t>(עמ' 16 שורות 18-19).</w:t>
      </w:r>
    </w:p>
    <w:p w14:paraId="4208ED05" w14:textId="77777777" w:rsidR="00BE53D7" w:rsidRDefault="00BE53D7">
      <w:pPr>
        <w:rPr>
          <w:rFonts w:hint="cs"/>
          <w:rtl/>
        </w:rPr>
      </w:pPr>
    </w:p>
    <w:p w14:paraId="6B79B9FF" w14:textId="77777777" w:rsidR="00BE53D7" w:rsidRDefault="00BE53D7">
      <w:pPr>
        <w:rPr>
          <w:rFonts w:hint="cs"/>
          <w:rtl/>
        </w:rPr>
      </w:pPr>
      <w:r>
        <w:rPr>
          <w:rFonts w:hint="cs"/>
          <w:rtl/>
        </w:rPr>
        <w:t>יאמר כבר כעת, כי סתירה זו בדברי המתלוננת הינה מהותית וכי יש בה כדי לפגום באמינותה של המתלוננת.</w:t>
      </w:r>
    </w:p>
    <w:p w14:paraId="37E15C08" w14:textId="77777777" w:rsidR="00BE53D7" w:rsidRDefault="00BE53D7">
      <w:pPr>
        <w:rPr>
          <w:rFonts w:hint="cs"/>
          <w:rtl/>
        </w:rPr>
      </w:pPr>
    </w:p>
    <w:p w14:paraId="5B946410" w14:textId="77777777" w:rsidR="00BE53D7" w:rsidRDefault="00BE53D7">
      <w:pPr>
        <w:rPr>
          <w:rFonts w:hint="cs"/>
          <w:rtl/>
        </w:rPr>
      </w:pPr>
      <w:r>
        <w:rPr>
          <w:rFonts w:hint="cs"/>
          <w:rtl/>
        </w:rPr>
        <w:t>עוד יצוין, כי לדברי המתלוננת סיפרה היא למר יובל צור כי הוטרדה מינית על ידי הנאשם.</w:t>
      </w:r>
    </w:p>
    <w:p w14:paraId="66CFACC0" w14:textId="77777777" w:rsidR="00BE53D7" w:rsidRDefault="00BE53D7">
      <w:pPr>
        <w:rPr>
          <w:rFonts w:hint="cs"/>
          <w:rtl/>
        </w:rPr>
      </w:pPr>
    </w:p>
    <w:p w14:paraId="48233404" w14:textId="77777777" w:rsidR="00BE53D7" w:rsidRDefault="00BE53D7">
      <w:pPr>
        <w:ind w:left="720"/>
        <w:rPr>
          <w:rFonts w:hint="cs"/>
          <w:i/>
          <w:iCs/>
          <w:rtl/>
        </w:rPr>
      </w:pPr>
      <w:r>
        <w:rPr>
          <w:rFonts w:hint="cs"/>
          <w:i/>
          <w:iCs/>
          <w:rtl/>
        </w:rPr>
        <w:t>"...אני פניתי ליובל צור, נפגשתי איתו כמה פגישות. יכול להיות שגם כתבתי לו מכתב... אם אתה אומר לי שבאותה פגישה ובאותו מכתב לא העליתי את הטענה שהוטרדתי מינית אני העליתי את זה..."</w:t>
      </w:r>
    </w:p>
    <w:p w14:paraId="098F575F" w14:textId="77777777" w:rsidR="00BE53D7" w:rsidRDefault="00BE53D7">
      <w:pPr>
        <w:rPr>
          <w:rFonts w:hint="cs"/>
          <w:rtl/>
        </w:rPr>
      </w:pPr>
    </w:p>
    <w:p w14:paraId="5B1789CA" w14:textId="77777777" w:rsidR="00BE53D7" w:rsidRDefault="00BE53D7">
      <w:pPr>
        <w:rPr>
          <w:rFonts w:hint="cs"/>
          <w:rtl/>
        </w:rPr>
      </w:pPr>
      <w:r>
        <w:rPr>
          <w:rFonts w:hint="cs"/>
          <w:rtl/>
        </w:rPr>
        <w:t>(עמ' 13, שורות 3-4).</w:t>
      </w:r>
    </w:p>
    <w:p w14:paraId="310DDFA7" w14:textId="77777777" w:rsidR="00BE53D7" w:rsidRDefault="00BE53D7">
      <w:pPr>
        <w:rPr>
          <w:rFonts w:hint="cs"/>
          <w:rtl/>
        </w:rPr>
      </w:pPr>
    </w:p>
    <w:p w14:paraId="7C49D844" w14:textId="77777777" w:rsidR="00BE53D7" w:rsidRDefault="00BE53D7">
      <w:pPr>
        <w:rPr>
          <w:rFonts w:hint="cs"/>
          <w:rtl/>
        </w:rPr>
      </w:pPr>
      <w:r>
        <w:rPr>
          <w:rFonts w:hint="cs"/>
          <w:rtl/>
        </w:rPr>
        <w:t>המכתב אליו התייחסה המתלוננת בדבריה הינו נ/7 אשר נכתב ביום 23.2.06, יצוין כבר כעת, כי מעיון במכתבה זה של המתלוננת לא מצאתי כל התייחסות לטענה בדבר ההטרדה המינית אותה מייחסת המתלוננת לנאשם.</w:t>
      </w:r>
    </w:p>
    <w:p w14:paraId="37FA974C" w14:textId="77777777" w:rsidR="00BE53D7" w:rsidRDefault="00BE53D7">
      <w:pPr>
        <w:rPr>
          <w:rFonts w:hint="cs"/>
          <w:rtl/>
        </w:rPr>
      </w:pPr>
    </w:p>
    <w:p w14:paraId="238B1C59" w14:textId="77777777" w:rsidR="00BE53D7" w:rsidRDefault="00BE53D7">
      <w:pPr>
        <w:rPr>
          <w:rFonts w:hint="cs"/>
          <w:rtl/>
        </w:rPr>
      </w:pPr>
      <w:r>
        <w:rPr>
          <w:rFonts w:hint="cs"/>
          <w:rtl/>
        </w:rPr>
        <w:t xml:space="preserve">יתרה מכך, העובדה כי המתלוננת העבירה העתק מן המכתב לעודך דין שלה באותה העת, עוה"ד המאם חליחל, אשר בעדותה בפני טענה כי ביקשה לשכור את שירותיו ביחס לתביעת דיבה אשר ביקשה להגיש כנגד הנאשם ולא בגין ההטרדה המינית (עמ' 14 שורות 12-13) גורעת ממהימנות גרסתה של המתלוננת. </w:t>
      </w:r>
    </w:p>
    <w:p w14:paraId="2ACB3EBA" w14:textId="77777777" w:rsidR="00BE53D7" w:rsidRDefault="00BE53D7">
      <w:pPr>
        <w:rPr>
          <w:rFonts w:hint="cs"/>
          <w:rtl/>
        </w:rPr>
      </w:pPr>
    </w:p>
    <w:p w14:paraId="5232287B" w14:textId="77777777" w:rsidR="00BE53D7" w:rsidRDefault="00BE53D7">
      <w:pPr>
        <w:rPr>
          <w:rFonts w:hint="cs"/>
          <w:rtl/>
        </w:rPr>
      </w:pPr>
      <w:r>
        <w:rPr>
          <w:rFonts w:hint="cs"/>
          <w:rtl/>
        </w:rPr>
        <w:t>ביום 15.2.07 העיד בפני עד ההגנה מספר 2 מר יובל צור.</w:t>
      </w:r>
    </w:p>
    <w:p w14:paraId="6947D863" w14:textId="77777777" w:rsidR="00BE53D7" w:rsidRDefault="00BE53D7">
      <w:pPr>
        <w:rPr>
          <w:rFonts w:hint="cs"/>
          <w:rtl/>
        </w:rPr>
      </w:pPr>
    </w:p>
    <w:p w14:paraId="044548C7" w14:textId="77777777" w:rsidR="00BE53D7" w:rsidRDefault="00BE53D7">
      <w:pPr>
        <w:rPr>
          <w:rFonts w:hint="cs"/>
          <w:rtl/>
        </w:rPr>
      </w:pPr>
      <w:r>
        <w:rPr>
          <w:rFonts w:hint="cs"/>
          <w:rtl/>
        </w:rPr>
        <w:t>מר צור, סתר בעדותו את דבריה של המתלוננת וטען כי בפגישה אשר התקיימה ביניהם לא העלתה המתלוננת כלל ועיקר את טענת ההטרדה המינית, אלא, השיחה ביניהם נסבה סביב פיטוריה ורצונה להגיש תביעת דיבה נגד הנאשם:</w:t>
      </w:r>
    </w:p>
    <w:p w14:paraId="7105A29A" w14:textId="77777777" w:rsidR="00BE53D7" w:rsidRDefault="00BE53D7">
      <w:pPr>
        <w:rPr>
          <w:rFonts w:hint="cs"/>
          <w:rtl/>
        </w:rPr>
      </w:pPr>
    </w:p>
    <w:p w14:paraId="003BE383" w14:textId="77777777" w:rsidR="00BE53D7" w:rsidRDefault="00BE53D7">
      <w:pPr>
        <w:ind w:left="720"/>
        <w:rPr>
          <w:rFonts w:hint="cs"/>
          <w:i/>
          <w:iCs/>
          <w:rtl/>
        </w:rPr>
      </w:pPr>
      <w:r>
        <w:rPr>
          <w:rFonts w:hint="cs"/>
          <w:i/>
          <w:iCs/>
          <w:rtl/>
        </w:rPr>
        <w:t>"... היא הייתה מאד נסערת בנושא של הפיטורין והיא פנתה אלי בכתב וביקשה ממני מימון למשפט בהוצאת דיבה נגד לייזר... במסגרת זאת היא גם כתבה מכתב שהיא מבקשת מוועד ההנהלה לממן לה משפט של הוצאת דיבה וזה תוכן המכתב, כל הנושא הסתובב סביב הפיטורין בעבודה שהאשימו אותה בגניבה והפניה היתה למימון הוצאות משפט. באותה פגישה היא לא דיברה על הטרדה מינית..."</w:t>
      </w:r>
    </w:p>
    <w:p w14:paraId="1493CBEB" w14:textId="77777777" w:rsidR="00BE53D7" w:rsidRDefault="00BE53D7">
      <w:pPr>
        <w:rPr>
          <w:rFonts w:hint="cs"/>
          <w:rtl/>
        </w:rPr>
      </w:pPr>
    </w:p>
    <w:p w14:paraId="0502BA1D" w14:textId="77777777" w:rsidR="00BE53D7" w:rsidRDefault="00BE53D7">
      <w:pPr>
        <w:rPr>
          <w:rFonts w:hint="cs"/>
          <w:rtl/>
        </w:rPr>
      </w:pPr>
      <w:r>
        <w:rPr>
          <w:rFonts w:hint="cs"/>
          <w:rtl/>
        </w:rPr>
        <w:t>(עמ' 28, שורות  4-9).</w:t>
      </w:r>
    </w:p>
    <w:p w14:paraId="54AA8DCF" w14:textId="77777777" w:rsidR="00BE53D7" w:rsidRDefault="00BE53D7">
      <w:pPr>
        <w:rPr>
          <w:rFonts w:hint="cs"/>
          <w:rtl/>
        </w:rPr>
      </w:pPr>
    </w:p>
    <w:p w14:paraId="2E0F0EBB" w14:textId="77777777" w:rsidR="00BE53D7" w:rsidRDefault="00BE53D7">
      <w:pPr>
        <w:rPr>
          <w:rFonts w:hint="cs"/>
          <w:rtl/>
        </w:rPr>
      </w:pPr>
      <w:r>
        <w:rPr>
          <w:rFonts w:hint="cs"/>
          <w:rtl/>
        </w:rPr>
        <w:t>אמנם, בהמשך עדותו טען העד כי, אכן, שמע מן המתלוננת על נושא ההטרדה המינית אשר לכאורה הטריד אותה הנאשם, ואולם, כעולה מדבריו שמע הוא על התלונה כשבוע בערך לפני הישיבה אשר התקיימה ביום 10.4.06.</w:t>
      </w:r>
    </w:p>
    <w:p w14:paraId="12B4E165" w14:textId="77777777" w:rsidR="00BE53D7" w:rsidRDefault="00BE53D7">
      <w:pPr>
        <w:rPr>
          <w:rFonts w:hint="cs"/>
          <w:rtl/>
        </w:rPr>
      </w:pPr>
    </w:p>
    <w:p w14:paraId="4037A1C7" w14:textId="77777777" w:rsidR="00BE53D7" w:rsidRDefault="00BE53D7">
      <w:pPr>
        <w:rPr>
          <w:rFonts w:hint="cs"/>
          <w:rtl/>
        </w:rPr>
      </w:pPr>
      <w:r>
        <w:rPr>
          <w:rFonts w:hint="cs"/>
          <w:rtl/>
        </w:rPr>
        <w:t>לדבריו אלו של העד מצאתי תימוכין בנ/7 בו לא נזכר כלל עניין ההטרדה המינית, נהפוך הוא, בסעיף 2 למכתב מציינת המתלוננת כי על נושא התביעה ישלח בהמשך מכתב מאת עורך הדין של המתלוננת.</w:t>
      </w:r>
    </w:p>
    <w:p w14:paraId="31463113" w14:textId="77777777" w:rsidR="00BE53D7" w:rsidRDefault="00BE53D7">
      <w:pPr>
        <w:rPr>
          <w:rFonts w:hint="cs"/>
          <w:rtl/>
        </w:rPr>
      </w:pPr>
    </w:p>
    <w:p w14:paraId="6CD58150" w14:textId="77777777" w:rsidR="00BE53D7" w:rsidRDefault="00BE53D7">
      <w:pPr>
        <w:rPr>
          <w:rFonts w:hint="cs"/>
          <w:rtl/>
        </w:rPr>
      </w:pPr>
      <w:r>
        <w:rPr>
          <w:rFonts w:hint="cs"/>
          <w:rtl/>
        </w:rPr>
        <w:t>כמו כן, מצאתי תימוכין לדבריו בנ/ 11 ובנ/12 אשר אף בהם לא אוזכר כלל ועיקר כי המדובר בתלונה בגין הטרדה מינית.</w:t>
      </w:r>
    </w:p>
    <w:p w14:paraId="55CECAFA" w14:textId="77777777" w:rsidR="00BE53D7" w:rsidRDefault="00BE53D7">
      <w:pPr>
        <w:rPr>
          <w:rFonts w:hint="cs"/>
          <w:rtl/>
        </w:rPr>
      </w:pPr>
    </w:p>
    <w:p w14:paraId="794DCED4" w14:textId="77777777" w:rsidR="00BE53D7" w:rsidRDefault="00BE53D7">
      <w:pPr>
        <w:rPr>
          <w:rFonts w:hint="cs"/>
          <w:rtl/>
        </w:rPr>
      </w:pPr>
      <w:r>
        <w:rPr>
          <w:rFonts w:hint="cs"/>
          <w:rtl/>
        </w:rPr>
        <w:t>משכך, מצאתי את גרסתו של עד ההגנה מספר 2 אמינה בעיני לעניין המועד בו יידעה אותו המתלוננת בדבר תלונתה כנגד הנאשם, בגין הטרדה מינית.</w:t>
      </w:r>
    </w:p>
    <w:p w14:paraId="39049E71" w14:textId="77777777" w:rsidR="00BE53D7" w:rsidRDefault="00BE53D7">
      <w:pPr>
        <w:rPr>
          <w:rFonts w:hint="cs"/>
          <w:rtl/>
        </w:rPr>
      </w:pPr>
    </w:p>
    <w:p w14:paraId="013F1F9C" w14:textId="77777777" w:rsidR="00BE53D7" w:rsidRDefault="00BE53D7">
      <w:pPr>
        <w:rPr>
          <w:rFonts w:hint="cs"/>
          <w:rtl/>
        </w:rPr>
      </w:pPr>
      <w:r>
        <w:rPr>
          <w:rFonts w:hint="cs"/>
          <w:rtl/>
        </w:rPr>
        <w:t>עוד יצוין בהקשר זה, כי התלונה ב-נ/5 טענה המתלוננת כי הנאשם ידע כי ברגע שהיא תפוטר היא תתלונן כנגדו ומשכך הקדים והגיש את התלונה כנגדה.</w:t>
      </w:r>
    </w:p>
    <w:p w14:paraId="6DAC4CE1" w14:textId="77777777" w:rsidR="00BE53D7" w:rsidRDefault="00BE53D7">
      <w:pPr>
        <w:rPr>
          <w:rFonts w:hint="cs"/>
          <w:rtl/>
        </w:rPr>
      </w:pPr>
    </w:p>
    <w:p w14:paraId="060E5033" w14:textId="77777777" w:rsidR="00BE53D7" w:rsidRDefault="00BE53D7">
      <w:pPr>
        <w:rPr>
          <w:rFonts w:hint="cs"/>
          <w:rtl/>
        </w:rPr>
      </w:pPr>
      <w:r>
        <w:rPr>
          <w:rFonts w:hint="cs"/>
          <w:rtl/>
        </w:rPr>
        <w:t>(שם, עמ' 4 שורות 10-12).</w:t>
      </w:r>
    </w:p>
    <w:p w14:paraId="6E27684D" w14:textId="77777777" w:rsidR="00BE53D7" w:rsidRDefault="00BE53D7">
      <w:pPr>
        <w:rPr>
          <w:rFonts w:hint="cs"/>
          <w:rtl/>
        </w:rPr>
      </w:pPr>
    </w:p>
    <w:p w14:paraId="78D93F84" w14:textId="77777777" w:rsidR="00BE53D7" w:rsidRDefault="00BE53D7">
      <w:pPr>
        <w:rPr>
          <w:rFonts w:hint="cs"/>
          <w:rtl/>
        </w:rPr>
      </w:pPr>
      <w:r>
        <w:rPr>
          <w:rFonts w:hint="cs"/>
          <w:rtl/>
        </w:rPr>
        <w:t>המתלוננת נמנעה מלהעלות טענה זו בעת שנחקרה בגין גניבה ממעביד (נ/4).</w:t>
      </w:r>
    </w:p>
    <w:p w14:paraId="41669A5F" w14:textId="77777777" w:rsidR="00BE53D7" w:rsidRDefault="00BE53D7">
      <w:pPr>
        <w:rPr>
          <w:rFonts w:hint="cs"/>
          <w:rtl/>
        </w:rPr>
      </w:pPr>
      <w:r>
        <w:rPr>
          <w:rFonts w:hint="cs"/>
          <w:rtl/>
        </w:rPr>
        <w:t xml:space="preserve"> </w:t>
      </w:r>
    </w:p>
    <w:p w14:paraId="183D0C40" w14:textId="77777777" w:rsidR="00BE53D7" w:rsidRDefault="00BE53D7">
      <w:pPr>
        <w:rPr>
          <w:rFonts w:hint="cs"/>
          <w:rtl/>
        </w:rPr>
      </w:pPr>
      <w:r>
        <w:rPr>
          <w:rFonts w:hint="cs"/>
          <w:rtl/>
        </w:rPr>
        <w:t>עוד יצוין, כי התלונה כנגד המתלוננת לא הגיש הנאשם לבדו, אלא, הגיש הוא את התלונה בצוותא עם מר דוד שביט, ואף מטעם זה אין לקבל את טענותיה של התלוננת לעניין זה.</w:t>
      </w:r>
    </w:p>
    <w:p w14:paraId="790BAFA4" w14:textId="77777777" w:rsidR="00BE53D7" w:rsidRDefault="00BE53D7">
      <w:pPr>
        <w:rPr>
          <w:rFonts w:hint="cs"/>
          <w:rtl/>
        </w:rPr>
      </w:pPr>
    </w:p>
    <w:p w14:paraId="505E0FDA" w14:textId="77777777" w:rsidR="00BE53D7" w:rsidRDefault="00BE53D7">
      <w:pPr>
        <w:rPr>
          <w:rFonts w:hint="cs"/>
          <w:b/>
          <w:bCs/>
          <w:u w:val="single"/>
          <w:rtl/>
        </w:rPr>
      </w:pPr>
      <w:r>
        <w:rPr>
          <w:rFonts w:hint="cs"/>
          <w:b/>
          <w:bCs/>
          <w:u w:val="single"/>
          <w:rtl/>
        </w:rPr>
        <w:t>בחינת גרסאות הצדדים ביחס לעבירות המנויות בכתב האישום:</w:t>
      </w:r>
    </w:p>
    <w:p w14:paraId="4392FFFA" w14:textId="77777777" w:rsidR="00BE53D7" w:rsidRDefault="00BE53D7">
      <w:pPr>
        <w:rPr>
          <w:rFonts w:hint="cs"/>
          <w:rtl/>
        </w:rPr>
      </w:pPr>
      <w:r>
        <w:rPr>
          <w:rFonts w:hint="cs"/>
          <w:rtl/>
        </w:rPr>
        <w:t>להלן, אבחן את גרסת המתלוננת אל מול גרסת הנאשם, וכן, את יתר הראיות ביחס לעבירות אשר יוחסו לנאשם בכתב האישום.</w:t>
      </w:r>
    </w:p>
    <w:p w14:paraId="7972F53B" w14:textId="77777777" w:rsidR="00BE53D7" w:rsidRDefault="00BE53D7">
      <w:pPr>
        <w:rPr>
          <w:rFonts w:hint="cs"/>
          <w:rtl/>
        </w:rPr>
      </w:pPr>
    </w:p>
    <w:p w14:paraId="4A36C95A" w14:textId="77777777" w:rsidR="00BE53D7" w:rsidRDefault="00BE53D7">
      <w:pPr>
        <w:rPr>
          <w:rFonts w:hint="cs"/>
          <w:rtl/>
        </w:rPr>
      </w:pPr>
      <w:r>
        <w:rPr>
          <w:rFonts w:hint="cs"/>
          <w:rtl/>
        </w:rPr>
        <w:t>ראשית, אבחן את גרסאות הצדדים ביחס לעבירת המעשה המגונה אשר יוחסה לנאשם, ולאחר מכן, אבחן את גרסאותיהם ביחס לעבירת ההטרדה המינית.</w:t>
      </w:r>
    </w:p>
    <w:p w14:paraId="32D75158" w14:textId="77777777" w:rsidR="00BE53D7" w:rsidRDefault="00BE53D7">
      <w:pPr>
        <w:rPr>
          <w:rFonts w:hint="cs"/>
          <w:u w:val="single"/>
          <w:rtl/>
        </w:rPr>
      </w:pPr>
    </w:p>
    <w:p w14:paraId="09587A09" w14:textId="77777777" w:rsidR="00BE53D7" w:rsidRDefault="00BE53D7">
      <w:pPr>
        <w:rPr>
          <w:rFonts w:hint="cs"/>
          <w:b/>
          <w:bCs/>
          <w:u w:val="single"/>
          <w:rtl/>
        </w:rPr>
      </w:pPr>
      <w:r>
        <w:rPr>
          <w:rFonts w:hint="cs"/>
          <w:b/>
          <w:bCs/>
          <w:u w:val="single"/>
          <w:rtl/>
        </w:rPr>
        <w:t>עבירת המעשה המגונה:</w:t>
      </w:r>
    </w:p>
    <w:p w14:paraId="224E4F50" w14:textId="77777777" w:rsidR="00BE53D7" w:rsidRDefault="00BE53D7">
      <w:pPr>
        <w:rPr>
          <w:rFonts w:hint="cs"/>
          <w:rtl/>
        </w:rPr>
      </w:pPr>
      <w:r>
        <w:rPr>
          <w:rFonts w:hint="cs"/>
          <w:rtl/>
        </w:rPr>
        <w:t xml:space="preserve">כפי שצוין לעיל, בכתב האישום נטען כי במהלך נסיעות בלוית המתלוננת נהג הנאשם להניח את ידיו על ירכיה ועל בטנה, וכן, לפת את מותניה תוך כדי שהמתלוננת מנסה לזוז בכדי להתחמק מנגיעותיו. על בסיס האמור לעיל, יוחסה כאמור לנאשם עבירת ביצוע מעשה מגונה במתלוננת. </w:t>
      </w:r>
    </w:p>
    <w:p w14:paraId="314571B3" w14:textId="77777777" w:rsidR="00BE53D7" w:rsidRDefault="00BE53D7">
      <w:pPr>
        <w:rPr>
          <w:rFonts w:hint="cs"/>
          <w:rtl/>
        </w:rPr>
      </w:pPr>
    </w:p>
    <w:p w14:paraId="5027BE5D" w14:textId="77777777" w:rsidR="00BE53D7" w:rsidRDefault="00BE53D7">
      <w:pPr>
        <w:rPr>
          <w:rFonts w:hint="cs"/>
          <w:rtl/>
        </w:rPr>
      </w:pPr>
      <w:r>
        <w:rPr>
          <w:rFonts w:hint="cs"/>
          <w:rtl/>
        </w:rPr>
        <w:t>יאמר כבר כעת, כי מצאתי סתירות בגרסתה של המתלוננת לעניין זה.</w:t>
      </w:r>
    </w:p>
    <w:p w14:paraId="1FBEC390" w14:textId="77777777" w:rsidR="00BE53D7" w:rsidRDefault="00BE53D7">
      <w:pPr>
        <w:rPr>
          <w:rFonts w:hint="cs"/>
          <w:rtl/>
        </w:rPr>
      </w:pPr>
    </w:p>
    <w:p w14:paraId="7461339E" w14:textId="77777777" w:rsidR="00BE53D7" w:rsidRDefault="00BE53D7">
      <w:pPr>
        <w:rPr>
          <w:rFonts w:hint="cs"/>
          <w:rtl/>
        </w:rPr>
      </w:pPr>
      <w:r>
        <w:rPr>
          <w:rFonts w:hint="cs"/>
          <w:rtl/>
        </w:rPr>
        <w:t>יצוין, כי במהלך עדותה החלה המתלוננת לספר על מעשים מגונים, אשר לא נזכרו בכתב האישום, ואשר לטענתה נהג הנאשם לבצע בה.</w:t>
      </w:r>
    </w:p>
    <w:p w14:paraId="5006191A" w14:textId="77777777" w:rsidR="00BE53D7" w:rsidRDefault="00BE53D7">
      <w:pPr>
        <w:rPr>
          <w:rFonts w:hint="cs"/>
          <w:rtl/>
        </w:rPr>
      </w:pPr>
    </w:p>
    <w:p w14:paraId="14FDD915" w14:textId="77777777" w:rsidR="00BE53D7" w:rsidRDefault="00BE53D7">
      <w:pPr>
        <w:rPr>
          <w:rFonts w:hint="cs"/>
          <w:rtl/>
        </w:rPr>
      </w:pPr>
      <w:r>
        <w:rPr>
          <w:rFonts w:hint="cs"/>
          <w:rtl/>
        </w:rPr>
        <w:t>לדבריה, בעת שהיו במשרד נהג הנאשם לבוא מאחור ולתפוס אותה בכתפיה או במותניה ואף פעם אחת תפס אותה בבטנה.</w:t>
      </w:r>
    </w:p>
    <w:p w14:paraId="697DBDEA" w14:textId="77777777" w:rsidR="00BE53D7" w:rsidRDefault="00BE53D7">
      <w:pPr>
        <w:rPr>
          <w:rFonts w:hint="cs"/>
          <w:rtl/>
        </w:rPr>
      </w:pPr>
    </w:p>
    <w:p w14:paraId="17EB9832" w14:textId="77777777" w:rsidR="00BE53D7" w:rsidRDefault="00BE53D7">
      <w:pPr>
        <w:rPr>
          <w:rFonts w:hint="cs"/>
          <w:rtl/>
        </w:rPr>
      </w:pPr>
      <w:r>
        <w:rPr>
          <w:rFonts w:hint="cs"/>
          <w:rtl/>
        </w:rPr>
        <w:t>(עמ' 4 שורות 18-21).</w:t>
      </w:r>
    </w:p>
    <w:p w14:paraId="443A7601" w14:textId="77777777" w:rsidR="00BE53D7" w:rsidRDefault="00BE53D7">
      <w:pPr>
        <w:rPr>
          <w:rFonts w:hint="cs"/>
          <w:rtl/>
        </w:rPr>
      </w:pPr>
    </w:p>
    <w:p w14:paraId="11CDD4EA" w14:textId="77777777" w:rsidR="00BE53D7" w:rsidRDefault="00BE53D7">
      <w:pPr>
        <w:rPr>
          <w:rFonts w:hint="cs"/>
          <w:rtl/>
        </w:rPr>
      </w:pPr>
      <w:r>
        <w:rPr>
          <w:rFonts w:hint="cs"/>
          <w:rtl/>
        </w:rPr>
        <w:t>ואולם, מעיון ב-נ/5, הודעתה של המתלוננת מיום 26.3.06, וב-נ/6, הודעתה של המתלוננת מיום 7.5.06, עולה כי המתלוננת לא העלתה טענות אלו במהלך מסירת הודעותיה אלא התלוננה רק לגבי נגיעות אשר אירעו לטענתה במהלך נסיעות ובאופן אקראי.</w:t>
      </w:r>
    </w:p>
    <w:p w14:paraId="206DD29A" w14:textId="77777777" w:rsidR="00BE53D7" w:rsidRDefault="00BE53D7">
      <w:pPr>
        <w:rPr>
          <w:rFonts w:hint="cs"/>
          <w:rtl/>
        </w:rPr>
      </w:pPr>
    </w:p>
    <w:p w14:paraId="30351D43" w14:textId="77777777" w:rsidR="00BE53D7" w:rsidRDefault="00BE53D7">
      <w:pPr>
        <w:rPr>
          <w:rFonts w:hint="cs"/>
          <w:rtl/>
        </w:rPr>
      </w:pPr>
      <w:r>
        <w:rPr>
          <w:rFonts w:hint="cs"/>
          <w:rtl/>
        </w:rPr>
        <w:t>עוד טענה המתלוננת בפני במהלך עדותה כי הנאשם העביר את ידו על החלק החשוף במחשוף אשר לבשה באחד הימים, ואולם, אף טענתה זו לא נטענה על ידה במהלך שתי חקירותיה במשטרה (נ/5 ו-נ/6).</w:t>
      </w:r>
    </w:p>
    <w:p w14:paraId="00B0597A" w14:textId="77777777" w:rsidR="00BE53D7" w:rsidRDefault="00BE53D7">
      <w:pPr>
        <w:rPr>
          <w:rFonts w:hint="cs"/>
          <w:rtl/>
        </w:rPr>
      </w:pPr>
    </w:p>
    <w:p w14:paraId="08655166" w14:textId="77777777" w:rsidR="00BE53D7" w:rsidRDefault="00BE53D7">
      <w:pPr>
        <w:rPr>
          <w:rFonts w:hint="cs"/>
          <w:rtl/>
        </w:rPr>
      </w:pPr>
      <w:r>
        <w:rPr>
          <w:rFonts w:hint="cs"/>
          <w:rtl/>
        </w:rPr>
        <w:t>המתלוננת לא הסבירה מדוע נמנעה מלציין מעשים אלו בשתי הודעותיה במשטרה.</w:t>
      </w:r>
    </w:p>
    <w:p w14:paraId="31F072C0" w14:textId="77777777" w:rsidR="00BE53D7" w:rsidRDefault="00BE53D7">
      <w:pPr>
        <w:rPr>
          <w:rFonts w:hint="cs"/>
          <w:rtl/>
        </w:rPr>
      </w:pPr>
    </w:p>
    <w:p w14:paraId="706EF3AB" w14:textId="77777777" w:rsidR="00BE53D7" w:rsidRDefault="00BE53D7">
      <w:pPr>
        <w:rPr>
          <w:rFonts w:hint="cs"/>
          <w:rtl/>
        </w:rPr>
      </w:pPr>
      <w:r>
        <w:rPr>
          <w:rFonts w:hint="cs"/>
          <w:rtl/>
        </w:rPr>
        <w:t>בעדותה בפני אישרה המתלוננת כי לא אמרה לנאשם לחדול ממעשיו אלו, אלא, הייתה רק מתרחקת ממנו.</w:t>
      </w:r>
    </w:p>
    <w:p w14:paraId="6B86ED5A" w14:textId="77777777" w:rsidR="00BE53D7" w:rsidRDefault="00BE53D7">
      <w:pPr>
        <w:rPr>
          <w:rFonts w:hint="cs"/>
          <w:rtl/>
        </w:rPr>
      </w:pPr>
    </w:p>
    <w:p w14:paraId="324C9274" w14:textId="77777777" w:rsidR="00BE53D7" w:rsidRDefault="00BE53D7">
      <w:pPr>
        <w:ind w:left="720"/>
        <w:rPr>
          <w:rFonts w:hint="cs"/>
          <w:i/>
          <w:iCs/>
          <w:rtl/>
        </w:rPr>
      </w:pPr>
      <w:r>
        <w:rPr>
          <w:rFonts w:hint="cs"/>
          <w:i/>
          <w:iCs/>
          <w:rtl/>
        </w:rPr>
        <w:t>"...במצבים בהם הוא נגע בי הייתי מתרחקת ממנו, פיזית הייתי משנה תנוחה, ברכב זה היה מאוד קשה. בקניונית כשהוא היה לופט לי במותניים הייתי זזה ממנו, פשוט מתרחקת ממנו, הייתי קמה וזזה. כשהוא בפועל לפט לי את המותניים אז הייתי זזה. בכל הזדמנות שהוא נגע בי לא אמרתי לו תפסיק עם זה, או זה לא מתאים לי, לא אמרתי לו לא. הייתי זזה, הייתי מובכת, הייתי לחוצה, הרגשתי שזו לא סיטואציה שאתה מתרגל אליה. לא הגבתי מילולית כיוון שפחדתי ממנו..."</w:t>
      </w:r>
    </w:p>
    <w:p w14:paraId="3E9B3040" w14:textId="77777777" w:rsidR="00BE53D7" w:rsidRDefault="00BE53D7">
      <w:pPr>
        <w:rPr>
          <w:rFonts w:hint="cs"/>
          <w:rtl/>
        </w:rPr>
      </w:pPr>
    </w:p>
    <w:p w14:paraId="6296E55C" w14:textId="77777777" w:rsidR="00BE53D7" w:rsidRDefault="00BE53D7">
      <w:pPr>
        <w:rPr>
          <w:rFonts w:hint="cs"/>
          <w:rtl/>
        </w:rPr>
      </w:pPr>
      <w:r>
        <w:rPr>
          <w:rFonts w:hint="cs"/>
          <w:rtl/>
        </w:rPr>
        <w:t xml:space="preserve">(עמ' 6 שורות 4-9). </w:t>
      </w:r>
    </w:p>
    <w:p w14:paraId="51E9D9A8" w14:textId="77777777" w:rsidR="00BE53D7" w:rsidRDefault="00BE53D7">
      <w:pPr>
        <w:rPr>
          <w:rFonts w:hint="cs"/>
          <w:rtl/>
        </w:rPr>
      </w:pPr>
    </w:p>
    <w:p w14:paraId="134FD6B4" w14:textId="77777777" w:rsidR="00BE53D7" w:rsidRDefault="00BE53D7">
      <w:pPr>
        <w:rPr>
          <w:rFonts w:hint="cs"/>
          <w:rtl/>
        </w:rPr>
      </w:pPr>
      <w:r>
        <w:rPr>
          <w:rFonts w:hint="cs"/>
          <w:rtl/>
        </w:rPr>
        <w:t>אף בנ/5 טענה המתלוננת כי בעת שהנאשם היה נוגע בה נהגה היא לזוז:</w:t>
      </w:r>
    </w:p>
    <w:p w14:paraId="78EC749B" w14:textId="77777777" w:rsidR="00BE53D7" w:rsidRDefault="00BE53D7">
      <w:pPr>
        <w:rPr>
          <w:rFonts w:hint="cs"/>
          <w:rtl/>
        </w:rPr>
      </w:pPr>
    </w:p>
    <w:p w14:paraId="22424783" w14:textId="77777777" w:rsidR="00BE53D7" w:rsidRDefault="00BE53D7">
      <w:pPr>
        <w:ind w:firstLine="720"/>
        <w:rPr>
          <w:rFonts w:hint="cs"/>
          <w:i/>
          <w:iCs/>
          <w:rtl/>
        </w:rPr>
      </w:pPr>
      <w:r>
        <w:rPr>
          <w:rFonts w:hint="cs"/>
          <w:i/>
          <w:iCs/>
          <w:rtl/>
        </w:rPr>
        <w:t>"...</w:t>
      </w:r>
      <w:r>
        <w:rPr>
          <w:rFonts w:hint="cs"/>
          <w:i/>
          <w:iCs/>
          <w:u w:val="single"/>
          <w:rtl/>
        </w:rPr>
        <w:t>שאלה</w:t>
      </w:r>
      <w:r>
        <w:rPr>
          <w:rFonts w:hint="cs"/>
          <w:i/>
          <w:iCs/>
          <w:rtl/>
        </w:rPr>
        <w:t xml:space="preserve"> ומה עשית למניעת נגיעות אלו?</w:t>
      </w:r>
    </w:p>
    <w:p w14:paraId="63BE20F6" w14:textId="77777777" w:rsidR="00BE53D7" w:rsidRDefault="00BE53D7">
      <w:pPr>
        <w:ind w:firstLine="720"/>
        <w:rPr>
          <w:rFonts w:hint="cs"/>
          <w:i/>
          <w:iCs/>
          <w:rtl/>
        </w:rPr>
      </w:pPr>
      <w:r>
        <w:rPr>
          <w:rFonts w:hint="cs"/>
          <w:i/>
          <w:iCs/>
          <w:u w:val="single"/>
          <w:rtl/>
        </w:rPr>
        <w:t xml:space="preserve">תשובה </w:t>
      </w:r>
      <w:r>
        <w:rPr>
          <w:rFonts w:hint="cs"/>
          <w:i/>
          <w:iCs/>
          <w:rtl/>
        </w:rPr>
        <w:t>הייתי זזה אבל אף פעם לא העזתי להגיד לו להפסיק או משהו כזה..."</w:t>
      </w:r>
    </w:p>
    <w:p w14:paraId="10037C4D" w14:textId="77777777" w:rsidR="00BE53D7" w:rsidRDefault="00BE53D7">
      <w:pPr>
        <w:rPr>
          <w:rFonts w:hint="cs"/>
          <w:rtl/>
        </w:rPr>
      </w:pPr>
    </w:p>
    <w:p w14:paraId="70C43DE8" w14:textId="77777777" w:rsidR="00BE53D7" w:rsidRDefault="00BE53D7">
      <w:pPr>
        <w:rPr>
          <w:rFonts w:hint="cs"/>
          <w:rtl/>
        </w:rPr>
      </w:pPr>
      <w:r>
        <w:rPr>
          <w:rFonts w:hint="cs"/>
          <w:rtl/>
        </w:rPr>
        <w:t>(נ/5 , עמ' 2 שורות 14-16).</w:t>
      </w:r>
    </w:p>
    <w:p w14:paraId="3387E65E" w14:textId="77777777" w:rsidR="00BE53D7" w:rsidRDefault="00BE53D7">
      <w:pPr>
        <w:rPr>
          <w:rFonts w:hint="cs"/>
          <w:rtl/>
        </w:rPr>
      </w:pPr>
    </w:p>
    <w:p w14:paraId="7F9D6C00" w14:textId="77777777" w:rsidR="00BE53D7" w:rsidRDefault="00BE53D7">
      <w:pPr>
        <w:rPr>
          <w:rFonts w:hint="cs"/>
          <w:rtl/>
        </w:rPr>
      </w:pPr>
      <w:r>
        <w:rPr>
          <w:rFonts w:hint="cs"/>
          <w:rtl/>
        </w:rPr>
        <w:t>ואולם, בניגוד לדבריה אשר הובאו לעיל, ובניגוד לנטען בכתב האישום, הרי, שבנ/6 טענה המתלוננת כי נהגה באופן אקטיבי להדוף מעליה את הנאשם:</w:t>
      </w:r>
    </w:p>
    <w:p w14:paraId="5545439F" w14:textId="77777777" w:rsidR="00BE53D7" w:rsidRDefault="00BE53D7">
      <w:pPr>
        <w:rPr>
          <w:rFonts w:hint="cs"/>
          <w:rtl/>
        </w:rPr>
      </w:pPr>
    </w:p>
    <w:p w14:paraId="5D3FFBE8" w14:textId="77777777" w:rsidR="00BE53D7" w:rsidRDefault="00BE53D7">
      <w:pPr>
        <w:ind w:left="720"/>
        <w:rPr>
          <w:rFonts w:hint="cs"/>
          <w:i/>
          <w:iCs/>
          <w:rtl/>
        </w:rPr>
      </w:pPr>
      <w:r>
        <w:rPr>
          <w:rFonts w:hint="cs"/>
          <w:i/>
          <w:iCs/>
          <w:rtl/>
        </w:rPr>
        <w:t>"...</w:t>
      </w:r>
      <w:r>
        <w:rPr>
          <w:rFonts w:hint="cs"/>
          <w:i/>
          <w:iCs/>
          <w:u w:val="single"/>
          <w:rtl/>
        </w:rPr>
        <w:t>שאלה</w:t>
      </w:r>
      <w:r>
        <w:rPr>
          <w:rFonts w:hint="cs"/>
          <w:i/>
          <w:iCs/>
          <w:rtl/>
        </w:rPr>
        <w:t xml:space="preserve"> עפ"י עדותך ומה שסיפרת בתלונתך רוב הדברים שנעשו נעשו בהסכמה איתך ואיתו באף מצב לא אמרת לליזר "לא" מה יש לך להגיד על כך?</w:t>
      </w:r>
    </w:p>
    <w:p w14:paraId="7AAFE89E" w14:textId="77777777" w:rsidR="00BE53D7" w:rsidRDefault="00BE53D7">
      <w:pPr>
        <w:ind w:left="720"/>
        <w:rPr>
          <w:rFonts w:hint="cs"/>
          <w:i/>
          <w:iCs/>
          <w:rtl/>
        </w:rPr>
      </w:pPr>
      <w:r>
        <w:rPr>
          <w:rFonts w:hint="cs"/>
          <w:i/>
          <w:iCs/>
          <w:u w:val="single"/>
          <w:rtl/>
        </w:rPr>
        <w:t>תשובה</w:t>
      </w:r>
      <w:r>
        <w:rPr>
          <w:rFonts w:hint="cs"/>
          <w:i/>
          <w:iCs/>
          <w:rtl/>
        </w:rPr>
        <w:t xml:space="preserve"> לא אמרתי אבל זה לא אומר שהסכמתי אני הדפתי אותו מעליי כל הזמן ולכן גם היחסים לא הגיעו לאינטימיים יותר כי לא רציתי..." </w:t>
      </w:r>
    </w:p>
    <w:p w14:paraId="497BE079" w14:textId="77777777" w:rsidR="00BE53D7" w:rsidRDefault="00BE53D7">
      <w:pPr>
        <w:rPr>
          <w:rFonts w:hint="cs"/>
          <w:i/>
          <w:iCs/>
          <w:u w:val="single"/>
          <w:rtl/>
        </w:rPr>
      </w:pPr>
    </w:p>
    <w:p w14:paraId="305F4B2A" w14:textId="77777777" w:rsidR="00BE53D7" w:rsidRDefault="00BE53D7">
      <w:pPr>
        <w:rPr>
          <w:rFonts w:hint="cs"/>
          <w:rtl/>
        </w:rPr>
      </w:pPr>
      <w:r>
        <w:rPr>
          <w:rFonts w:hint="cs"/>
          <w:rtl/>
        </w:rPr>
        <w:t>(נ/6, עמ' 1 שורות 18-23).</w:t>
      </w:r>
    </w:p>
    <w:p w14:paraId="52D34F7E" w14:textId="77777777" w:rsidR="00BE53D7" w:rsidRDefault="00BE53D7">
      <w:pPr>
        <w:rPr>
          <w:rFonts w:hint="cs"/>
          <w:rtl/>
        </w:rPr>
      </w:pPr>
    </w:p>
    <w:p w14:paraId="0F9D6852" w14:textId="77777777" w:rsidR="00BE53D7" w:rsidRDefault="00BE53D7">
      <w:pPr>
        <w:rPr>
          <w:rFonts w:hint="cs"/>
          <w:rtl/>
        </w:rPr>
      </w:pPr>
      <w:r>
        <w:rPr>
          <w:rFonts w:hint="cs"/>
          <w:rtl/>
        </w:rPr>
        <w:t>המתלוננת לא הביאה כל הסבר ליישוב סתירה זו בדבריה.</w:t>
      </w:r>
    </w:p>
    <w:p w14:paraId="24B7D993" w14:textId="77777777" w:rsidR="00BE53D7" w:rsidRDefault="00BE53D7">
      <w:pPr>
        <w:rPr>
          <w:rFonts w:hint="cs"/>
          <w:rtl/>
        </w:rPr>
      </w:pPr>
    </w:p>
    <w:p w14:paraId="3C229054" w14:textId="77777777" w:rsidR="00BE53D7" w:rsidRDefault="00BE53D7">
      <w:pPr>
        <w:rPr>
          <w:rFonts w:hint="cs"/>
          <w:rtl/>
        </w:rPr>
      </w:pPr>
      <w:r>
        <w:rPr>
          <w:rFonts w:hint="cs"/>
          <w:rtl/>
        </w:rPr>
        <w:t>בעדותו בפני, הכחיש הנאשם באופן גורף את גרסתה של המתלוננת:</w:t>
      </w:r>
    </w:p>
    <w:p w14:paraId="1507BBA3" w14:textId="77777777" w:rsidR="00BE53D7" w:rsidRDefault="00BE53D7">
      <w:pPr>
        <w:rPr>
          <w:rFonts w:hint="cs"/>
          <w:rtl/>
        </w:rPr>
      </w:pPr>
    </w:p>
    <w:p w14:paraId="64B61CE0" w14:textId="77777777" w:rsidR="00BE53D7" w:rsidRDefault="00BE53D7">
      <w:pPr>
        <w:ind w:firstLine="720"/>
        <w:rPr>
          <w:rFonts w:hint="cs"/>
          <w:i/>
          <w:iCs/>
          <w:rtl/>
        </w:rPr>
      </w:pPr>
      <w:r>
        <w:rPr>
          <w:rFonts w:hint="cs"/>
          <w:i/>
          <w:iCs/>
          <w:rtl/>
        </w:rPr>
        <w:t>"...כל מה שגילה אומרת עלי זה שקר, אין בדבריה כלום..."</w:t>
      </w:r>
    </w:p>
    <w:p w14:paraId="397EB436" w14:textId="77777777" w:rsidR="00BE53D7" w:rsidRDefault="00BE53D7">
      <w:pPr>
        <w:rPr>
          <w:rFonts w:hint="cs"/>
          <w:rtl/>
        </w:rPr>
      </w:pPr>
    </w:p>
    <w:p w14:paraId="4CD4589A" w14:textId="77777777" w:rsidR="00BE53D7" w:rsidRDefault="00BE53D7">
      <w:pPr>
        <w:rPr>
          <w:rFonts w:hint="cs"/>
          <w:rtl/>
        </w:rPr>
      </w:pPr>
      <w:r>
        <w:rPr>
          <w:rFonts w:hint="cs"/>
          <w:rtl/>
        </w:rPr>
        <w:t>(עמ' 19 שורה 7).</w:t>
      </w:r>
    </w:p>
    <w:p w14:paraId="0957F5BF" w14:textId="77777777" w:rsidR="00BE53D7" w:rsidRDefault="00BE53D7">
      <w:pPr>
        <w:rPr>
          <w:rFonts w:hint="cs"/>
          <w:rtl/>
        </w:rPr>
      </w:pPr>
    </w:p>
    <w:p w14:paraId="0E7B6626" w14:textId="77777777" w:rsidR="00BE53D7" w:rsidRDefault="00BE53D7">
      <w:pPr>
        <w:rPr>
          <w:rFonts w:hint="cs"/>
          <w:rtl/>
        </w:rPr>
      </w:pPr>
      <w:r>
        <w:rPr>
          <w:rFonts w:hint="cs"/>
          <w:rtl/>
        </w:rPr>
        <w:t>יצוין כבר כעת, כי מעיון בת/1, הודעתו של הנאשם מיום 30.3.06, עולה כי הנאשם כלל לא נחקר לגבי המעשים המגונים אשר לטענת המתלוננת ביצע בה הנאשם, אלא, חקירתו התמקדה רק בעבירת ההטרדה המינית אשר יוחסה לו בכתב האישום.</w:t>
      </w:r>
    </w:p>
    <w:p w14:paraId="2F0A7767" w14:textId="77777777" w:rsidR="00BE53D7" w:rsidRDefault="00BE53D7">
      <w:pPr>
        <w:rPr>
          <w:rFonts w:hint="cs"/>
          <w:rtl/>
        </w:rPr>
      </w:pPr>
    </w:p>
    <w:p w14:paraId="3F937BB7" w14:textId="77777777" w:rsidR="00BE53D7" w:rsidRDefault="00BE53D7">
      <w:pPr>
        <w:rPr>
          <w:rFonts w:hint="cs"/>
          <w:rtl/>
        </w:rPr>
      </w:pPr>
      <w:r>
        <w:rPr>
          <w:rFonts w:hint="cs"/>
          <w:rtl/>
        </w:rPr>
        <w:t>יתרה מכך, אף בחקירתו הנגדית ע"י התובע לא נחקר הנאשם על עבירה זו. ובהגינותו, ציין התובע בסיכומו כי מדובר באישום הרבה פחות מבוסס מן האישום בגין ההטרדה המינית:</w:t>
      </w:r>
    </w:p>
    <w:p w14:paraId="17FDF865" w14:textId="77777777" w:rsidR="00BE53D7" w:rsidRDefault="00BE53D7">
      <w:pPr>
        <w:rPr>
          <w:rFonts w:hint="cs"/>
          <w:rtl/>
        </w:rPr>
      </w:pPr>
    </w:p>
    <w:p w14:paraId="052EF72A" w14:textId="77777777" w:rsidR="00BE53D7" w:rsidRDefault="00BE53D7">
      <w:pPr>
        <w:ind w:left="720"/>
        <w:rPr>
          <w:rFonts w:hint="cs"/>
          <w:i/>
          <w:iCs/>
          <w:rtl/>
        </w:rPr>
      </w:pPr>
      <w:r>
        <w:rPr>
          <w:rFonts w:hint="cs"/>
          <w:i/>
          <w:iCs/>
          <w:rtl/>
        </w:rPr>
        <w:t>"... לעניין המעשים המגונים, אני מסכים שהנקודה הזו הרבה פחות מבוססת, מדובר על עדות מול עדות, הנאשם מתכחש לחלוטין בניגוד למה שנאמר כתגובתו לטענות של הטרדה מינית..."</w:t>
      </w:r>
    </w:p>
    <w:p w14:paraId="75CCA9C5" w14:textId="77777777" w:rsidR="00BE53D7" w:rsidRDefault="00BE53D7">
      <w:pPr>
        <w:rPr>
          <w:rFonts w:hint="cs"/>
          <w:rtl/>
        </w:rPr>
      </w:pPr>
    </w:p>
    <w:p w14:paraId="4799EE84" w14:textId="77777777" w:rsidR="00BE53D7" w:rsidRDefault="00BE53D7">
      <w:pPr>
        <w:rPr>
          <w:rFonts w:hint="cs"/>
          <w:rtl/>
        </w:rPr>
      </w:pPr>
      <w:r>
        <w:rPr>
          <w:rFonts w:hint="cs"/>
          <w:rtl/>
        </w:rPr>
        <w:t>(עמ' 32 שורות 15-17).</w:t>
      </w:r>
    </w:p>
    <w:p w14:paraId="776012D8" w14:textId="77777777" w:rsidR="00BE53D7" w:rsidRDefault="00BE53D7">
      <w:pPr>
        <w:rPr>
          <w:rFonts w:hint="cs"/>
          <w:rtl/>
        </w:rPr>
      </w:pPr>
    </w:p>
    <w:p w14:paraId="3BBFE0F4" w14:textId="77777777" w:rsidR="00BE53D7" w:rsidRDefault="00BE53D7">
      <w:pPr>
        <w:rPr>
          <w:rFonts w:hint="cs"/>
          <w:rtl/>
        </w:rPr>
      </w:pPr>
      <w:r>
        <w:rPr>
          <w:rFonts w:hint="cs"/>
          <w:rtl/>
        </w:rPr>
        <w:t>ואולם, על אף דברים אלו ביקש התובע להרשיע את הנאשם בעבירה זו, זאת, באמצעות קבלת גרסתה של המתלוננת אשר לטענת התובע נתמכה בתשובה שמסר הנאשם בת/1 בעמ' 2 שורות 44-46.</w:t>
      </w:r>
    </w:p>
    <w:p w14:paraId="4B25CD7A" w14:textId="77777777" w:rsidR="00BE53D7" w:rsidRDefault="00BE53D7">
      <w:pPr>
        <w:rPr>
          <w:rFonts w:hint="cs"/>
          <w:rtl/>
        </w:rPr>
      </w:pPr>
    </w:p>
    <w:p w14:paraId="04489D30" w14:textId="77777777" w:rsidR="00BE53D7" w:rsidRDefault="00BE53D7">
      <w:pPr>
        <w:rPr>
          <w:rFonts w:hint="cs"/>
          <w:rtl/>
        </w:rPr>
      </w:pPr>
      <w:r>
        <w:rPr>
          <w:rFonts w:hint="cs"/>
          <w:rtl/>
        </w:rPr>
        <w:t>התובע, מבקש לראות בתשובתו זו של הנאשם תמיכה בגרסת המתלוננת לעניין עבירת ההטרדה המינית, ובדרך היקש, מבקש התובע לקבל את גרסת המתלוננת גם לעניין עבירת המעשה המגונה.</w:t>
      </w:r>
    </w:p>
    <w:p w14:paraId="70C2E212" w14:textId="77777777" w:rsidR="00BE53D7" w:rsidRDefault="00BE53D7">
      <w:pPr>
        <w:rPr>
          <w:rFonts w:hint="cs"/>
          <w:rtl/>
        </w:rPr>
      </w:pPr>
    </w:p>
    <w:p w14:paraId="7F67D01C" w14:textId="77777777" w:rsidR="00BE53D7" w:rsidRDefault="00BE53D7">
      <w:pPr>
        <w:rPr>
          <w:rFonts w:hint="cs"/>
          <w:rtl/>
        </w:rPr>
      </w:pPr>
      <w:r>
        <w:rPr>
          <w:rFonts w:hint="cs"/>
          <w:rtl/>
        </w:rPr>
        <w:t>יאמר כבר כעת כי אין בידי לקבל טענתו זו של התובע.</w:t>
      </w:r>
    </w:p>
    <w:p w14:paraId="4CA7C0E0" w14:textId="77777777" w:rsidR="00BE53D7" w:rsidRDefault="00BE53D7">
      <w:pPr>
        <w:rPr>
          <w:rFonts w:hint="cs"/>
          <w:rtl/>
        </w:rPr>
      </w:pPr>
    </w:p>
    <w:p w14:paraId="5A9F3135" w14:textId="77777777" w:rsidR="00BE53D7" w:rsidRDefault="00BE53D7">
      <w:pPr>
        <w:rPr>
          <w:rFonts w:hint="cs"/>
          <w:rtl/>
        </w:rPr>
      </w:pPr>
      <w:r>
        <w:rPr>
          <w:rFonts w:hint="cs"/>
          <w:rtl/>
        </w:rPr>
        <w:t>כפי שיפורט בהמשך, אין בידי לקבל את פרשנותו של התובע לאמירה זו של הנאשם, ואולם, אף אם היה בידי לקבל פרשנות זו הרי שלא היה בכך כדי לסייע למאשימה בהוכחת אשמתו של הנאשם.</w:t>
      </w:r>
    </w:p>
    <w:p w14:paraId="282FA44F" w14:textId="77777777" w:rsidR="00BE53D7" w:rsidRDefault="00BE53D7">
      <w:pPr>
        <w:rPr>
          <w:rFonts w:hint="cs"/>
          <w:rtl/>
        </w:rPr>
      </w:pPr>
    </w:p>
    <w:p w14:paraId="46BF2D4F" w14:textId="77777777" w:rsidR="00BE53D7" w:rsidRDefault="00BE53D7">
      <w:pPr>
        <w:rPr>
          <w:rFonts w:hint="cs"/>
          <w:rtl/>
        </w:rPr>
      </w:pPr>
      <w:r>
        <w:rPr>
          <w:rFonts w:hint="cs"/>
          <w:rtl/>
        </w:rPr>
        <w:t>מושכל ראשון בהליך הפלילי הינו כי על המאשימה להוכיח מעבר לכל ספק סביר את אשמתו של הנאשם ביחס לכל אישום ואישום המיוחס לו.</w:t>
      </w:r>
    </w:p>
    <w:p w14:paraId="2F3A1BE6" w14:textId="77777777" w:rsidR="00BE53D7" w:rsidRDefault="00BE53D7">
      <w:pPr>
        <w:rPr>
          <w:rFonts w:hint="cs"/>
          <w:rtl/>
        </w:rPr>
      </w:pPr>
    </w:p>
    <w:p w14:paraId="634D051E" w14:textId="77777777" w:rsidR="00BE53D7" w:rsidRDefault="00BE53D7">
      <w:pPr>
        <w:rPr>
          <w:rFonts w:hint="cs"/>
          <w:rtl/>
        </w:rPr>
      </w:pPr>
      <w:r>
        <w:rPr>
          <w:rFonts w:hint="cs"/>
          <w:rtl/>
        </w:rPr>
        <w:t>על המאשימה להוכיח הן את התקיימותם של היסודות העובדתיים של העבירה המיוחסת לנאשם והן את היסודות הנפשיים, במקרה דנן, לא הרימה המאשימה נטל זה כלל ועיקר ואף לא טרחה לחקור את הנאשם ביחס לעבירה זו.</w:t>
      </w:r>
    </w:p>
    <w:p w14:paraId="1CCA4371" w14:textId="77777777" w:rsidR="00BE53D7" w:rsidRDefault="00BE53D7">
      <w:pPr>
        <w:rPr>
          <w:rFonts w:hint="cs"/>
          <w:rtl/>
        </w:rPr>
      </w:pPr>
    </w:p>
    <w:p w14:paraId="1689FCFA" w14:textId="77777777" w:rsidR="00BE53D7" w:rsidRDefault="00BE53D7">
      <w:pPr>
        <w:rPr>
          <w:rFonts w:hint="cs"/>
          <w:rtl/>
        </w:rPr>
      </w:pPr>
      <w:r>
        <w:rPr>
          <w:rFonts w:hint="cs"/>
          <w:rtl/>
        </w:rPr>
        <w:t>יתרה מכך, הסתירות אשר עליהן עמדתי בגרסתה של המתלוננת לעניין אינן מאפשרות קבלת גרסתה באופן שניתן לבסס עליה הרשעתו של הנאשם.</w:t>
      </w:r>
    </w:p>
    <w:p w14:paraId="46BABBC4" w14:textId="77777777" w:rsidR="00BE53D7" w:rsidRDefault="00BE53D7">
      <w:pPr>
        <w:rPr>
          <w:rFonts w:hint="cs"/>
          <w:rtl/>
        </w:rPr>
      </w:pPr>
    </w:p>
    <w:p w14:paraId="04C229D8" w14:textId="77777777" w:rsidR="00BE53D7" w:rsidRDefault="00BE53D7">
      <w:pPr>
        <w:rPr>
          <w:rFonts w:hint="cs"/>
          <w:rtl/>
        </w:rPr>
      </w:pPr>
      <w:r>
        <w:rPr>
          <w:rFonts w:hint="cs"/>
          <w:rtl/>
        </w:rPr>
        <w:t>לאור האמור לעיל, התוצאה היא כאמור, כי המאשימה לא הרימה את נטל ההוכחה המוטל עליה ולא הוכיחה את אשמתו של הנאשם ביחס לעבירה זו.</w:t>
      </w:r>
    </w:p>
    <w:p w14:paraId="27CBFC91" w14:textId="77777777" w:rsidR="00BE53D7" w:rsidRDefault="00BE53D7">
      <w:pPr>
        <w:rPr>
          <w:rFonts w:hint="cs"/>
          <w:rtl/>
        </w:rPr>
      </w:pPr>
    </w:p>
    <w:p w14:paraId="57A509E3" w14:textId="77777777" w:rsidR="00BE53D7" w:rsidRDefault="00BE53D7">
      <w:pPr>
        <w:rPr>
          <w:rFonts w:hint="cs"/>
          <w:rtl/>
        </w:rPr>
      </w:pPr>
      <w:r>
        <w:rPr>
          <w:rFonts w:hint="cs"/>
          <w:rtl/>
        </w:rPr>
        <w:t>כעת, אבחן את גרסאות הצדדים לעניין עבירות ההטרדה המינית.</w:t>
      </w:r>
    </w:p>
    <w:p w14:paraId="717920AE" w14:textId="77777777" w:rsidR="00BE53D7" w:rsidRDefault="00BE53D7">
      <w:pPr>
        <w:rPr>
          <w:rFonts w:hint="cs"/>
          <w:rtl/>
        </w:rPr>
      </w:pPr>
    </w:p>
    <w:p w14:paraId="4EE79D89" w14:textId="77777777" w:rsidR="00BE53D7" w:rsidRDefault="00BE53D7">
      <w:pPr>
        <w:rPr>
          <w:rFonts w:hint="cs"/>
          <w:b/>
          <w:bCs/>
          <w:u w:val="single"/>
          <w:rtl/>
        </w:rPr>
      </w:pPr>
      <w:r>
        <w:rPr>
          <w:rFonts w:hint="cs"/>
          <w:b/>
          <w:bCs/>
          <w:u w:val="single"/>
          <w:rtl/>
        </w:rPr>
        <w:t>עבירת ההטרדה המינית:</w:t>
      </w:r>
    </w:p>
    <w:p w14:paraId="26936105" w14:textId="77777777" w:rsidR="00BE53D7" w:rsidRDefault="00BE53D7">
      <w:pPr>
        <w:rPr>
          <w:rFonts w:hint="cs"/>
          <w:rtl/>
        </w:rPr>
      </w:pPr>
      <w:r>
        <w:rPr>
          <w:rFonts w:hint="cs"/>
          <w:rtl/>
        </w:rPr>
        <w:t>בעדותה בפני, ציינה המתלוננת כי לאחר כחצי שנה בה עבדה עם הנאשם החל הוא "לזרוק" לה הערות מיניות תוך שהוא מתפקע מצחוק.</w:t>
      </w:r>
    </w:p>
    <w:p w14:paraId="7EFDC4E5" w14:textId="77777777" w:rsidR="00BE53D7" w:rsidRDefault="00BE53D7">
      <w:pPr>
        <w:rPr>
          <w:rFonts w:hint="cs"/>
          <w:rtl/>
        </w:rPr>
      </w:pPr>
    </w:p>
    <w:p w14:paraId="68777B5A" w14:textId="77777777" w:rsidR="00BE53D7" w:rsidRDefault="00BE53D7">
      <w:pPr>
        <w:rPr>
          <w:rFonts w:hint="cs"/>
          <w:rtl/>
        </w:rPr>
      </w:pPr>
      <w:r>
        <w:rPr>
          <w:rFonts w:hint="cs"/>
          <w:rtl/>
        </w:rPr>
        <w:t>בהמשך דבריה, פירטה המתלוננת את אמירותיו של הנאשם:</w:t>
      </w:r>
    </w:p>
    <w:p w14:paraId="4AC416C4" w14:textId="77777777" w:rsidR="00BE53D7" w:rsidRDefault="00BE53D7">
      <w:pPr>
        <w:rPr>
          <w:rFonts w:hint="cs"/>
          <w:rtl/>
        </w:rPr>
      </w:pPr>
    </w:p>
    <w:p w14:paraId="5FAA4CB2" w14:textId="77777777" w:rsidR="00BE53D7" w:rsidRDefault="00BE53D7">
      <w:pPr>
        <w:ind w:left="720"/>
        <w:rPr>
          <w:rFonts w:hint="cs"/>
          <w:i/>
          <w:iCs/>
          <w:rtl/>
        </w:rPr>
      </w:pPr>
      <w:r>
        <w:rPr>
          <w:rFonts w:hint="cs"/>
          <w:i/>
          <w:iCs/>
          <w:rtl/>
        </w:rPr>
        <w:t>"...שאני נראית מאד חמה המיטה, מה ההתייחסויות שלי לגבי כל מיני תרגילים במיטה כמו "69"...למשל הוא היה שואל אותי איזה בגטים אני אוהבת לאכול בלילה, אם הם ארוכים או אם אני בולעת ואם הם עבים..."</w:t>
      </w:r>
    </w:p>
    <w:p w14:paraId="234D2D4B" w14:textId="77777777" w:rsidR="00BE53D7" w:rsidRDefault="00BE53D7">
      <w:pPr>
        <w:rPr>
          <w:rFonts w:hint="cs"/>
          <w:rtl/>
        </w:rPr>
      </w:pPr>
    </w:p>
    <w:p w14:paraId="62CF6DE9" w14:textId="77777777" w:rsidR="00BE53D7" w:rsidRDefault="00BE53D7">
      <w:pPr>
        <w:rPr>
          <w:rFonts w:hint="cs"/>
          <w:rtl/>
        </w:rPr>
      </w:pPr>
      <w:r>
        <w:rPr>
          <w:rFonts w:hint="cs"/>
          <w:rtl/>
        </w:rPr>
        <w:t>(עמ' 4 שורות 14-17).</w:t>
      </w:r>
    </w:p>
    <w:p w14:paraId="4AB8716A" w14:textId="77777777" w:rsidR="00BE53D7" w:rsidRDefault="00BE53D7">
      <w:pPr>
        <w:rPr>
          <w:rFonts w:hint="cs"/>
          <w:rtl/>
        </w:rPr>
      </w:pPr>
    </w:p>
    <w:p w14:paraId="20E3CD52" w14:textId="77777777" w:rsidR="00BE53D7" w:rsidRDefault="00BE53D7">
      <w:pPr>
        <w:rPr>
          <w:rFonts w:hint="cs"/>
          <w:rtl/>
        </w:rPr>
      </w:pPr>
      <w:r>
        <w:rPr>
          <w:rFonts w:hint="cs"/>
          <w:rtl/>
        </w:rPr>
        <w:t>וכן:</w:t>
      </w:r>
    </w:p>
    <w:p w14:paraId="5E488626" w14:textId="77777777" w:rsidR="00BE53D7" w:rsidRDefault="00BE53D7">
      <w:pPr>
        <w:rPr>
          <w:rFonts w:hint="cs"/>
          <w:rtl/>
        </w:rPr>
      </w:pPr>
    </w:p>
    <w:p w14:paraId="1F4F44F6" w14:textId="77777777" w:rsidR="00BE53D7" w:rsidRDefault="00BE53D7">
      <w:pPr>
        <w:ind w:firstLine="720"/>
        <w:rPr>
          <w:rFonts w:hint="cs"/>
          <w:i/>
          <w:iCs/>
          <w:rtl/>
        </w:rPr>
      </w:pPr>
      <w:r>
        <w:rPr>
          <w:rFonts w:hint="cs"/>
          <w:i/>
          <w:iCs/>
          <w:rtl/>
        </w:rPr>
        <w:t>"...את סקסית, את חמה במיטה..."</w:t>
      </w:r>
    </w:p>
    <w:p w14:paraId="3F154D16" w14:textId="77777777" w:rsidR="00BE53D7" w:rsidRDefault="00BE53D7">
      <w:pPr>
        <w:rPr>
          <w:rFonts w:hint="cs"/>
          <w:rtl/>
        </w:rPr>
      </w:pPr>
    </w:p>
    <w:p w14:paraId="2F3B15EB" w14:textId="77777777" w:rsidR="00BE53D7" w:rsidRDefault="00BE53D7">
      <w:pPr>
        <w:rPr>
          <w:rFonts w:hint="cs"/>
          <w:rtl/>
        </w:rPr>
      </w:pPr>
      <w:r>
        <w:rPr>
          <w:rFonts w:hint="cs"/>
          <w:rtl/>
        </w:rPr>
        <w:t>(עמ' 6 שורה 3).</w:t>
      </w:r>
    </w:p>
    <w:p w14:paraId="08C49272" w14:textId="77777777" w:rsidR="00BE53D7" w:rsidRDefault="00BE53D7">
      <w:pPr>
        <w:rPr>
          <w:rFonts w:hint="cs"/>
          <w:rtl/>
        </w:rPr>
      </w:pPr>
    </w:p>
    <w:p w14:paraId="7832CA1F" w14:textId="77777777" w:rsidR="00BE53D7" w:rsidRDefault="00BE53D7">
      <w:pPr>
        <w:rPr>
          <w:rFonts w:hint="cs"/>
          <w:rtl/>
        </w:rPr>
      </w:pPr>
      <w:r>
        <w:rPr>
          <w:rFonts w:hint="cs"/>
          <w:rtl/>
        </w:rPr>
        <w:t xml:space="preserve">בעדותו בפני, הכחיש הנאשם את טענות המתלוננת. </w:t>
      </w:r>
    </w:p>
    <w:p w14:paraId="4F80F5A1" w14:textId="77777777" w:rsidR="00BE53D7" w:rsidRDefault="00BE53D7">
      <w:pPr>
        <w:rPr>
          <w:rFonts w:hint="cs"/>
          <w:rtl/>
        </w:rPr>
      </w:pPr>
    </w:p>
    <w:p w14:paraId="215C10C2" w14:textId="77777777" w:rsidR="00BE53D7" w:rsidRDefault="00BE53D7">
      <w:pPr>
        <w:rPr>
          <w:rFonts w:hint="cs"/>
          <w:rtl/>
        </w:rPr>
      </w:pPr>
      <w:r>
        <w:rPr>
          <w:rFonts w:hint="cs"/>
          <w:rtl/>
        </w:rPr>
        <w:t>בת/1 עומת הנאשם עם טענותיה של המתלוננת לעניין זה:</w:t>
      </w:r>
    </w:p>
    <w:p w14:paraId="63FBB233" w14:textId="77777777" w:rsidR="00BE53D7" w:rsidRDefault="00BE53D7">
      <w:pPr>
        <w:rPr>
          <w:rFonts w:hint="cs"/>
          <w:rtl/>
        </w:rPr>
      </w:pPr>
    </w:p>
    <w:p w14:paraId="49F0328E" w14:textId="77777777" w:rsidR="00BE53D7" w:rsidRDefault="00BE53D7">
      <w:pPr>
        <w:ind w:left="720"/>
        <w:rPr>
          <w:rFonts w:hint="cs"/>
          <w:i/>
          <w:iCs/>
          <w:rtl/>
        </w:rPr>
      </w:pPr>
      <w:r>
        <w:rPr>
          <w:rFonts w:hint="cs"/>
          <w:i/>
          <w:iCs/>
          <w:rtl/>
        </w:rPr>
        <w:t>"...</w:t>
      </w:r>
      <w:r>
        <w:rPr>
          <w:rFonts w:hint="cs"/>
          <w:i/>
          <w:iCs/>
          <w:u w:val="single"/>
          <w:rtl/>
        </w:rPr>
        <w:t>שאלה</w:t>
      </w:r>
      <w:r>
        <w:rPr>
          <w:rFonts w:hint="cs"/>
          <w:i/>
          <w:iCs/>
          <w:rtl/>
        </w:rPr>
        <w:t xml:space="preserve"> לטענת גילה חצי שנה אחרי שהתחלתם לעבוד התחלת להעיר לה הערות מיניות כמו "את נראית לי חמה במיטה" "איזה אורך בגטים את אוכלת" האם זה נכון הדבר?</w:t>
      </w:r>
    </w:p>
    <w:p w14:paraId="1ED05E3C" w14:textId="77777777" w:rsidR="00BE53D7" w:rsidRDefault="00BE53D7">
      <w:pPr>
        <w:ind w:left="720"/>
        <w:rPr>
          <w:rFonts w:hint="cs"/>
          <w:i/>
          <w:iCs/>
          <w:rtl/>
        </w:rPr>
      </w:pPr>
      <w:r>
        <w:rPr>
          <w:rFonts w:hint="cs"/>
          <w:i/>
          <w:iCs/>
          <w:u w:val="single"/>
          <w:rtl/>
        </w:rPr>
        <w:t>תשובה</w:t>
      </w:r>
      <w:r>
        <w:rPr>
          <w:rFonts w:hint="cs"/>
          <w:i/>
          <w:iCs/>
          <w:rtl/>
        </w:rPr>
        <w:t xml:space="preserve"> לא נכון אם היה אופי מיני לשיחות בינינו זה היה בעידודה והסכמתה כאשר היה ברור לשנינו שזה צחוקים בלבד יתרה מזו היא כל הזמן אמרה לי אני מרגישה בטוחה איתך כי אני יודעת שאתה גבר של אישה אחת..."</w:t>
      </w:r>
    </w:p>
    <w:p w14:paraId="3ABBE5CF" w14:textId="77777777" w:rsidR="00BE53D7" w:rsidRDefault="00BE53D7">
      <w:pPr>
        <w:rPr>
          <w:rFonts w:hint="cs"/>
          <w:rtl/>
        </w:rPr>
      </w:pPr>
    </w:p>
    <w:p w14:paraId="556C1103" w14:textId="77777777" w:rsidR="00BE53D7" w:rsidRDefault="00BE53D7">
      <w:pPr>
        <w:rPr>
          <w:rFonts w:hint="cs"/>
          <w:rtl/>
        </w:rPr>
      </w:pPr>
      <w:r>
        <w:rPr>
          <w:rFonts w:hint="cs"/>
          <w:rtl/>
        </w:rPr>
        <w:t>(ת/1, עמ' 2 שורות 41-47).</w:t>
      </w:r>
    </w:p>
    <w:p w14:paraId="2DD57FA0" w14:textId="77777777" w:rsidR="00BE53D7" w:rsidRDefault="00BE53D7">
      <w:pPr>
        <w:rPr>
          <w:rFonts w:hint="cs"/>
          <w:rtl/>
        </w:rPr>
      </w:pPr>
    </w:p>
    <w:p w14:paraId="728DE74D" w14:textId="77777777" w:rsidR="00BE53D7" w:rsidRDefault="00BE53D7">
      <w:pPr>
        <w:rPr>
          <w:rFonts w:hint="cs"/>
          <w:rtl/>
        </w:rPr>
      </w:pPr>
      <w:r>
        <w:rPr>
          <w:rFonts w:hint="cs"/>
          <w:rtl/>
        </w:rPr>
        <w:t>מדבריו אלו של הנאשם, ביקש התובע להסיק כי הנאשם למעשה אישר כי אמר את האמירות המיוחסות לו בכתב האישום, וכי במילים "לא נכון" אשר אמר בפתח תשובתו, התכוון הנאשם כי הערות לא היו מיניות ולא כי לא אמר אותן.</w:t>
      </w:r>
    </w:p>
    <w:p w14:paraId="48EF6E6E" w14:textId="77777777" w:rsidR="00BE53D7" w:rsidRDefault="00BE53D7">
      <w:pPr>
        <w:rPr>
          <w:rFonts w:hint="cs"/>
          <w:rtl/>
        </w:rPr>
      </w:pPr>
    </w:p>
    <w:p w14:paraId="246C5CBC" w14:textId="77777777" w:rsidR="00BE53D7" w:rsidRDefault="00BE53D7">
      <w:pPr>
        <w:rPr>
          <w:rFonts w:hint="cs"/>
          <w:rtl/>
        </w:rPr>
      </w:pPr>
      <w:r>
        <w:rPr>
          <w:rFonts w:hint="cs"/>
          <w:rtl/>
        </w:rPr>
        <w:t>משכך, מבקש התובע לראות באמירתו זו של הנאשם כתמיכה בטענות המתלוננת לעניין ההטרדה המינית ולקבוע כי הנאשם אכן הטריד מינית את המתלוננת.</w:t>
      </w:r>
    </w:p>
    <w:p w14:paraId="6C2E6BEA" w14:textId="77777777" w:rsidR="00BE53D7" w:rsidRDefault="00BE53D7">
      <w:pPr>
        <w:rPr>
          <w:rFonts w:hint="cs"/>
          <w:rtl/>
        </w:rPr>
      </w:pPr>
    </w:p>
    <w:p w14:paraId="4BEEE51F" w14:textId="77777777" w:rsidR="00BE53D7" w:rsidRDefault="00BE53D7">
      <w:pPr>
        <w:rPr>
          <w:rFonts w:hint="cs"/>
          <w:rtl/>
        </w:rPr>
      </w:pPr>
      <w:r>
        <w:rPr>
          <w:rFonts w:hint="cs"/>
          <w:rtl/>
        </w:rPr>
        <w:t>אין בידי לקבל אף את טענתו זו של התובע.</w:t>
      </w:r>
    </w:p>
    <w:p w14:paraId="26D8AC82" w14:textId="77777777" w:rsidR="00BE53D7" w:rsidRDefault="00BE53D7">
      <w:pPr>
        <w:rPr>
          <w:rFonts w:hint="cs"/>
          <w:rtl/>
        </w:rPr>
      </w:pPr>
    </w:p>
    <w:p w14:paraId="615EAD53" w14:textId="77777777" w:rsidR="00BE53D7" w:rsidRDefault="00BE53D7">
      <w:pPr>
        <w:rPr>
          <w:rFonts w:hint="cs"/>
          <w:rtl/>
        </w:rPr>
      </w:pPr>
      <w:r>
        <w:rPr>
          <w:rFonts w:hint="cs"/>
          <w:rtl/>
        </w:rPr>
        <w:t>מתשובתו של הנאשם עולה, כי הכחיש הוא את אמירת האמרות שיוחסו לו ומיד לאחר מכן המשיך להסביר לגבי שיחות אחרות בעלות אופי מיני אשר התקיימו בינו ובין המתלוננת.</w:t>
      </w:r>
    </w:p>
    <w:p w14:paraId="082C288A" w14:textId="77777777" w:rsidR="00BE53D7" w:rsidRDefault="00BE53D7">
      <w:pPr>
        <w:rPr>
          <w:rFonts w:hint="cs"/>
          <w:rtl/>
        </w:rPr>
      </w:pPr>
    </w:p>
    <w:p w14:paraId="211BF261" w14:textId="77777777" w:rsidR="00BE53D7" w:rsidRDefault="00BE53D7">
      <w:pPr>
        <w:rPr>
          <w:rFonts w:hint="cs"/>
          <w:rtl/>
        </w:rPr>
      </w:pPr>
      <w:r>
        <w:rPr>
          <w:rFonts w:hint="cs"/>
          <w:rtl/>
        </w:rPr>
        <w:t>יתרה מכך, בהמשך עדותו הבהיר הנאשם את תשובתו זו וטען, והכחיש כי אמר את האמירות הספציפיות אשר יוחסו לו בכתב האישום.</w:t>
      </w:r>
    </w:p>
    <w:p w14:paraId="482E2836" w14:textId="77777777" w:rsidR="00BE53D7" w:rsidRDefault="00BE53D7">
      <w:pPr>
        <w:rPr>
          <w:rFonts w:hint="cs"/>
          <w:rtl/>
        </w:rPr>
      </w:pPr>
    </w:p>
    <w:p w14:paraId="2DC98991" w14:textId="77777777" w:rsidR="00BE53D7" w:rsidRDefault="00BE53D7">
      <w:pPr>
        <w:rPr>
          <w:rFonts w:hint="cs"/>
          <w:rtl/>
        </w:rPr>
      </w:pPr>
      <w:r>
        <w:rPr>
          <w:rFonts w:hint="cs"/>
          <w:rtl/>
        </w:rPr>
        <w:t>עוד ציין הנאשם כי אף אם התקיימו שיחות בעלות אופי מיני בינו ובין המתלוננת המדובר היה בדברים כלליים בלבד וללא שום התייחסות ספציפית למתלוננת או אליו:</w:t>
      </w:r>
    </w:p>
    <w:p w14:paraId="27AF535F" w14:textId="77777777" w:rsidR="00BE53D7" w:rsidRDefault="00BE53D7">
      <w:pPr>
        <w:rPr>
          <w:rFonts w:hint="cs"/>
          <w:rtl/>
        </w:rPr>
      </w:pPr>
    </w:p>
    <w:p w14:paraId="0C1E393C" w14:textId="77777777" w:rsidR="00BE53D7" w:rsidRDefault="00BE53D7">
      <w:pPr>
        <w:ind w:left="720"/>
        <w:rPr>
          <w:rFonts w:hint="cs"/>
          <w:i/>
          <w:iCs/>
          <w:rtl/>
        </w:rPr>
      </w:pPr>
      <w:r>
        <w:rPr>
          <w:rFonts w:hint="cs"/>
          <w:i/>
          <w:iCs/>
          <w:rtl/>
        </w:rPr>
        <w:t>"...לא היה שום בגטים בכל מקרה, מעולם לא דיברנו על בגטים, זו המצאה פרופר של גילה. לא היה דבר כזה של אישה חמה במיטה מעולם, לא הייתה שום שיחה שקשורה לא בנושא מיניות שלה ולא בנושא של מיניות שלי..."</w:t>
      </w:r>
    </w:p>
    <w:p w14:paraId="7E865E7A" w14:textId="77777777" w:rsidR="00BE53D7" w:rsidRDefault="00BE53D7">
      <w:pPr>
        <w:rPr>
          <w:rFonts w:hint="cs"/>
          <w:rtl/>
        </w:rPr>
      </w:pPr>
    </w:p>
    <w:p w14:paraId="03E36A8E" w14:textId="77777777" w:rsidR="00BE53D7" w:rsidRDefault="00BE53D7">
      <w:pPr>
        <w:rPr>
          <w:rFonts w:hint="cs"/>
          <w:rtl/>
        </w:rPr>
      </w:pPr>
      <w:r>
        <w:rPr>
          <w:rFonts w:hint="cs"/>
          <w:rtl/>
        </w:rPr>
        <w:t>(עמ' 23 שורות 18-20).</w:t>
      </w:r>
    </w:p>
    <w:p w14:paraId="467B835B" w14:textId="77777777" w:rsidR="00BE53D7" w:rsidRDefault="00BE53D7">
      <w:pPr>
        <w:rPr>
          <w:rFonts w:hint="cs"/>
          <w:rtl/>
        </w:rPr>
      </w:pPr>
    </w:p>
    <w:p w14:paraId="0B6B15A0" w14:textId="77777777" w:rsidR="00BE53D7" w:rsidRDefault="00BE53D7">
      <w:pPr>
        <w:rPr>
          <w:rFonts w:hint="cs"/>
          <w:rtl/>
        </w:rPr>
      </w:pPr>
      <w:r>
        <w:rPr>
          <w:rFonts w:hint="cs"/>
          <w:rtl/>
        </w:rPr>
        <w:t>בהמשך עדותו, ציין הנאשם כי המתלוננת אהבה לשוחח על מיסטיקה ועל "צחוקים" כהגדרתו בנושאים מיניים:</w:t>
      </w:r>
    </w:p>
    <w:p w14:paraId="26294D41" w14:textId="77777777" w:rsidR="00BE53D7" w:rsidRDefault="00BE53D7">
      <w:pPr>
        <w:rPr>
          <w:rFonts w:hint="cs"/>
          <w:rtl/>
        </w:rPr>
      </w:pPr>
    </w:p>
    <w:p w14:paraId="19857DF3" w14:textId="77777777" w:rsidR="00BE53D7" w:rsidRDefault="00BE53D7">
      <w:pPr>
        <w:ind w:left="720"/>
        <w:rPr>
          <w:rFonts w:hint="cs"/>
          <w:i/>
          <w:iCs/>
          <w:rtl/>
        </w:rPr>
      </w:pPr>
      <w:r>
        <w:rPr>
          <w:rFonts w:hint="cs"/>
          <w:i/>
          <w:iCs/>
          <w:rtl/>
        </w:rPr>
        <w:t>"...אני משיב אני עוסק בניהול קרוב ל- 25 שנה, במסגרת עבודתי עם אנשים בחלק קטן מהשיחות הרוב בנושא של עבודה וחלק קטן מהשיחות זה דברים בעלמא... היו אנשים שאהבו לדבר איתי על חקלאות, אנשים שאהבו לדבר איתי על פוליטיקה וכו... לגילה היו שני נושאים שמאד אהבה אחד זה הנושא המיסטי שלא קשור לעניין אבל זה תיקשור והנושא השני היה צחוקים בנושא מיני..."</w:t>
      </w:r>
    </w:p>
    <w:p w14:paraId="313D83C2" w14:textId="77777777" w:rsidR="00BE53D7" w:rsidRDefault="00BE53D7">
      <w:pPr>
        <w:rPr>
          <w:rFonts w:hint="cs"/>
          <w:rtl/>
        </w:rPr>
      </w:pPr>
    </w:p>
    <w:p w14:paraId="1FF470F6" w14:textId="77777777" w:rsidR="00BE53D7" w:rsidRDefault="00BE53D7">
      <w:pPr>
        <w:rPr>
          <w:rFonts w:hint="cs"/>
          <w:rtl/>
        </w:rPr>
      </w:pPr>
      <w:r>
        <w:rPr>
          <w:rFonts w:hint="cs"/>
          <w:rtl/>
        </w:rPr>
        <w:t>(עמ' 19 שורות 12-18).</w:t>
      </w:r>
    </w:p>
    <w:p w14:paraId="7F9E4BC7" w14:textId="77777777" w:rsidR="00BE53D7" w:rsidRDefault="00BE53D7">
      <w:pPr>
        <w:rPr>
          <w:rFonts w:hint="cs"/>
          <w:rtl/>
        </w:rPr>
      </w:pPr>
    </w:p>
    <w:p w14:paraId="76CE1D42" w14:textId="77777777" w:rsidR="00BE53D7" w:rsidRDefault="00BE53D7">
      <w:pPr>
        <w:rPr>
          <w:rFonts w:hint="cs"/>
          <w:rtl/>
        </w:rPr>
      </w:pPr>
      <w:r>
        <w:rPr>
          <w:rFonts w:hint="cs"/>
          <w:rtl/>
        </w:rPr>
        <w:t>בהמשך דבריו, ציין הנאשם מספר דוגמאות לאמירות אשר נאמרו על ידי המתלוננת כחלק משיחותיהם:</w:t>
      </w:r>
    </w:p>
    <w:p w14:paraId="5C455281" w14:textId="77777777" w:rsidR="00BE53D7" w:rsidRDefault="00BE53D7">
      <w:pPr>
        <w:rPr>
          <w:rFonts w:hint="cs"/>
          <w:rtl/>
        </w:rPr>
      </w:pPr>
    </w:p>
    <w:p w14:paraId="6A7AFD7F" w14:textId="77777777" w:rsidR="00BE53D7" w:rsidRDefault="00BE53D7">
      <w:pPr>
        <w:ind w:left="720"/>
        <w:rPr>
          <w:rFonts w:hint="cs"/>
          <w:i/>
          <w:iCs/>
          <w:rtl/>
        </w:rPr>
      </w:pPr>
      <w:r>
        <w:rPr>
          <w:rFonts w:hint="cs"/>
          <w:i/>
          <w:iCs/>
          <w:rtl/>
        </w:rPr>
        <w:t>"... אנחנו החלטנו להתקין במשרד מערכת אזעקה וגילוי אש והיא קבעה מספר הסודי של... 6969 זה מספר כמו כל המספרים יש לזה הקשר מיני..."</w:t>
      </w:r>
    </w:p>
    <w:p w14:paraId="0B5BDACA" w14:textId="77777777" w:rsidR="00BE53D7" w:rsidRDefault="00BE53D7">
      <w:pPr>
        <w:rPr>
          <w:rFonts w:hint="cs"/>
          <w:rtl/>
        </w:rPr>
      </w:pPr>
    </w:p>
    <w:p w14:paraId="5DE52F34" w14:textId="77777777" w:rsidR="00BE53D7" w:rsidRDefault="00BE53D7">
      <w:pPr>
        <w:rPr>
          <w:rFonts w:hint="cs"/>
          <w:rtl/>
        </w:rPr>
      </w:pPr>
      <w:r>
        <w:rPr>
          <w:rFonts w:hint="cs"/>
          <w:rtl/>
        </w:rPr>
        <w:t>(עמ' 19 שורות 19-20).</w:t>
      </w:r>
    </w:p>
    <w:p w14:paraId="3C50C418" w14:textId="77777777" w:rsidR="00BE53D7" w:rsidRDefault="00BE53D7">
      <w:pPr>
        <w:rPr>
          <w:rFonts w:hint="cs"/>
          <w:u w:val="single"/>
          <w:rtl/>
        </w:rPr>
      </w:pPr>
      <w:r>
        <w:rPr>
          <w:rFonts w:hint="cs"/>
          <w:rtl/>
        </w:rPr>
        <w:t xml:space="preserve"> </w:t>
      </w:r>
    </w:p>
    <w:p w14:paraId="017F9D45" w14:textId="77777777" w:rsidR="00BE53D7" w:rsidRDefault="00BE53D7">
      <w:pPr>
        <w:rPr>
          <w:rFonts w:hint="cs"/>
          <w:rtl/>
        </w:rPr>
      </w:pPr>
      <w:r>
        <w:rPr>
          <w:rFonts w:hint="cs"/>
          <w:rtl/>
        </w:rPr>
        <w:t>וכן:</w:t>
      </w:r>
    </w:p>
    <w:p w14:paraId="17C11DA9" w14:textId="77777777" w:rsidR="00BE53D7" w:rsidRDefault="00BE53D7">
      <w:pPr>
        <w:rPr>
          <w:rFonts w:hint="cs"/>
          <w:u w:val="single"/>
          <w:rtl/>
        </w:rPr>
      </w:pPr>
    </w:p>
    <w:p w14:paraId="669B9BB5" w14:textId="77777777" w:rsidR="00BE53D7" w:rsidRDefault="00BE53D7">
      <w:pPr>
        <w:ind w:left="720"/>
        <w:rPr>
          <w:rFonts w:hint="cs"/>
          <w:i/>
          <w:iCs/>
          <w:rtl/>
        </w:rPr>
      </w:pPr>
      <w:r>
        <w:rPr>
          <w:rFonts w:hint="cs"/>
          <w:i/>
          <w:iCs/>
          <w:rtl/>
        </w:rPr>
        <w:t>"... היא יחסה לעצמה היכולת לזהות איזה גבר בוגד באשתו כלשונה "אוכל בצד" ובמסגרת הזאת היא הגדירה אותי בתור גבר של אישה אחת, אמרה שאם הייתה לי הזדמנות לא הייתי יודע איך לנצל אותה..."</w:t>
      </w:r>
    </w:p>
    <w:p w14:paraId="7AB166C0" w14:textId="77777777" w:rsidR="00BE53D7" w:rsidRDefault="00BE53D7">
      <w:pPr>
        <w:rPr>
          <w:rFonts w:hint="cs"/>
          <w:rtl/>
        </w:rPr>
      </w:pPr>
    </w:p>
    <w:p w14:paraId="02BFBCCE" w14:textId="77777777" w:rsidR="00BE53D7" w:rsidRDefault="00BE53D7">
      <w:pPr>
        <w:rPr>
          <w:rFonts w:hint="cs"/>
          <w:rtl/>
        </w:rPr>
      </w:pPr>
      <w:r>
        <w:rPr>
          <w:rFonts w:hint="cs"/>
          <w:rtl/>
        </w:rPr>
        <w:t>(עמ' 20 שורות 1-3).</w:t>
      </w:r>
    </w:p>
    <w:p w14:paraId="10BAD16D" w14:textId="77777777" w:rsidR="00BE53D7" w:rsidRDefault="00BE53D7">
      <w:pPr>
        <w:rPr>
          <w:rFonts w:hint="cs"/>
          <w:rtl/>
        </w:rPr>
      </w:pPr>
    </w:p>
    <w:p w14:paraId="6A010AFA" w14:textId="77777777" w:rsidR="00BE53D7" w:rsidRDefault="00BE53D7">
      <w:pPr>
        <w:rPr>
          <w:rFonts w:hint="cs"/>
          <w:rtl/>
        </w:rPr>
      </w:pPr>
      <w:r>
        <w:rPr>
          <w:rFonts w:hint="cs"/>
          <w:rtl/>
        </w:rPr>
        <w:t>וכן בהמשך:</w:t>
      </w:r>
    </w:p>
    <w:p w14:paraId="450F1B7F" w14:textId="77777777" w:rsidR="00BE53D7" w:rsidRDefault="00BE53D7">
      <w:pPr>
        <w:rPr>
          <w:rFonts w:hint="cs"/>
          <w:rtl/>
        </w:rPr>
      </w:pPr>
    </w:p>
    <w:p w14:paraId="6F9EA895" w14:textId="77777777" w:rsidR="00BE53D7" w:rsidRDefault="00BE53D7">
      <w:pPr>
        <w:ind w:left="720"/>
        <w:rPr>
          <w:rFonts w:hint="cs"/>
          <w:i/>
          <w:iCs/>
          <w:rtl/>
        </w:rPr>
      </w:pPr>
      <w:r>
        <w:rPr>
          <w:rFonts w:hint="cs"/>
          <w:i/>
          <w:iCs/>
          <w:rtl/>
        </w:rPr>
        <w:t>"...דוגמה אחרונה זה עירבוב מיני והמיסטיקה, אני הייתי נוסע למנהל מקרקעי ישראל היו שם בחורות, היא הייתה לוחצת עלי "תלבש חולצה כתומה" כי כתום זה צבע מיני ויהיה לך יותר קל עם הבנות שעובדות שם..."</w:t>
      </w:r>
    </w:p>
    <w:p w14:paraId="34B646FA" w14:textId="77777777" w:rsidR="00BE53D7" w:rsidRDefault="00BE53D7">
      <w:pPr>
        <w:rPr>
          <w:rFonts w:hint="cs"/>
          <w:rtl/>
        </w:rPr>
      </w:pPr>
    </w:p>
    <w:p w14:paraId="4FCDBF8F" w14:textId="77777777" w:rsidR="00BE53D7" w:rsidRDefault="00BE53D7">
      <w:pPr>
        <w:rPr>
          <w:rFonts w:hint="cs"/>
          <w:rtl/>
        </w:rPr>
      </w:pPr>
      <w:r>
        <w:rPr>
          <w:rFonts w:hint="cs"/>
          <w:rtl/>
        </w:rPr>
        <w:t>(עמ' 20 שורות 3-6).</w:t>
      </w:r>
    </w:p>
    <w:p w14:paraId="233AA984" w14:textId="77777777" w:rsidR="00BE53D7" w:rsidRDefault="00BE53D7">
      <w:pPr>
        <w:rPr>
          <w:rFonts w:hint="cs"/>
          <w:rtl/>
        </w:rPr>
      </w:pPr>
      <w:r>
        <w:rPr>
          <w:rFonts w:hint="cs"/>
          <w:rtl/>
        </w:rPr>
        <w:t>אמנם, יתכן כי בין הצדדים התנהלו שיחות אחרות בעלות אופי מיני כזה או אחר, ואולם, המתלוננת מיקדה תלונתה באמירות ספציפיות אשר כאמור אמירתן על ידי הנאשם לא הוכחה כנדרש.</w:t>
      </w:r>
    </w:p>
    <w:p w14:paraId="1C85FB41" w14:textId="77777777" w:rsidR="00BE53D7" w:rsidRDefault="00BE53D7">
      <w:pPr>
        <w:rPr>
          <w:rFonts w:hint="cs"/>
          <w:u w:val="single"/>
          <w:rtl/>
        </w:rPr>
      </w:pPr>
    </w:p>
    <w:p w14:paraId="5B04BF55" w14:textId="77777777" w:rsidR="00BE53D7" w:rsidRDefault="00BE53D7">
      <w:pPr>
        <w:rPr>
          <w:rFonts w:hint="cs"/>
          <w:b/>
          <w:bCs/>
          <w:u w:val="single"/>
          <w:rtl/>
        </w:rPr>
      </w:pPr>
      <w:r>
        <w:rPr>
          <w:rFonts w:hint="cs"/>
          <w:b/>
          <w:bCs/>
          <w:u w:val="single"/>
          <w:rtl/>
        </w:rPr>
        <w:t>תגובת המתלוננת למעשי הנאשם:</w:t>
      </w:r>
    </w:p>
    <w:p w14:paraId="602D0E19" w14:textId="77777777" w:rsidR="00BE53D7" w:rsidRDefault="00BE53D7">
      <w:pPr>
        <w:rPr>
          <w:rFonts w:hint="cs"/>
          <w:rtl/>
        </w:rPr>
      </w:pPr>
      <w:r>
        <w:rPr>
          <w:rFonts w:hint="cs"/>
          <w:rtl/>
        </w:rPr>
        <w:t>ביחס לשתי העבירות אשר יוחסו לנאשם בכתב האישום, טענה המתלוננת כי נמנעה מלדרוש מן הנאשם כי יחדל ממעשיו, וזאת, בגין פחדה ממנו ומהחשש כי תיוותר ללא מקור פרנסה.</w:t>
      </w:r>
    </w:p>
    <w:p w14:paraId="3B82B657" w14:textId="77777777" w:rsidR="00BE53D7" w:rsidRDefault="00BE53D7">
      <w:pPr>
        <w:rPr>
          <w:rFonts w:hint="cs"/>
          <w:u w:val="single"/>
          <w:rtl/>
        </w:rPr>
      </w:pPr>
    </w:p>
    <w:p w14:paraId="2099F89B" w14:textId="77777777" w:rsidR="00BE53D7" w:rsidRDefault="00BE53D7">
      <w:pPr>
        <w:rPr>
          <w:rFonts w:hint="cs"/>
          <w:rtl/>
        </w:rPr>
      </w:pPr>
      <w:r>
        <w:rPr>
          <w:rFonts w:hint="cs"/>
          <w:rtl/>
        </w:rPr>
        <w:t>בסיכומיו, טען הסנגור כי אין ממש בטענת המתלוננת כי חששה מן הנאשם, ובשל פחדה זה נמנעה היא מלדרוש ממנו כי יפסיק את מעשיו. לדברי הסנגור, המתלוננת אישרה בעדותה כי בעבר ניהלה מאבק עם הנאשם על רקע ניסיונו למנות אדם אחר ואף זכתה בניצחון כאשר חברי הקיבוץ תמכו בה ובכך סיכלה את תוכנית הנאשם.</w:t>
      </w:r>
    </w:p>
    <w:p w14:paraId="4DE31359" w14:textId="77777777" w:rsidR="00BE53D7" w:rsidRDefault="00BE53D7">
      <w:pPr>
        <w:rPr>
          <w:rFonts w:hint="cs"/>
          <w:rtl/>
        </w:rPr>
      </w:pPr>
    </w:p>
    <w:p w14:paraId="1B6A0A49" w14:textId="77777777" w:rsidR="00BE53D7" w:rsidRDefault="00BE53D7">
      <w:pPr>
        <w:rPr>
          <w:rFonts w:hint="cs"/>
          <w:rtl/>
        </w:rPr>
      </w:pPr>
      <w:r>
        <w:rPr>
          <w:rFonts w:hint="cs"/>
          <w:rtl/>
        </w:rPr>
        <w:t>בחקירתה הנגדית עומתה במתלוננת עם טענתו זו של הסנגור.</w:t>
      </w:r>
    </w:p>
    <w:p w14:paraId="4E195AE6" w14:textId="77777777" w:rsidR="00BE53D7" w:rsidRDefault="00BE53D7">
      <w:pPr>
        <w:rPr>
          <w:rFonts w:hint="cs"/>
          <w:rtl/>
        </w:rPr>
      </w:pPr>
    </w:p>
    <w:p w14:paraId="3DC1153A" w14:textId="77777777" w:rsidR="00BE53D7" w:rsidRDefault="00BE53D7">
      <w:pPr>
        <w:rPr>
          <w:rFonts w:hint="cs"/>
          <w:rtl/>
        </w:rPr>
      </w:pPr>
      <w:r>
        <w:rPr>
          <w:rFonts w:hint="cs"/>
          <w:rtl/>
        </w:rPr>
        <w:t>לטענת המתלוננת, המדובר היה בצעד חריג וכי הופתעה כמה אנשים חיכו שיבוא מישהו ויפעל כנגדו:</w:t>
      </w:r>
    </w:p>
    <w:p w14:paraId="33582C96" w14:textId="77777777" w:rsidR="00BE53D7" w:rsidRDefault="00BE53D7">
      <w:pPr>
        <w:rPr>
          <w:rFonts w:hint="cs"/>
          <w:rtl/>
        </w:rPr>
      </w:pPr>
    </w:p>
    <w:p w14:paraId="58B33A27" w14:textId="77777777" w:rsidR="00BE53D7" w:rsidRDefault="00BE53D7">
      <w:pPr>
        <w:ind w:left="720"/>
        <w:rPr>
          <w:rFonts w:hint="cs"/>
          <w:i/>
          <w:iCs/>
          <w:rtl/>
        </w:rPr>
      </w:pPr>
      <w:r>
        <w:rPr>
          <w:rFonts w:hint="cs"/>
          <w:i/>
          <w:iCs/>
          <w:rtl/>
        </w:rPr>
        <w:t>"...נכון שהקיבוץ עמד מאחוריי ופשוט עצר אותו. זה היה משהו מאוד חריג והפתיע אותי כמה אנשים מחכים שמישהו יצעיד אותם מולו..."</w:t>
      </w:r>
    </w:p>
    <w:p w14:paraId="6ECAC4D4" w14:textId="77777777" w:rsidR="00BE53D7" w:rsidRDefault="00BE53D7">
      <w:pPr>
        <w:rPr>
          <w:rFonts w:hint="cs"/>
          <w:rtl/>
        </w:rPr>
      </w:pPr>
    </w:p>
    <w:p w14:paraId="73EDF0F9" w14:textId="77777777" w:rsidR="00BE53D7" w:rsidRDefault="00BE53D7">
      <w:pPr>
        <w:rPr>
          <w:rFonts w:hint="cs"/>
          <w:rtl/>
        </w:rPr>
      </w:pPr>
      <w:r>
        <w:rPr>
          <w:rFonts w:hint="cs"/>
          <w:rtl/>
        </w:rPr>
        <w:t>(עמ' 11 שורות 23-24).</w:t>
      </w:r>
    </w:p>
    <w:p w14:paraId="0A427952" w14:textId="77777777" w:rsidR="00BE53D7" w:rsidRDefault="00BE53D7">
      <w:pPr>
        <w:rPr>
          <w:rFonts w:hint="cs"/>
          <w:rtl/>
        </w:rPr>
      </w:pPr>
    </w:p>
    <w:p w14:paraId="3334F1D1" w14:textId="77777777" w:rsidR="00BE53D7" w:rsidRDefault="00BE53D7">
      <w:pPr>
        <w:rPr>
          <w:rFonts w:hint="cs"/>
          <w:rtl/>
        </w:rPr>
      </w:pPr>
      <w:r>
        <w:rPr>
          <w:rFonts w:hint="cs"/>
          <w:rtl/>
        </w:rPr>
        <w:t>יאמר כבר כעת, כי דבריה אלו של המתלוננת עומדים בסתירה ברורה לטענתה לפיה אנשי הקיבוץ תומכים ללא סייג בנאשם ואינם מוכנים להעיד כנגדו. כדבריה בהודעתה נ/6, "הוא אדם מקובל בחברה ואנשים פשוט שומרים עליו" (עמ'1 ש' 7-8).</w:t>
      </w:r>
    </w:p>
    <w:p w14:paraId="112DAD27" w14:textId="77777777" w:rsidR="00BE53D7" w:rsidRDefault="00BE53D7">
      <w:pPr>
        <w:rPr>
          <w:rFonts w:hint="cs"/>
          <w:rtl/>
        </w:rPr>
      </w:pPr>
    </w:p>
    <w:p w14:paraId="20587CEC" w14:textId="77777777" w:rsidR="00BE53D7" w:rsidRDefault="00BE53D7">
      <w:pPr>
        <w:rPr>
          <w:rFonts w:hint="cs"/>
          <w:rtl/>
        </w:rPr>
      </w:pPr>
      <w:r>
        <w:rPr>
          <w:rFonts w:hint="cs"/>
          <w:rtl/>
        </w:rPr>
        <w:t>שכן, אם אכן זהו המצב הכיצד דברים אלו מתיישבים עם טענתה לפיה הרבה אנשים מצפים ל"מנהיג" אשר יוביל אותם נגד הנאשם.</w:t>
      </w:r>
    </w:p>
    <w:p w14:paraId="7DBD35B5" w14:textId="77777777" w:rsidR="00BE53D7" w:rsidRDefault="00BE53D7">
      <w:pPr>
        <w:rPr>
          <w:rFonts w:hint="cs"/>
          <w:rtl/>
        </w:rPr>
      </w:pPr>
    </w:p>
    <w:p w14:paraId="5EC267FF" w14:textId="77777777" w:rsidR="00BE53D7" w:rsidRDefault="00BE53D7">
      <w:pPr>
        <w:rPr>
          <w:rFonts w:hint="cs"/>
          <w:rtl/>
        </w:rPr>
      </w:pPr>
      <w:r>
        <w:rPr>
          <w:rFonts w:hint="cs"/>
          <w:rtl/>
        </w:rPr>
        <w:t>עוד ציין הסנגור כי בפני המתלוננת היו אפשרויות תעסוקה אחרות, ומשכך אין ממש אף בטענתה לפיה חששה לאבד את עבודתה אם תתלונן כנגד הנאשם.</w:t>
      </w:r>
    </w:p>
    <w:p w14:paraId="631C9C98" w14:textId="77777777" w:rsidR="00BE53D7" w:rsidRDefault="00BE53D7">
      <w:pPr>
        <w:rPr>
          <w:rFonts w:hint="cs"/>
          <w:rtl/>
        </w:rPr>
      </w:pPr>
    </w:p>
    <w:p w14:paraId="5BB04FD4" w14:textId="77777777" w:rsidR="00BE53D7" w:rsidRDefault="00BE53D7">
      <w:pPr>
        <w:rPr>
          <w:rFonts w:hint="cs"/>
          <w:rtl/>
        </w:rPr>
      </w:pPr>
      <w:r>
        <w:rPr>
          <w:rFonts w:hint="cs"/>
          <w:rtl/>
        </w:rPr>
        <w:t>בחקירתה הנגדית, עומתה המתלוננת עם טענה זו וכך השיבה:</w:t>
      </w:r>
    </w:p>
    <w:p w14:paraId="15F36557" w14:textId="77777777" w:rsidR="00BE53D7" w:rsidRDefault="00BE53D7">
      <w:pPr>
        <w:rPr>
          <w:rFonts w:hint="cs"/>
          <w:rtl/>
        </w:rPr>
      </w:pPr>
    </w:p>
    <w:p w14:paraId="35836E9B" w14:textId="77777777" w:rsidR="00BE53D7" w:rsidRDefault="00BE53D7">
      <w:pPr>
        <w:ind w:firstLine="720"/>
        <w:rPr>
          <w:rFonts w:hint="cs"/>
          <w:i/>
          <w:iCs/>
          <w:rtl/>
        </w:rPr>
      </w:pPr>
      <w:r>
        <w:rPr>
          <w:rFonts w:hint="cs"/>
          <w:i/>
          <w:iCs/>
          <w:rtl/>
        </w:rPr>
        <w:t>"...שאלה: את אישרת שיכולת לעבוד בעבודה אחרת בקיבוץ.</w:t>
      </w:r>
    </w:p>
    <w:p w14:paraId="0E370C66" w14:textId="77777777" w:rsidR="00BE53D7" w:rsidRDefault="00BE53D7">
      <w:pPr>
        <w:ind w:left="720"/>
        <w:rPr>
          <w:rFonts w:hint="cs"/>
          <w:i/>
          <w:iCs/>
          <w:rtl/>
        </w:rPr>
      </w:pPr>
      <w:r>
        <w:rPr>
          <w:rFonts w:hint="cs"/>
          <w:i/>
          <w:iCs/>
          <w:rtl/>
        </w:rPr>
        <w:t>העדה: אני חושבת שחשבתי על זה. לעבוד בליין של מפעל לא רציתי, נכון ובחינוך לא היה מקום, זה היה מלא..."</w:t>
      </w:r>
    </w:p>
    <w:p w14:paraId="70E36198" w14:textId="77777777" w:rsidR="00BE53D7" w:rsidRDefault="00BE53D7">
      <w:pPr>
        <w:rPr>
          <w:rFonts w:hint="cs"/>
          <w:rtl/>
        </w:rPr>
      </w:pPr>
    </w:p>
    <w:p w14:paraId="5E23FB6E" w14:textId="77777777" w:rsidR="00BE53D7" w:rsidRDefault="00BE53D7">
      <w:pPr>
        <w:rPr>
          <w:rFonts w:hint="cs"/>
          <w:rtl/>
        </w:rPr>
      </w:pPr>
      <w:r>
        <w:rPr>
          <w:rFonts w:hint="cs"/>
          <w:rtl/>
        </w:rPr>
        <w:t>(עמ' 10 שורות 22-24).</w:t>
      </w:r>
    </w:p>
    <w:p w14:paraId="25718481" w14:textId="77777777" w:rsidR="00BE53D7" w:rsidRDefault="00BE53D7">
      <w:pPr>
        <w:rPr>
          <w:rFonts w:hint="cs"/>
          <w:rtl/>
        </w:rPr>
      </w:pPr>
    </w:p>
    <w:p w14:paraId="0EF4FEAA" w14:textId="77777777" w:rsidR="00BE53D7" w:rsidRDefault="00BE53D7">
      <w:pPr>
        <w:rPr>
          <w:rFonts w:hint="cs"/>
          <w:rtl/>
        </w:rPr>
      </w:pPr>
      <w:r>
        <w:rPr>
          <w:rFonts w:hint="cs"/>
          <w:rtl/>
        </w:rPr>
        <w:t>תמיהה נוספת אשר מצאתי בגרסת המתלוננת נוגעת לשלב בו סיימה המתלוננת לעבוד כמזכירתו של הנאשם בתחום הנדל"ן והחלה לעבוד בקניונית.</w:t>
      </w:r>
    </w:p>
    <w:p w14:paraId="67DA8344" w14:textId="77777777" w:rsidR="00BE53D7" w:rsidRDefault="00BE53D7">
      <w:pPr>
        <w:rPr>
          <w:rFonts w:hint="cs"/>
          <w:rtl/>
        </w:rPr>
      </w:pPr>
    </w:p>
    <w:p w14:paraId="44EABACB" w14:textId="77777777" w:rsidR="00BE53D7" w:rsidRDefault="00BE53D7">
      <w:pPr>
        <w:rPr>
          <w:rFonts w:hint="cs"/>
          <w:rtl/>
        </w:rPr>
      </w:pPr>
      <w:r>
        <w:rPr>
          <w:rFonts w:hint="cs"/>
          <w:rtl/>
        </w:rPr>
        <w:t>בנ/5 טענה המתלוננת כי לא רצתה לעבור לעבוד בקניונית:</w:t>
      </w:r>
    </w:p>
    <w:p w14:paraId="7C0CD795" w14:textId="77777777" w:rsidR="00BE53D7" w:rsidRDefault="00BE53D7">
      <w:pPr>
        <w:rPr>
          <w:rFonts w:hint="cs"/>
          <w:rtl/>
        </w:rPr>
      </w:pPr>
    </w:p>
    <w:p w14:paraId="13B7672B" w14:textId="77777777" w:rsidR="00BE53D7" w:rsidRDefault="00BE53D7">
      <w:pPr>
        <w:ind w:firstLine="720"/>
        <w:rPr>
          <w:rFonts w:hint="cs"/>
          <w:i/>
          <w:iCs/>
          <w:rtl/>
        </w:rPr>
      </w:pPr>
      <w:r>
        <w:rPr>
          <w:rFonts w:hint="cs"/>
          <w:i/>
          <w:iCs/>
          <w:rtl/>
        </w:rPr>
        <w:t>"...שאלה: מה זאת אומרת התנגדת למעבר מה גרם לך לעבור?</w:t>
      </w:r>
    </w:p>
    <w:p w14:paraId="7DFD8FCB" w14:textId="77777777" w:rsidR="00BE53D7" w:rsidRDefault="00BE53D7">
      <w:pPr>
        <w:ind w:left="720"/>
        <w:rPr>
          <w:rFonts w:hint="cs"/>
          <w:i/>
          <w:iCs/>
          <w:rtl/>
        </w:rPr>
      </w:pPr>
      <w:r>
        <w:rPr>
          <w:rFonts w:hint="cs"/>
          <w:i/>
          <w:iCs/>
          <w:rtl/>
        </w:rPr>
        <w:t>תשובה: אליעזר העמיד את המצב שאין מספיק עבודה בנדל"ן ושהוא רוצה אותי בקניונית ושאני טובה ומלא שבחים עליי והסיבה שבסוף גרמה לי להכנע ללחץ שלו שהוא פשוט לא יהיה צמוד אליי יותר..."</w:t>
      </w:r>
    </w:p>
    <w:p w14:paraId="03826146" w14:textId="77777777" w:rsidR="00BE53D7" w:rsidRDefault="00BE53D7">
      <w:pPr>
        <w:rPr>
          <w:rFonts w:hint="cs"/>
          <w:rtl/>
        </w:rPr>
      </w:pPr>
    </w:p>
    <w:p w14:paraId="3BDA7E17" w14:textId="77777777" w:rsidR="00BE53D7" w:rsidRDefault="00BE53D7">
      <w:pPr>
        <w:rPr>
          <w:rFonts w:hint="cs"/>
          <w:rtl/>
        </w:rPr>
      </w:pPr>
      <w:r>
        <w:rPr>
          <w:rFonts w:hint="cs"/>
          <w:rtl/>
        </w:rPr>
        <w:t>(שם, בעמ' 3 שורות 9-12).</w:t>
      </w:r>
    </w:p>
    <w:p w14:paraId="48241305" w14:textId="77777777" w:rsidR="00BE53D7" w:rsidRDefault="00BE53D7">
      <w:pPr>
        <w:rPr>
          <w:rFonts w:hint="cs"/>
          <w:rtl/>
        </w:rPr>
      </w:pPr>
    </w:p>
    <w:p w14:paraId="2AFA786A" w14:textId="77777777" w:rsidR="00BE53D7" w:rsidRDefault="00BE53D7">
      <w:pPr>
        <w:rPr>
          <w:rFonts w:hint="cs"/>
          <w:rtl/>
        </w:rPr>
      </w:pPr>
      <w:r>
        <w:rPr>
          <w:rFonts w:hint="cs"/>
          <w:rtl/>
        </w:rPr>
        <w:t>ואולם, אם אכן סברה המתלוננת כי מעבר זה ירחיק את הנאשם ממנה, הגם שלא זו הייתה התוצאה בסופו של דבר, מדוע התנגדה מלכתחילה למעבר? ומדוע נדרש לחץ מצידו של הנאשם לביצוע מעבר זה?</w:t>
      </w:r>
    </w:p>
    <w:p w14:paraId="65EA4CED" w14:textId="77777777" w:rsidR="00BE53D7" w:rsidRDefault="00BE53D7">
      <w:pPr>
        <w:rPr>
          <w:rFonts w:hint="cs"/>
          <w:rtl/>
        </w:rPr>
      </w:pPr>
    </w:p>
    <w:p w14:paraId="689618CE" w14:textId="77777777" w:rsidR="00BE53D7" w:rsidRDefault="00BE53D7">
      <w:pPr>
        <w:rPr>
          <w:rFonts w:hint="cs"/>
          <w:rtl/>
        </w:rPr>
      </w:pPr>
      <w:r>
        <w:rPr>
          <w:rFonts w:hint="cs"/>
          <w:rtl/>
        </w:rPr>
        <w:t>המתלוננת לא סיפקה הסבר מניח את הדעת לכך. אמנם טענה היא כי ידעה שהנאשם עתיד להתמנות לתפקיד אחר, ואולם, אין בכך כדי להסביר את הימנעותה מן העבר בשלב בו רצונה היה להתרחק מן הנאשם.</w:t>
      </w:r>
    </w:p>
    <w:p w14:paraId="61428893" w14:textId="77777777" w:rsidR="00BE53D7" w:rsidRDefault="00BE53D7">
      <w:pPr>
        <w:rPr>
          <w:rFonts w:hint="cs"/>
          <w:u w:val="single"/>
          <w:rtl/>
        </w:rPr>
      </w:pPr>
    </w:p>
    <w:p w14:paraId="507E6544" w14:textId="77777777" w:rsidR="00BE53D7" w:rsidRDefault="00BE53D7">
      <w:pPr>
        <w:rPr>
          <w:rFonts w:hint="cs"/>
          <w:b/>
          <w:bCs/>
          <w:u w:val="single"/>
          <w:rtl/>
        </w:rPr>
      </w:pPr>
      <w:r>
        <w:rPr>
          <w:rFonts w:hint="cs"/>
          <w:b/>
          <w:bCs/>
          <w:u w:val="single"/>
          <w:rtl/>
        </w:rPr>
        <w:t>סיכום ומסקנות:</w:t>
      </w:r>
    </w:p>
    <w:p w14:paraId="1BFFB0D4" w14:textId="77777777" w:rsidR="00BE53D7" w:rsidRDefault="00BE53D7">
      <w:pPr>
        <w:rPr>
          <w:rFonts w:hint="cs"/>
          <w:rtl/>
        </w:rPr>
      </w:pPr>
      <w:r>
        <w:rPr>
          <w:rFonts w:hint="cs"/>
          <w:rtl/>
        </w:rPr>
        <w:t>כפי שצוין לעיל, לא עלה בידי המאשימה להוכיח במידת ההוכחה הנדרשת את אשמתו של הנאשם ביחס לעבירות אשר יוחסו לו בכתב האישום.</w:t>
      </w:r>
    </w:p>
    <w:p w14:paraId="3B2F87AA" w14:textId="77777777" w:rsidR="00BE53D7" w:rsidRDefault="00BE53D7">
      <w:pPr>
        <w:rPr>
          <w:rFonts w:hint="cs"/>
          <w:u w:val="single"/>
          <w:rtl/>
        </w:rPr>
      </w:pPr>
    </w:p>
    <w:p w14:paraId="297445A6" w14:textId="77777777" w:rsidR="00BE53D7" w:rsidRDefault="00BE53D7">
      <w:pPr>
        <w:rPr>
          <w:rFonts w:hint="cs"/>
          <w:rtl/>
        </w:rPr>
      </w:pPr>
      <w:r>
        <w:rPr>
          <w:rFonts w:hint="cs"/>
          <w:rtl/>
        </w:rPr>
        <w:t>המאשימה לא הביאה כל ראיה לתמיכה בגרסתה של המתלוננת אשר כפי שפורט בהרחבה לעיל הייתה רצופת סתירות.</w:t>
      </w:r>
    </w:p>
    <w:p w14:paraId="6CA0B051" w14:textId="77777777" w:rsidR="00BE53D7" w:rsidRDefault="00BE53D7">
      <w:pPr>
        <w:rPr>
          <w:rFonts w:hint="cs"/>
          <w:rtl/>
        </w:rPr>
      </w:pPr>
    </w:p>
    <w:p w14:paraId="6B990A69" w14:textId="77777777" w:rsidR="00BE53D7" w:rsidRDefault="00BE53D7">
      <w:pPr>
        <w:rPr>
          <w:rFonts w:hint="cs"/>
          <w:color w:val="FFFFFF"/>
          <w:sz w:val="2"/>
          <w:szCs w:val="2"/>
          <w:rtl/>
        </w:rPr>
      </w:pPr>
    </w:p>
    <w:p w14:paraId="69314911" w14:textId="77777777" w:rsidR="00BE53D7" w:rsidRDefault="00BE53D7">
      <w:pPr>
        <w:rPr>
          <w:color w:val="FFFFFF"/>
          <w:sz w:val="2"/>
          <w:szCs w:val="2"/>
          <w:rtl/>
        </w:rPr>
      </w:pPr>
      <w:r>
        <w:rPr>
          <w:color w:val="FFFFFF"/>
          <w:sz w:val="2"/>
          <w:szCs w:val="2"/>
          <w:rtl/>
        </w:rPr>
        <w:t>5129371</w:t>
      </w:r>
    </w:p>
    <w:p w14:paraId="22CCF2CF" w14:textId="77777777" w:rsidR="00BE53D7" w:rsidRDefault="00BE53D7">
      <w:pPr>
        <w:rPr>
          <w:rFonts w:hint="cs"/>
          <w:rtl/>
        </w:rPr>
      </w:pPr>
      <w:r>
        <w:rPr>
          <w:color w:val="FFFFFF"/>
          <w:sz w:val="2"/>
          <w:szCs w:val="2"/>
          <w:rtl/>
        </w:rPr>
        <w:t>54678313</w:t>
      </w:r>
      <w:r>
        <w:rPr>
          <w:rFonts w:hint="cs"/>
          <w:rtl/>
        </w:rPr>
        <w:t>לנוכח סתירות אלו בגרסת המתלוננת, הרי, שאין בידי לקבל את גרסת המתלוננת ונותר בליבי ספק ביחס לנכונות גרסתה זו.</w:t>
      </w:r>
    </w:p>
    <w:p w14:paraId="2B8BBCAD" w14:textId="77777777" w:rsidR="00BE53D7" w:rsidRDefault="00BE53D7">
      <w:pPr>
        <w:rPr>
          <w:rFonts w:hint="cs"/>
          <w:rtl/>
        </w:rPr>
      </w:pPr>
    </w:p>
    <w:p w14:paraId="2AD20BA5" w14:textId="77777777" w:rsidR="00BE53D7" w:rsidRDefault="00BE53D7">
      <w:pPr>
        <w:rPr>
          <w:rFonts w:hint="cs"/>
          <w:rtl/>
        </w:rPr>
      </w:pPr>
      <w:r>
        <w:rPr>
          <w:rFonts w:hint="cs"/>
          <w:rtl/>
        </w:rPr>
        <w:t>משכך, התוצאה היא כאמור לעיל, כי הנני מזכה את הנאשם מן העבירות אשר יוחסו לו בכתב האישום, וזאת, מחמת הספק.</w:t>
      </w:r>
    </w:p>
    <w:p w14:paraId="571587C4" w14:textId="77777777" w:rsidR="00BE53D7" w:rsidRDefault="00BE53D7">
      <w:pPr>
        <w:rPr>
          <w:rFonts w:hint="cs"/>
          <w:color w:val="FFFFFF"/>
          <w:sz w:val="2"/>
          <w:szCs w:val="2"/>
          <w:rtl/>
        </w:rPr>
      </w:pPr>
    </w:p>
    <w:p w14:paraId="70064756" w14:textId="77777777" w:rsidR="00BE53D7" w:rsidRDefault="00BE53D7">
      <w:pPr>
        <w:rPr>
          <w:color w:val="FFFFFF"/>
          <w:sz w:val="2"/>
          <w:szCs w:val="2"/>
          <w:rtl/>
        </w:rPr>
      </w:pPr>
      <w:r>
        <w:rPr>
          <w:color w:val="FFFFFF"/>
          <w:sz w:val="2"/>
          <w:szCs w:val="2"/>
          <w:rtl/>
        </w:rPr>
        <w:t>5129371</w:t>
      </w:r>
    </w:p>
    <w:p w14:paraId="3BEBA5FA" w14:textId="77777777" w:rsidR="00BE53D7" w:rsidRDefault="00BE53D7">
      <w:pPr>
        <w:rPr>
          <w:rFonts w:hint="cs"/>
          <w:rtl/>
        </w:rPr>
      </w:pPr>
      <w:r>
        <w:rPr>
          <w:color w:val="FFFFFF"/>
          <w:sz w:val="2"/>
          <w:szCs w:val="2"/>
          <w:rtl/>
        </w:rPr>
        <w:t>54678313</w:t>
      </w:r>
      <w:r>
        <w:rPr>
          <w:rFonts w:hint="cs"/>
          <w:rtl/>
        </w:rPr>
        <w:t xml:space="preserve">  </w:t>
      </w:r>
    </w:p>
    <w:p w14:paraId="5A4B4BD9" w14:textId="77777777" w:rsidR="00BE53D7" w:rsidRDefault="00BE53D7">
      <w:pPr>
        <w:keepNext/>
        <w:jc w:val="left"/>
        <w:rPr>
          <w:rFonts w:hAnsi="David"/>
          <w:color w:val="000000"/>
          <w:szCs w:val="22"/>
          <w:rtl/>
        </w:rPr>
      </w:pPr>
      <w:bookmarkStart w:id="11" w:name="Decision1"/>
    </w:p>
    <w:p w14:paraId="15A9B07B" w14:textId="77777777" w:rsidR="00BE53D7" w:rsidRDefault="00BE53D7">
      <w:pPr>
        <w:keepNext/>
        <w:jc w:val="left"/>
        <w:rPr>
          <w:rFonts w:hAnsi="David"/>
          <w:color w:val="000000"/>
          <w:szCs w:val="22"/>
          <w:rtl/>
        </w:rPr>
      </w:pPr>
    </w:p>
    <w:p w14:paraId="29E420B2" w14:textId="77777777" w:rsidR="00BE53D7" w:rsidRDefault="00BE53D7">
      <w:pPr>
        <w:keepNext/>
        <w:jc w:val="left"/>
        <w:rPr>
          <w:rFonts w:hAnsi="David"/>
          <w:color w:val="000000"/>
          <w:szCs w:val="22"/>
          <w:rtl/>
        </w:rPr>
      </w:pPr>
      <w:r>
        <w:rPr>
          <w:rFonts w:hAnsi="David"/>
          <w:color w:val="000000"/>
          <w:szCs w:val="22"/>
          <w:rtl/>
        </w:rPr>
        <w:t>פיילס בן 54678313-1880/06</w:t>
      </w:r>
    </w:p>
    <w:p w14:paraId="2FC7277A" w14:textId="77777777" w:rsidR="00BE53D7" w:rsidRDefault="00BE53D7">
      <w:pPr>
        <w:rPr>
          <w:rFonts w:hint="cs"/>
          <w:sz w:val="28"/>
          <w:rtl/>
        </w:rPr>
      </w:pPr>
      <w:r>
        <w:rPr>
          <w:b/>
          <w:bCs/>
          <w:sz w:val="28"/>
          <w:rtl/>
        </w:rPr>
        <w:t xml:space="preserve">ניתנה היום כ"ד בניסן, תשס"ז (12 באפריל 2007) במעמד הנוכחים. </w:t>
      </w:r>
    </w:p>
    <w:tbl>
      <w:tblPr>
        <w:tblW w:w="0" w:type="auto"/>
        <w:tblInd w:w="657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44"/>
      </w:tblGrid>
      <w:tr w:rsidR="00BE53D7" w14:paraId="397165BD" w14:textId="77777777">
        <w:tc>
          <w:tcPr>
            <w:tcW w:w="1951" w:type="dxa"/>
            <w:tcBorders>
              <w:top w:val="single" w:sz="4" w:space="0" w:color="auto"/>
              <w:left w:val="nil"/>
              <w:bottom w:val="nil"/>
              <w:right w:val="nil"/>
            </w:tcBorders>
          </w:tcPr>
          <w:p w14:paraId="064252DC" w14:textId="77777777" w:rsidR="00BE53D7" w:rsidRDefault="00BE53D7">
            <w:pPr>
              <w:rPr>
                <w:b/>
                <w:bCs/>
                <w:sz w:val="28"/>
              </w:rPr>
            </w:pPr>
            <w:r>
              <w:rPr>
                <w:rFonts w:hint="cs"/>
                <w:b/>
                <w:bCs/>
                <w:sz w:val="28"/>
                <w:rtl/>
              </w:rPr>
              <w:t>בן פיילס, שופט</w:t>
            </w:r>
          </w:p>
        </w:tc>
      </w:tr>
    </w:tbl>
    <w:bookmarkEnd w:id="11"/>
    <w:p w14:paraId="4E58D6C1" w14:textId="77777777" w:rsidR="00BE53D7" w:rsidRDefault="00BE53D7">
      <w:pPr>
        <w:jc w:val="left"/>
        <w:rPr>
          <w:rFonts w:hint="cs"/>
          <w:b/>
          <w:bCs/>
          <w:color w:val="000000"/>
          <w:rtl/>
        </w:rPr>
      </w:pPr>
      <w:r>
        <w:rPr>
          <w:rFonts w:hint="cs"/>
          <w:b/>
          <w:bCs/>
          <w:rtl/>
        </w:rPr>
        <w:t>001880/06פ  112 שרית כהן</w:t>
      </w:r>
    </w:p>
    <w:p w14:paraId="413394D0" w14:textId="77777777" w:rsidR="00BE53D7" w:rsidRDefault="00BE53D7">
      <w:pPr>
        <w:jc w:val="left"/>
        <w:rPr>
          <w:b/>
          <w:bCs/>
          <w:color w:val="000000"/>
          <w:rtl/>
        </w:rPr>
      </w:pPr>
      <w:r>
        <w:rPr>
          <w:b/>
          <w:bCs/>
          <w:color w:val="000000"/>
          <w:rtl/>
        </w:rPr>
        <w:t>נוסח מסמך זה כפוף לשינויי ניסוח ועריכה</w:t>
      </w:r>
    </w:p>
    <w:sectPr w:rsidR="00BE53D7">
      <w:headerReference w:type="even" r:id="rId22"/>
      <w:headerReference w:type="default" r:id="rId23"/>
      <w:footerReference w:type="even" r:id="rId24"/>
      <w:footerReference w:type="default" r:id="rId2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EFC7" w14:textId="77777777" w:rsidR="00F92A10" w:rsidRDefault="00F92A10">
      <w:r>
        <w:separator/>
      </w:r>
    </w:p>
  </w:endnote>
  <w:endnote w:type="continuationSeparator" w:id="0">
    <w:p w14:paraId="0977CAA5" w14:textId="77777777" w:rsidR="00F92A10" w:rsidRDefault="00F9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69CF" w14:textId="77777777" w:rsidR="003A778F" w:rsidRDefault="003A778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407D91B" w14:textId="77777777" w:rsidR="003A778F" w:rsidRDefault="003A778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20AF68" w14:textId="77777777" w:rsidR="003A778F" w:rsidRDefault="003A778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C:\nevo\2007-04-12 - 498 orly\s06001880-272.doc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9B9C" w14:textId="77777777" w:rsidR="003A778F" w:rsidRDefault="003A778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B4E17">
      <w:rPr>
        <w:rFonts w:hAnsi="FrankRuehl" w:cs="FrankRuehl"/>
        <w:noProof/>
        <w:sz w:val="24"/>
        <w:rtl/>
      </w:rPr>
      <w:t>1</w:t>
    </w:r>
    <w:r>
      <w:rPr>
        <w:rFonts w:hAnsi="FrankRuehl" w:cs="FrankRuehl"/>
        <w:sz w:val="24"/>
        <w:rtl/>
      </w:rPr>
      <w:fldChar w:fldCharType="end"/>
    </w:r>
  </w:p>
  <w:p w14:paraId="64BD9280" w14:textId="77777777" w:rsidR="003A778F" w:rsidRDefault="003A778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AA28BE" w14:textId="77777777" w:rsidR="003A778F" w:rsidRDefault="003A778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C:\nevo\2007-04-12 - 498 orly\s06001880-272.doc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BC36" w14:textId="77777777" w:rsidR="00F92A10" w:rsidRDefault="00F92A10">
      <w:r>
        <w:separator/>
      </w:r>
    </w:p>
  </w:footnote>
  <w:footnote w:type="continuationSeparator" w:id="0">
    <w:p w14:paraId="7373ED23" w14:textId="77777777" w:rsidR="00F92A10" w:rsidRDefault="00F92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88D5" w14:textId="77777777" w:rsidR="003A778F" w:rsidRDefault="003A778F">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(צפת) 1880/06</w:t>
    </w:r>
    <w:r>
      <w:rPr>
        <w:rFonts w:hAnsi="David"/>
        <w:color w:val="000000"/>
        <w:szCs w:val="22"/>
        <w:rtl/>
      </w:rPr>
      <w:tab/>
      <w:t xml:space="preserve"> מדינת ישראל נ' חודורוב אליעזר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C5E8" w14:textId="77777777" w:rsidR="003A778F" w:rsidRDefault="003A778F">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(צפת) 1880/06</w:t>
    </w:r>
    <w:r>
      <w:rPr>
        <w:rFonts w:hAnsi="David"/>
        <w:color w:val="000000"/>
        <w:szCs w:val="22"/>
        <w:rtl/>
      </w:rPr>
      <w:tab/>
      <w:t xml:space="preserve"> מדינת ישראל נ' חודורוב אליעזר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E53D7"/>
    <w:rsid w:val="00015622"/>
    <w:rsid w:val="000E375A"/>
    <w:rsid w:val="00396F52"/>
    <w:rsid w:val="003A778F"/>
    <w:rsid w:val="00BB4E17"/>
    <w:rsid w:val="00BE53D7"/>
    <w:rsid w:val="00C7054F"/>
    <w:rsid w:val="00E05F6E"/>
    <w:rsid w:val="00F92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C9D40D"/>
  <w15:chartTrackingRefBased/>
  <w15:docId w15:val="{DC803B7E-3FF4-4AAA-8FD5-B568F89F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6"/>
      <w:szCs w:val="26"/>
      <w:u w:val="single"/>
    </w:rPr>
  </w:style>
  <w:style w:type="paragraph" w:styleId="Heading5">
    <w:name w:val="heading 5"/>
    <w:basedOn w:val="Normal"/>
    <w:next w:val="Normal"/>
    <w:qFormat/>
    <w:pPr>
      <w:keepNext/>
      <w:outlineLvl w:val="4"/>
    </w:pPr>
    <w:rPr>
      <w:b/>
      <w:bCs/>
      <w:sz w:val="26"/>
      <w:szCs w:val="26"/>
      <w:u w:val="single"/>
    </w:rPr>
  </w:style>
  <w:style w:type="paragraph" w:styleId="Heading6">
    <w:name w:val="heading 6"/>
    <w:basedOn w:val="Normal"/>
    <w:next w:val="Normal"/>
    <w:qFormat/>
    <w:pPr>
      <w:keepNext/>
      <w:spacing w:line="240" w:lineRule="auto"/>
      <w:outlineLvl w:val="5"/>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styleId="Title">
    <w:name w:val="Title"/>
    <w:basedOn w:val="Normal"/>
    <w:qFormat/>
    <w:pPr>
      <w:spacing w:line="240" w:lineRule="auto"/>
      <w:jc w:val="center"/>
    </w:pPr>
    <w:rPr>
      <w:b/>
      <w:bCs/>
      <w:sz w:val="28"/>
      <w:u w:val="single"/>
    </w:rPr>
  </w:style>
  <w:style w:type="paragraph" w:styleId="BodyText">
    <w:name w:val="Body Text"/>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70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 TargetMode="External"/><Relationship Id="rId13" Type="http://schemas.openxmlformats.org/officeDocument/2006/relationships/hyperlink" Target="http://www.nevo.co.il/law/98569/53" TargetMode="External"/><Relationship Id="rId18" Type="http://schemas.openxmlformats.org/officeDocument/2006/relationships/hyperlink" Target="http://www.nevo.co.il/law/7250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98569/54a" TargetMode="External"/><Relationship Id="rId7" Type="http://schemas.openxmlformats.org/officeDocument/2006/relationships/hyperlink" Target="http://www.nevo.co.il/law/70301/348.e"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2507/3.a.4.;6.c.;5.a"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6.c."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8.e" TargetMode="External"/><Relationship Id="rId23" Type="http://schemas.openxmlformats.org/officeDocument/2006/relationships/header" Target="header2.xml"/><Relationship Id="rId10" Type="http://schemas.openxmlformats.org/officeDocument/2006/relationships/hyperlink" Target="http://www.nevo.co.il/law/72507/5.a" TargetMode="External"/><Relationship Id="rId19" Type="http://schemas.openxmlformats.org/officeDocument/2006/relationships/hyperlink" Target="http://www.nevo.co.il/law/98569/53" TargetMode="External"/><Relationship Id="rId4" Type="http://schemas.openxmlformats.org/officeDocument/2006/relationships/footnotes" Target="footnotes.xml"/><Relationship Id="rId9" Type="http://schemas.openxmlformats.org/officeDocument/2006/relationships/hyperlink" Target="http://www.nevo.co.il/law/72507/3.a.4." TargetMode="External"/><Relationship Id="rId14" Type="http://schemas.openxmlformats.org/officeDocument/2006/relationships/hyperlink" Target="http://www.nevo.co.il/law/98569/54a"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3257</Words>
  <Characters>18565</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21779</CharactersWithSpaces>
  <SharedDoc>false</SharedDoc>
  <HLinks>
    <vt:vector size="96" baseType="variant">
      <vt:variant>
        <vt:i4>7274592</vt:i4>
      </vt:variant>
      <vt:variant>
        <vt:i4>45</vt:i4>
      </vt:variant>
      <vt:variant>
        <vt:i4>0</vt:i4>
      </vt:variant>
      <vt:variant>
        <vt:i4>5</vt:i4>
      </vt:variant>
      <vt:variant>
        <vt:lpwstr>http://www.nevo.co.il/law/98569/54a</vt:lpwstr>
      </vt:variant>
      <vt:variant>
        <vt:lpwstr/>
      </vt:variant>
      <vt:variant>
        <vt:i4>7602284</vt:i4>
      </vt:variant>
      <vt:variant>
        <vt:i4>42</vt:i4>
      </vt:variant>
      <vt:variant>
        <vt:i4>0</vt:i4>
      </vt:variant>
      <vt:variant>
        <vt:i4>5</vt:i4>
      </vt:variant>
      <vt:variant>
        <vt:lpwstr>http://www.nevo.co.il/law/98569</vt:lpwstr>
      </vt:variant>
      <vt:variant>
        <vt:lpwstr/>
      </vt:variant>
      <vt:variant>
        <vt:i4>6815840</vt:i4>
      </vt:variant>
      <vt:variant>
        <vt:i4>39</vt:i4>
      </vt:variant>
      <vt:variant>
        <vt:i4>0</vt:i4>
      </vt:variant>
      <vt:variant>
        <vt:i4>5</vt:i4>
      </vt:variant>
      <vt:variant>
        <vt:lpwstr>http://www.nevo.co.il/law/98569/53</vt:lpwstr>
      </vt:variant>
      <vt:variant>
        <vt:lpwstr/>
      </vt:variant>
      <vt:variant>
        <vt:i4>7864418</vt:i4>
      </vt:variant>
      <vt:variant>
        <vt:i4>36</vt:i4>
      </vt:variant>
      <vt:variant>
        <vt:i4>0</vt:i4>
      </vt:variant>
      <vt:variant>
        <vt:i4>5</vt:i4>
      </vt:variant>
      <vt:variant>
        <vt:lpwstr>http://www.nevo.co.il/law/72507</vt:lpwstr>
      </vt:variant>
      <vt:variant>
        <vt:lpwstr/>
      </vt:variant>
      <vt:variant>
        <vt:i4>3735613</vt:i4>
      </vt:variant>
      <vt:variant>
        <vt:i4>33</vt:i4>
      </vt:variant>
      <vt:variant>
        <vt:i4>0</vt:i4>
      </vt:variant>
      <vt:variant>
        <vt:i4>5</vt:i4>
      </vt:variant>
      <vt:variant>
        <vt:lpwstr>http://www.nevo.co.il/law/72507/3.a.4.;6.c.;5.a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http://www.nevo.co.il/law/70301/348.e</vt:lpwstr>
      </vt:variant>
      <vt:variant>
        <vt:lpwstr/>
      </vt:variant>
      <vt:variant>
        <vt:i4>7274592</vt:i4>
      </vt:variant>
      <vt:variant>
        <vt:i4>24</vt:i4>
      </vt:variant>
      <vt:variant>
        <vt:i4>0</vt:i4>
      </vt:variant>
      <vt:variant>
        <vt:i4>5</vt:i4>
      </vt:variant>
      <vt:variant>
        <vt:lpwstr>http://www.nevo.co.il/law/98569/54a</vt:lpwstr>
      </vt:variant>
      <vt:variant>
        <vt:lpwstr/>
      </vt:variant>
      <vt:variant>
        <vt:i4>6815840</vt:i4>
      </vt:variant>
      <vt:variant>
        <vt:i4>21</vt:i4>
      </vt:variant>
      <vt:variant>
        <vt:i4>0</vt:i4>
      </vt:variant>
      <vt:variant>
        <vt:i4>5</vt:i4>
      </vt:variant>
      <vt:variant>
        <vt:lpwstr>http://www.nevo.co.il/law/98569/53</vt:lpwstr>
      </vt:variant>
      <vt:variant>
        <vt:lpwstr/>
      </vt:variant>
      <vt:variant>
        <vt:i4>7602284</vt:i4>
      </vt:variant>
      <vt:variant>
        <vt:i4>18</vt:i4>
      </vt:variant>
      <vt:variant>
        <vt:i4>0</vt:i4>
      </vt:variant>
      <vt:variant>
        <vt:i4>5</vt:i4>
      </vt:variant>
      <vt:variant>
        <vt:lpwstr>http://www.nevo.co.il/law/98569</vt:lpwstr>
      </vt:variant>
      <vt:variant>
        <vt:lpwstr/>
      </vt:variant>
      <vt:variant>
        <vt:i4>5701632</vt:i4>
      </vt:variant>
      <vt:variant>
        <vt:i4>15</vt:i4>
      </vt:variant>
      <vt:variant>
        <vt:i4>0</vt:i4>
      </vt:variant>
      <vt:variant>
        <vt:i4>5</vt:i4>
      </vt:variant>
      <vt:variant>
        <vt:lpwstr>http://www.nevo.co.il/law/72507/6.c.</vt:lpwstr>
      </vt:variant>
      <vt:variant>
        <vt:lpwstr/>
      </vt:variant>
      <vt:variant>
        <vt:i4>7929952</vt:i4>
      </vt:variant>
      <vt:variant>
        <vt:i4>12</vt:i4>
      </vt:variant>
      <vt:variant>
        <vt:i4>0</vt:i4>
      </vt:variant>
      <vt:variant>
        <vt:i4>5</vt:i4>
      </vt:variant>
      <vt:variant>
        <vt:lpwstr>http://www.nevo.co.il/law/72507/5.a</vt:lpwstr>
      </vt:variant>
      <vt:variant>
        <vt:lpwstr/>
      </vt:variant>
      <vt:variant>
        <vt:i4>7929907</vt:i4>
      </vt:variant>
      <vt:variant>
        <vt:i4>9</vt:i4>
      </vt:variant>
      <vt:variant>
        <vt:i4>0</vt:i4>
      </vt:variant>
      <vt:variant>
        <vt:i4>5</vt:i4>
      </vt:variant>
      <vt:variant>
        <vt:lpwstr>http://www.nevo.co.il/law/72507/3.a.4.</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1880</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חודורוב אליעזר</vt:lpwstr>
  </property>
  <property fmtid="{D5CDD505-2E9C-101B-9397-08002B2CF9AE}" pid="9" name="LAWYER">
    <vt:lpwstr/>
  </property>
  <property fmtid="{D5CDD505-2E9C-101B-9397-08002B2CF9AE}" pid="10" name="JUDGE">
    <vt:lpwstr>פיילס בן</vt:lpwstr>
  </property>
  <property fmtid="{D5CDD505-2E9C-101B-9397-08002B2CF9AE}" pid="11" name="CITY">
    <vt:lpwstr>צפת</vt:lpwstr>
  </property>
  <property fmtid="{D5CDD505-2E9C-101B-9397-08002B2CF9AE}" pid="12" name="DATE">
    <vt:lpwstr>20070412</vt:lpwstr>
  </property>
  <property fmtid="{D5CDD505-2E9C-101B-9397-08002B2CF9AE}" pid="13" name="WORDNUMPAGES">
    <vt:lpwstr>19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CASENOTES1">
    <vt:lpwstr>ProcID=213&amp;PartA=27&amp;PartC=28</vt:lpwstr>
  </property>
  <property fmtid="{D5CDD505-2E9C-101B-9397-08002B2CF9AE}" pid="33" name="CASENOTES2">
    <vt:lpwstr>ProcID=213&amp;PartA=18&amp;PartC=19</vt:lpwstr>
  </property>
  <property fmtid="{D5CDD505-2E9C-101B-9397-08002B2CF9AE}" pid="34" name="CASENOTES3">
    <vt:lpwstr>ProcID=213&amp;PartA=12&amp;PartC=13</vt:lpwstr>
  </property>
  <property fmtid="{D5CDD505-2E9C-101B-9397-08002B2CF9AE}" pid="35" name="CASENOTES4">
    <vt:lpwstr>ProcID=213&amp;PartA=10&amp;PartC=12</vt:lpwstr>
  </property>
  <property fmtid="{D5CDD505-2E9C-101B-9397-08002B2CF9AE}" pid="36" name="CASENOTES5">
    <vt:lpwstr>ProcID=213&amp;PartA=18&amp;PartC=21</vt:lpwstr>
  </property>
  <property fmtid="{D5CDD505-2E9C-101B-9397-08002B2CF9AE}" pid="37" name="CASENOTES6">
    <vt:lpwstr>ProcID=213&amp;PartA=14&amp;PartC=16</vt:lpwstr>
  </property>
  <property fmtid="{D5CDD505-2E9C-101B-9397-08002B2CF9AE}" pid="38" name="CASENOTES7">
    <vt:lpwstr>ProcID=213&amp;PartA=18&amp;PartC=23</vt:lpwstr>
  </property>
  <property fmtid="{D5CDD505-2E9C-101B-9397-08002B2CF9AE}" pid="39" name="CASENOTES8">
    <vt:lpwstr>ProcID=213&amp;PartA=15&amp;PartC=17</vt:lpwstr>
  </property>
  <property fmtid="{D5CDD505-2E9C-101B-9397-08002B2CF9AE}" pid="40" name="CASENOTES9">
    <vt:lpwstr>ProcID=213&amp;PartA=44&amp;PartC=46</vt:lpwstr>
  </property>
  <property fmtid="{D5CDD505-2E9C-101B-9397-08002B2CF9AE}" pid="41" name="CASENOTES10">
    <vt:lpwstr>ProcID=213&amp;PartA=14&amp;PartC=17</vt:lpwstr>
  </property>
  <property fmtid="{D5CDD505-2E9C-101B-9397-08002B2CF9AE}" pid="42" name="CASENOTES11">
    <vt:lpwstr>ProcID=213&amp;PartA=41&amp;PartC=47</vt:lpwstr>
  </property>
  <property fmtid="{D5CDD505-2E9C-101B-9397-08002B2CF9AE}" pid="43" name="CASENOTES12">
    <vt:lpwstr>ProcID=213&amp;PartA=18&amp;PartC=20</vt:lpwstr>
  </property>
  <property fmtid="{D5CDD505-2E9C-101B-9397-08002B2CF9AE}" pid="44" name="CASENOTES13">
    <vt:lpwstr>ProcID=213&amp;PartA=12&amp;PartC=18</vt:lpwstr>
  </property>
  <property fmtid="{D5CDD505-2E9C-101B-9397-08002B2CF9AE}" pid="45" name="CASENOTES14">
    <vt:lpwstr>ProcID=213&amp;PartA=19&amp;PartC=20</vt:lpwstr>
  </property>
  <property fmtid="{D5CDD505-2E9C-101B-9397-08002B2CF9AE}" pid="46" name="CASENOTES15">
    <vt:lpwstr>ProcID=213&amp;PartA=23&amp;PartC=24</vt:lpwstr>
  </property>
  <property fmtid="{D5CDD505-2E9C-101B-9397-08002B2CF9AE}" pid="47" name="CASENOTES16">
    <vt:lpwstr>ProcID=213&amp;PartA=22&amp;PartC=24</vt:lpwstr>
  </property>
  <property fmtid="{D5CDD505-2E9C-101B-9397-08002B2CF9AE}" pid="48" name="LAWLISTTMP1">
    <vt:lpwstr>70301/348.e</vt:lpwstr>
  </property>
  <property fmtid="{D5CDD505-2E9C-101B-9397-08002B2CF9AE}" pid="49" name="LAWLISTTMP2">
    <vt:lpwstr>72507/003.a.4;006.c;005.a</vt:lpwstr>
  </property>
  <property fmtid="{D5CDD505-2E9C-101B-9397-08002B2CF9AE}" pid="50" name="LAWLISTTMP3">
    <vt:lpwstr>98569/053;054a</vt:lpwstr>
  </property>
</Properties>
</file>