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5183" w14:textId="77777777" w:rsidR="00E4799B" w:rsidRPr="00D8646F" w:rsidRDefault="00E4799B">
      <w:pPr>
        <w:pStyle w:val="Caption"/>
        <w:rPr>
          <w:rtl/>
        </w:rPr>
      </w:pPr>
      <w:bookmarkStart w:id="0" w:name="LastJudge"/>
      <w:r w:rsidRPr="00D8646F">
        <w:rPr>
          <w:rFonts w:hint="cs"/>
          <w:rtl/>
        </w:rPr>
        <w:t>מדינת ישראל</w:t>
      </w:r>
    </w:p>
    <w:tbl>
      <w:tblPr>
        <w:bidiVisual/>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965"/>
        <w:gridCol w:w="1948"/>
      </w:tblGrid>
      <w:tr w:rsidR="00E4799B" w:rsidRPr="00D8646F" w14:paraId="75645BE2" w14:textId="77777777">
        <w:trPr>
          <w:trHeight w:val="195"/>
        </w:trPr>
        <w:tc>
          <w:tcPr>
            <w:tcW w:w="3290" w:type="pct"/>
            <w:gridSpan w:val="2"/>
            <w:tcBorders>
              <w:top w:val="single" w:sz="4" w:space="0" w:color="auto"/>
              <w:left w:val="single" w:sz="4" w:space="0" w:color="auto"/>
              <w:bottom w:val="single" w:sz="4" w:space="0" w:color="auto"/>
              <w:right w:val="single" w:sz="4" w:space="0" w:color="auto"/>
            </w:tcBorders>
          </w:tcPr>
          <w:p w14:paraId="1ADFFC70" w14:textId="77777777" w:rsidR="00E4799B" w:rsidRPr="00D8646F" w:rsidRDefault="00E4799B">
            <w:pPr>
              <w:spacing w:line="240" w:lineRule="auto"/>
              <w:rPr>
                <w:b/>
                <w:bCs/>
                <w:sz w:val="34"/>
                <w:szCs w:val="34"/>
              </w:rPr>
            </w:pPr>
            <w:r w:rsidRPr="00D8646F">
              <w:rPr>
                <w:rFonts w:hint="cs"/>
                <w:b/>
                <w:bCs/>
                <w:sz w:val="34"/>
                <w:szCs w:val="34"/>
                <w:rtl/>
              </w:rPr>
              <w:t>בית משפט השלום</w:t>
            </w:r>
          </w:p>
          <w:p w14:paraId="1DE4131B" w14:textId="77777777" w:rsidR="00E4799B" w:rsidRPr="00D8646F" w:rsidRDefault="00E4799B">
            <w:pPr>
              <w:spacing w:line="240" w:lineRule="auto"/>
              <w:rPr>
                <w:b/>
                <w:bCs/>
                <w:sz w:val="34"/>
                <w:szCs w:val="34"/>
              </w:rPr>
            </w:pPr>
            <w:r w:rsidRPr="00D8646F">
              <w:rPr>
                <w:rFonts w:hint="cs"/>
                <w:b/>
                <w:bCs/>
                <w:sz w:val="34"/>
                <w:szCs w:val="34"/>
                <w:rtl/>
              </w:rPr>
              <w:t>ב  א  י  ל  ת</w:t>
            </w:r>
          </w:p>
        </w:tc>
        <w:tc>
          <w:tcPr>
            <w:tcW w:w="1710" w:type="pct"/>
            <w:gridSpan w:val="2"/>
            <w:tcBorders>
              <w:top w:val="single" w:sz="4" w:space="0" w:color="auto"/>
              <w:left w:val="single" w:sz="4" w:space="0" w:color="auto"/>
              <w:bottom w:val="single" w:sz="4" w:space="0" w:color="auto"/>
              <w:right w:val="single" w:sz="4" w:space="0" w:color="auto"/>
            </w:tcBorders>
          </w:tcPr>
          <w:p w14:paraId="51BDB20C" w14:textId="77777777" w:rsidR="00E4799B" w:rsidRPr="00D8646F" w:rsidRDefault="00E4799B">
            <w:pPr>
              <w:spacing w:line="240" w:lineRule="auto"/>
              <w:rPr>
                <w:b/>
                <w:bCs/>
                <w:sz w:val="34"/>
                <w:szCs w:val="34"/>
              </w:rPr>
            </w:pPr>
            <w:r w:rsidRPr="00D8646F">
              <w:rPr>
                <w:rFonts w:hint="cs"/>
                <w:b/>
                <w:bCs/>
                <w:sz w:val="34"/>
                <w:szCs w:val="34"/>
                <w:rtl/>
              </w:rPr>
              <w:t>פ  001163/08</w:t>
            </w:r>
          </w:p>
        </w:tc>
      </w:tr>
      <w:tr w:rsidR="00E4799B" w:rsidRPr="00D8646F" w14:paraId="50B30E08" w14:textId="77777777">
        <w:trPr>
          <w:trHeight w:val="286"/>
        </w:trPr>
        <w:tc>
          <w:tcPr>
            <w:tcW w:w="533" w:type="pct"/>
            <w:tcBorders>
              <w:top w:val="single" w:sz="4" w:space="0" w:color="auto"/>
              <w:left w:val="single" w:sz="4" w:space="0" w:color="auto"/>
              <w:bottom w:val="single" w:sz="4" w:space="0" w:color="auto"/>
              <w:right w:val="single" w:sz="4" w:space="0" w:color="auto"/>
            </w:tcBorders>
          </w:tcPr>
          <w:p w14:paraId="2625F207" w14:textId="77777777" w:rsidR="00E4799B" w:rsidRPr="00D8646F" w:rsidRDefault="00E4799B">
            <w:pPr>
              <w:spacing w:line="240" w:lineRule="auto"/>
              <w:rPr>
                <w:sz w:val="30"/>
                <w:szCs w:val="30"/>
              </w:rPr>
            </w:pPr>
            <w:r w:rsidRPr="00D8646F">
              <w:rPr>
                <w:rFonts w:hint="cs"/>
                <w:sz w:val="30"/>
                <w:szCs w:val="30"/>
                <w:rtl/>
              </w:rPr>
              <w:t>בפני:</w:t>
            </w:r>
          </w:p>
        </w:tc>
        <w:tc>
          <w:tcPr>
            <w:tcW w:w="2758" w:type="pct"/>
            <w:tcBorders>
              <w:top w:val="single" w:sz="4" w:space="0" w:color="auto"/>
              <w:left w:val="single" w:sz="4" w:space="0" w:color="auto"/>
              <w:bottom w:val="single" w:sz="4" w:space="0" w:color="auto"/>
              <w:right w:val="single" w:sz="4" w:space="0" w:color="auto"/>
            </w:tcBorders>
          </w:tcPr>
          <w:p w14:paraId="18C2B303" w14:textId="77777777" w:rsidR="00E4799B" w:rsidRPr="00D8646F" w:rsidRDefault="00E4799B">
            <w:pPr>
              <w:spacing w:line="240" w:lineRule="auto"/>
              <w:rPr>
                <w:sz w:val="30"/>
                <w:szCs w:val="30"/>
              </w:rPr>
            </w:pPr>
            <w:r w:rsidRPr="00D8646F">
              <w:rPr>
                <w:rFonts w:hint="cs"/>
                <w:sz w:val="30"/>
                <w:szCs w:val="30"/>
                <w:rtl/>
              </w:rPr>
              <w:t>כב' השופט י. עדן</w:t>
            </w:r>
          </w:p>
        </w:tc>
        <w:tc>
          <w:tcPr>
            <w:tcW w:w="56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05A43F9" w14:textId="77777777" w:rsidR="00E4799B" w:rsidRPr="00D8646F" w:rsidRDefault="00E4799B">
            <w:pPr>
              <w:spacing w:line="240" w:lineRule="auto"/>
              <w:rPr>
                <w:sz w:val="30"/>
                <w:szCs w:val="30"/>
              </w:rPr>
            </w:pPr>
            <w:r w:rsidRPr="00D8646F">
              <w:rPr>
                <w:rFonts w:hint="cs"/>
                <w:sz w:val="30"/>
                <w:szCs w:val="30"/>
                <w:rtl/>
              </w:rPr>
              <w:t>תאריך:</w:t>
            </w:r>
          </w:p>
        </w:tc>
        <w:tc>
          <w:tcPr>
            <w:tcW w:w="1144" w:type="pct"/>
            <w:tcBorders>
              <w:top w:val="single" w:sz="4" w:space="0" w:color="auto"/>
              <w:left w:val="single" w:sz="4" w:space="0" w:color="auto"/>
              <w:bottom w:val="single" w:sz="4" w:space="0" w:color="auto"/>
              <w:right w:val="single" w:sz="4" w:space="0" w:color="auto"/>
            </w:tcBorders>
          </w:tcPr>
          <w:p w14:paraId="21EE5EAE" w14:textId="77777777" w:rsidR="00E4799B" w:rsidRPr="00D8646F" w:rsidRDefault="00E4799B">
            <w:pPr>
              <w:spacing w:line="240" w:lineRule="auto"/>
              <w:rPr>
                <w:sz w:val="30"/>
                <w:szCs w:val="30"/>
              </w:rPr>
            </w:pPr>
            <w:r w:rsidRPr="00D8646F">
              <w:rPr>
                <w:rFonts w:hint="cs"/>
                <w:sz w:val="30"/>
                <w:szCs w:val="30"/>
                <w:rtl/>
              </w:rPr>
              <w:t>25/08/2009</w:t>
            </w:r>
          </w:p>
        </w:tc>
      </w:tr>
    </w:tbl>
    <w:p w14:paraId="002E2273" w14:textId="77777777" w:rsidR="00E4799B" w:rsidRPr="00D8646F" w:rsidRDefault="00E4799B">
      <w:pPr>
        <w:pStyle w:val="a"/>
        <w:spacing w:line="240" w:lineRule="auto"/>
        <w:rPr>
          <w:rFonts w:hint="cs"/>
          <w:b w:val="0"/>
          <w:bCs w:val="0"/>
          <w:rtl/>
        </w:rPr>
      </w:pPr>
    </w:p>
    <w:tbl>
      <w:tblPr>
        <w:bidiVisual/>
        <w:tblW w:w="5000" w:type="pct"/>
        <w:tblCellMar>
          <w:left w:w="107" w:type="dxa"/>
          <w:right w:w="107" w:type="dxa"/>
        </w:tblCellMar>
        <w:tblLook w:val="0000" w:firstRow="0" w:lastRow="0" w:firstColumn="0" w:lastColumn="0" w:noHBand="0" w:noVBand="0"/>
      </w:tblPr>
      <w:tblGrid>
        <w:gridCol w:w="1351"/>
        <w:gridCol w:w="1883"/>
        <w:gridCol w:w="2897"/>
        <w:gridCol w:w="2389"/>
      </w:tblGrid>
      <w:tr w:rsidR="00E4799B" w:rsidRPr="00D8646F" w14:paraId="5CFD8575" w14:textId="77777777">
        <w:tc>
          <w:tcPr>
            <w:tcW w:w="793" w:type="pct"/>
          </w:tcPr>
          <w:p w14:paraId="04EC4B94" w14:textId="77777777" w:rsidR="00E4799B" w:rsidRPr="00D8646F" w:rsidRDefault="00E4799B">
            <w:pPr>
              <w:pStyle w:val="a"/>
              <w:spacing w:line="240" w:lineRule="auto"/>
              <w:rPr>
                <w:sz w:val="28"/>
                <w:szCs w:val="28"/>
              </w:rPr>
            </w:pPr>
            <w:r w:rsidRPr="00D8646F">
              <w:rPr>
                <w:rFonts w:hint="cs"/>
                <w:sz w:val="28"/>
                <w:szCs w:val="28"/>
                <w:rtl/>
              </w:rPr>
              <w:t>בעניין:</w:t>
            </w:r>
          </w:p>
        </w:tc>
        <w:tc>
          <w:tcPr>
            <w:tcW w:w="2805" w:type="pct"/>
            <w:gridSpan w:val="2"/>
          </w:tcPr>
          <w:p w14:paraId="781C3046" w14:textId="77777777" w:rsidR="00E4799B" w:rsidRPr="00D8646F" w:rsidRDefault="00E4799B">
            <w:pPr>
              <w:pStyle w:val="a"/>
              <w:spacing w:line="240" w:lineRule="auto"/>
              <w:rPr>
                <w:sz w:val="28"/>
                <w:szCs w:val="28"/>
              </w:rPr>
            </w:pPr>
            <w:r w:rsidRPr="00D8646F">
              <w:rPr>
                <w:rFonts w:hint="cs"/>
                <w:sz w:val="28"/>
                <w:szCs w:val="28"/>
                <w:rtl/>
              </w:rPr>
              <w:t>מדינת ישראל – פמ"ד</w:t>
            </w:r>
          </w:p>
        </w:tc>
        <w:tc>
          <w:tcPr>
            <w:tcW w:w="1402" w:type="pct"/>
          </w:tcPr>
          <w:p w14:paraId="6C74EEE4" w14:textId="77777777" w:rsidR="00E4799B" w:rsidRPr="00D8646F" w:rsidRDefault="00E4799B">
            <w:pPr>
              <w:pStyle w:val="a"/>
              <w:spacing w:line="240" w:lineRule="auto"/>
              <w:rPr>
                <w:sz w:val="28"/>
                <w:szCs w:val="28"/>
              </w:rPr>
            </w:pPr>
          </w:p>
        </w:tc>
      </w:tr>
      <w:tr w:rsidR="00E4799B" w:rsidRPr="00D8646F" w14:paraId="257C9336" w14:textId="77777777">
        <w:tc>
          <w:tcPr>
            <w:tcW w:w="793" w:type="pct"/>
          </w:tcPr>
          <w:p w14:paraId="04F5B140" w14:textId="77777777" w:rsidR="00E4799B" w:rsidRPr="00D8646F" w:rsidRDefault="00E4799B">
            <w:pPr>
              <w:pStyle w:val="a"/>
              <w:spacing w:line="240" w:lineRule="auto"/>
              <w:rPr>
                <w:sz w:val="28"/>
                <w:szCs w:val="28"/>
              </w:rPr>
            </w:pPr>
            <w:bookmarkStart w:id="1" w:name="FirstAppellant" w:colFirst="0" w:colLast="1"/>
            <w:bookmarkStart w:id="2" w:name="FirstLawyer"/>
          </w:p>
        </w:tc>
        <w:tc>
          <w:tcPr>
            <w:tcW w:w="1105" w:type="pct"/>
          </w:tcPr>
          <w:p w14:paraId="609D8C43" w14:textId="77777777" w:rsidR="00E4799B" w:rsidRPr="00D8646F" w:rsidRDefault="00E4799B">
            <w:pPr>
              <w:pStyle w:val="a"/>
              <w:spacing w:line="240" w:lineRule="auto"/>
              <w:rPr>
                <w:b w:val="0"/>
                <w:bCs w:val="0"/>
                <w:sz w:val="28"/>
                <w:szCs w:val="28"/>
              </w:rPr>
            </w:pPr>
            <w:r w:rsidRPr="00D8646F">
              <w:rPr>
                <w:rFonts w:hint="cs"/>
                <w:b w:val="0"/>
                <w:bCs w:val="0"/>
                <w:sz w:val="28"/>
                <w:szCs w:val="28"/>
                <w:rtl/>
              </w:rPr>
              <w:t>ע"י ב"כ עוה"ד:</w:t>
            </w:r>
          </w:p>
        </w:tc>
        <w:tc>
          <w:tcPr>
            <w:tcW w:w="1700" w:type="pct"/>
          </w:tcPr>
          <w:p w14:paraId="171AC008" w14:textId="77777777" w:rsidR="00E4799B" w:rsidRPr="00D8646F" w:rsidRDefault="00E4799B">
            <w:pPr>
              <w:pStyle w:val="a"/>
              <w:spacing w:line="240" w:lineRule="auto"/>
              <w:rPr>
                <w:b w:val="0"/>
                <w:bCs w:val="0"/>
                <w:sz w:val="28"/>
                <w:szCs w:val="28"/>
              </w:rPr>
            </w:pPr>
            <w:r w:rsidRPr="00D8646F">
              <w:rPr>
                <w:rFonts w:hint="cs"/>
                <w:b w:val="0"/>
                <w:bCs w:val="0"/>
                <w:sz w:val="28"/>
                <w:szCs w:val="28"/>
                <w:rtl/>
              </w:rPr>
              <w:t>קעטבי בשם פמ"ד</w:t>
            </w:r>
          </w:p>
        </w:tc>
        <w:tc>
          <w:tcPr>
            <w:tcW w:w="1402" w:type="pct"/>
          </w:tcPr>
          <w:p w14:paraId="7845B6A3" w14:textId="77777777" w:rsidR="00E4799B" w:rsidRPr="00D8646F" w:rsidRDefault="00E4799B">
            <w:pPr>
              <w:pStyle w:val="a"/>
              <w:spacing w:line="240" w:lineRule="auto"/>
              <w:rPr>
                <w:sz w:val="28"/>
                <w:szCs w:val="28"/>
              </w:rPr>
            </w:pPr>
            <w:r w:rsidRPr="00D8646F">
              <w:rPr>
                <w:rFonts w:hint="cs"/>
                <w:sz w:val="28"/>
                <w:szCs w:val="28"/>
                <w:rtl/>
              </w:rPr>
              <w:t>המאשימה</w:t>
            </w:r>
          </w:p>
        </w:tc>
      </w:tr>
      <w:bookmarkEnd w:id="2"/>
      <w:tr w:rsidR="00E4799B" w:rsidRPr="00D8646F" w14:paraId="01AEE8AB" w14:textId="77777777">
        <w:tc>
          <w:tcPr>
            <w:tcW w:w="793" w:type="pct"/>
          </w:tcPr>
          <w:p w14:paraId="37284C2B" w14:textId="77777777" w:rsidR="00E4799B" w:rsidRPr="00D8646F" w:rsidRDefault="00E4799B">
            <w:pPr>
              <w:pStyle w:val="a"/>
              <w:spacing w:line="240" w:lineRule="auto"/>
              <w:rPr>
                <w:sz w:val="28"/>
                <w:szCs w:val="28"/>
              </w:rPr>
            </w:pPr>
          </w:p>
        </w:tc>
        <w:tc>
          <w:tcPr>
            <w:tcW w:w="2805" w:type="pct"/>
            <w:gridSpan w:val="2"/>
          </w:tcPr>
          <w:p w14:paraId="1FFEE763" w14:textId="77777777" w:rsidR="00E4799B" w:rsidRPr="00D8646F" w:rsidRDefault="00E4799B">
            <w:pPr>
              <w:pStyle w:val="a"/>
              <w:spacing w:line="240" w:lineRule="auto"/>
              <w:jc w:val="center"/>
              <w:rPr>
                <w:sz w:val="28"/>
                <w:szCs w:val="28"/>
              </w:rPr>
            </w:pPr>
          </w:p>
          <w:p w14:paraId="10FF8BAC" w14:textId="77777777" w:rsidR="00E4799B" w:rsidRPr="00D8646F" w:rsidRDefault="00E4799B">
            <w:pPr>
              <w:pStyle w:val="a"/>
              <w:spacing w:line="240" w:lineRule="auto"/>
              <w:jc w:val="center"/>
              <w:rPr>
                <w:rFonts w:hint="cs"/>
                <w:sz w:val="30"/>
                <w:szCs w:val="30"/>
                <w:rtl/>
              </w:rPr>
            </w:pPr>
            <w:r w:rsidRPr="00D8646F">
              <w:rPr>
                <w:rFonts w:hint="cs"/>
                <w:sz w:val="30"/>
                <w:szCs w:val="30"/>
                <w:rtl/>
              </w:rPr>
              <w:t>נ  ג  ד</w:t>
            </w:r>
          </w:p>
          <w:p w14:paraId="369DFCA2" w14:textId="77777777" w:rsidR="00E4799B" w:rsidRPr="00D8646F" w:rsidRDefault="00E4799B">
            <w:pPr>
              <w:pStyle w:val="a"/>
              <w:spacing w:line="240" w:lineRule="auto"/>
              <w:jc w:val="center"/>
              <w:rPr>
                <w:sz w:val="28"/>
                <w:szCs w:val="28"/>
              </w:rPr>
            </w:pPr>
          </w:p>
        </w:tc>
        <w:tc>
          <w:tcPr>
            <w:tcW w:w="1402" w:type="pct"/>
          </w:tcPr>
          <w:p w14:paraId="65F1A0B3" w14:textId="77777777" w:rsidR="00E4799B" w:rsidRPr="00D8646F" w:rsidRDefault="00E4799B">
            <w:pPr>
              <w:pStyle w:val="a"/>
              <w:spacing w:line="240" w:lineRule="auto"/>
              <w:rPr>
                <w:sz w:val="28"/>
                <w:szCs w:val="28"/>
              </w:rPr>
            </w:pPr>
          </w:p>
        </w:tc>
      </w:tr>
      <w:bookmarkEnd w:id="1"/>
      <w:tr w:rsidR="00E4799B" w:rsidRPr="00D8646F" w14:paraId="4DC17822" w14:textId="77777777">
        <w:tc>
          <w:tcPr>
            <w:tcW w:w="793" w:type="pct"/>
          </w:tcPr>
          <w:p w14:paraId="2E20A258" w14:textId="77777777" w:rsidR="00E4799B" w:rsidRPr="00D8646F" w:rsidRDefault="00E4799B">
            <w:pPr>
              <w:pStyle w:val="a"/>
              <w:spacing w:line="240" w:lineRule="auto"/>
              <w:rPr>
                <w:sz w:val="28"/>
                <w:szCs w:val="28"/>
              </w:rPr>
            </w:pPr>
          </w:p>
        </w:tc>
        <w:tc>
          <w:tcPr>
            <w:tcW w:w="2805" w:type="pct"/>
            <w:gridSpan w:val="2"/>
          </w:tcPr>
          <w:p w14:paraId="3500C29E" w14:textId="77777777" w:rsidR="00E4799B" w:rsidRPr="00D8646F" w:rsidRDefault="00E4799B">
            <w:pPr>
              <w:pStyle w:val="a"/>
              <w:spacing w:line="240" w:lineRule="auto"/>
              <w:rPr>
                <w:sz w:val="28"/>
                <w:szCs w:val="28"/>
              </w:rPr>
            </w:pPr>
            <w:r w:rsidRPr="00D8646F">
              <w:rPr>
                <w:rFonts w:hint="cs"/>
                <w:sz w:val="28"/>
                <w:szCs w:val="28"/>
                <w:rtl/>
              </w:rPr>
              <w:t>חבה יחזקאל – 030542153</w:t>
            </w:r>
          </w:p>
        </w:tc>
        <w:tc>
          <w:tcPr>
            <w:tcW w:w="1402" w:type="pct"/>
          </w:tcPr>
          <w:p w14:paraId="7936FE2A" w14:textId="77777777" w:rsidR="00E4799B" w:rsidRPr="00D8646F" w:rsidRDefault="00E4799B">
            <w:pPr>
              <w:pStyle w:val="a"/>
              <w:spacing w:line="240" w:lineRule="auto"/>
              <w:rPr>
                <w:sz w:val="28"/>
                <w:szCs w:val="28"/>
              </w:rPr>
            </w:pPr>
          </w:p>
        </w:tc>
      </w:tr>
      <w:tr w:rsidR="00E4799B" w:rsidRPr="00D8646F" w14:paraId="4432C83D" w14:textId="77777777">
        <w:tc>
          <w:tcPr>
            <w:tcW w:w="793" w:type="pct"/>
          </w:tcPr>
          <w:p w14:paraId="122A9954" w14:textId="77777777" w:rsidR="00E4799B" w:rsidRPr="00D8646F" w:rsidRDefault="00E4799B">
            <w:pPr>
              <w:pStyle w:val="a"/>
              <w:spacing w:line="240" w:lineRule="auto"/>
              <w:rPr>
                <w:sz w:val="28"/>
                <w:szCs w:val="28"/>
              </w:rPr>
            </w:pPr>
          </w:p>
        </w:tc>
        <w:tc>
          <w:tcPr>
            <w:tcW w:w="1105" w:type="pct"/>
          </w:tcPr>
          <w:p w14:paraId="0748F15A" w14:textId="77777777" w:rsidR="00E4799B" w:rsidRPr="00D8646F" w:rsidRDefault="00E4799B">
            <w:pPr>
              <w:pStyle w:val="a"/>
              <w:spacing w:line="240" w:lineRule="auto"/>
              <w:rPr>
                <w:sz w:val="28"/>
                <w:szCs w:val="28"/>
              </w:rPr>
            </w:pPr>
            <w:r w:rsidRPr="00D8646F">
              <w:rPr>
                <w:rFonts w:hint="cs"/>
                <w:b w:val="0"/>
                <w:bCs w:val="0"/>
                <w:sz w:val="28"/>
                <w:szCs w:val="28"/>
                <w:rtl/>
              </w:rPr>
              <w:t>ע"י ב"כ עוה"ד:</w:t>
            </w:r>
          </w:p>
        </w:tc>
        <w:tc>
          <w:tcPr>
            <w:tcW w:w="1700" w:type="pct"/>
          </w:tcPr>
          <w:p w14:paraId="145FC843" w14:textId="77777777" w:rsidR="00E4799B" w:rsidRPr="00D8646F" w:rsidRDefault="00E4799B">
            <w:pPr>
              <w:pStyle w:val="a"/>
              <w:spacing w:line="240" w:lineRule="auto"/>
              <w:rPr>
                <w:b w:val="0"/>
                <w:bCs w:val="0"/>
                <w:sz w:val="28"/>
                <w:szCs w:val="28"/>
              </w:rPr>
            </w:pPr>
            <w:bookmarkStart w:id="3" w:name="בא_כוח_ב"/>
            <w:r w:rsidRPr="00D8646F">
              <w:rPr>
                <w:rFonts w:hint="cs"/>
                <w:b w:val="0"/>
                <w:bCs w:val="0"/>
                <w:sz w:val="28"/>
                <w:szCs w:val="28"/>
                <w:rtl/>
              </w:rPr>
              <w:t>אבישור</w:t>
            </w:r>
            <w:bookmarkEnd w:id="3"/>
          </w:p>
        </w:tc>
        <w:tc>
          <w:tcPr>
            <w:tcW w:w="1402" w:type="pct"/>
          </w:tcPr>
          <w:p w14:paraId="39927F84" w14:textId="77777777" w:rsidR="00E4799B" w:rsidRPr="00D8646F" w:rsidRDefault="00E4799B">
            <w:pPr>
              <w:pStyle w:val="a"/>
              <w:spacing w:line="240" w:lineRule="auto"/>
              <w:rPr>
                <w:sz w:val="28"/>
                <w:szCs w:val="28"/>
              </w:rPr>
            </w:pPr>
            <w:r w:rsidRPr="00D8646F">
              <w:rPr>
                <w:rFonts w:hint="cs"/>
                <w:sz w:val="28"/>
                <w:szCs w:val="28"/>
                <w:rtl/>
              </w:rPr>
              <w:t>ה</w:t>
            </w:r>
            <w:bookmarkStart w:id="4" w:name="כינוי_ב"/>
            <w:bookmarkEnd w:id="4"/>
            <w:r w:rsidRPr="00D8646F">
              <w:rPr>
                <w:rFonts w:hint="cs"/>
                <w:sz w:val="28"/>
                <w:szCs w:val="28"/>
                <w:rtl/>
              </w:rPr>
              <w:t>נאשם</w:t>
            </w:r>
          </w:p>
        </w:tc>
      </w:tr>
    </w:tbl>
    <w:p w14:paraId="6B38AB77" w14:textId="77777777" w:rsidR="00E4799B" w:rsidRPr="00D8646F" w:rsidRDefault="00E4799B">
      <w:pPr>
        <w:pStyle w:val="a"/>
        <w:spacing w:line="240" w:lineRule="auto"/>
        <w:rPr>
          <w:rFonts w:hint="cs"/>
          <w:b w:val="0"/>
          <w:bCs w:val="0"/>
          <w:rtl/>
        </w:rPr>
      </w:pPr>
    </w:p>
    <w:tbl>
      <w:tblPr>
        <w:bidiVisual/>
        <w:tblW w:w="5000" w:type="pct"/>
        <w:tblCellMar>
          <w:left w:w="107" w:type="dxa"/>
          <w:right w:w="107" w:type="dxa"/>
        </w:tblCellMar>
        <w:tblLook w:val="0000" w:firstRow="0" w:lastRow="0" w:firstColumn="0" w:lastColumn="0" w:noHBand="0" w:noVBand="0"/>
      </w:tblPr>
      <w:tblGrid>
        <w:gridCol w:w="1326"/>
        <w:gridCol w:w="7194"/>
      </w:tblGrid>
      <w:tr w:rsidR="00E4799B" w:rsidRPr="00D8646F" w14:paraId="06848866" w14:textId="77777777">
        <w:tc>
          <w:tcPr>
            <w:tcW w:w="778" w:type="pct"/>
          </w:tcPr>
          <w:p w14:paraId="7816F63A" w14:textId="77777777" w:rsidR="00E4799B" w:rsidRPr="00D8646F" w:rsidRDefault="00E4799B">
            <w:pPr>
              <w:pStyle w:val="a"/>
              <w:spacing w:line="240" w:lineRule="auto"/>
              <w:rPr>
                <w:szCs w:val="26"/>
              </w:rPr>
            </w:pPr>
            <w:r w:rsidRPr="00D8646F">
              <w:rPr>
                <w:rFonts w:hint="cs"/>
                <w:szCs w:val="26"/>
                <w:rtl/>
              </w:rPr>
              <w:t>נוכחים:</w:t>
            </w:r>
          </w:p>
        </w:tc>
        <w:tc>
          <w:tcPr>
            <w:tcW w:w="4222" w:type="pct"/>
          </w:tcPr>
          <w:p w14:paraId="23F114F8" w14:textId="77777777" w:rsidR="00E4799B" w:rsidRPr="00D8646F" w:rsidRDefault="00E4799B">
            <w:pPr>
              <w:pStyle w:val="a"/>
              <w:spacing w:line="240" w:lineRule="auto"/>
              <w:rPr>
                <w:rFonts w:hint="cs"/>
                <w:b w:val="0"/>
                <w:bCs w:val="0"/>
              </w:rPr>
            </w:pPr>
            <w:r w:rsidRPr="00D8646F">
              <w:rPr>
                <w:rFonts w:hint="cs"/>
                <w:b w:val="0"/>
                <w:bCs w:val="0"/>
                <w:rtl/>
              </w:rPr>
              <w:t>ב"כ המאשימה</w:t>
            </w:r>
          </w:p>
          <w:p w14:paraId="72BE3858" w14:textId="77777777" w:rsidR="00E4799B" w:rsidRPr="00D8646F" w:rsidRDefault="00E4799B">
            <w:pPr>
              <w:pStyle w:val="a"/>
              <w:spacing w:line="240" w:lineRule="auto"/>
              <w:rPr>
                <w:b w:val="0"/>
                <w:bCs w:val="0"/>
              </w:rPr>
            </w:pPr>
            <w:r w:rsidRPr="00D8646F">
              <w:rPr>
                <w:rFonts w:hint="cs"/>
                <w:b w:val="0"/>
                <w:bCs w:val="0"/>
                <w:rtl/>
              </w:rPr>
              <w:t>הנאשם ובא-כוחו</w:t>
            </w:r>
          </w:p>
        </w:tc>
      </w:tr>
    </w:tbl>
    <w:p w14:paraId="2571716C" w14:textId="77777777" w:rsidR="0045046C" w:rsidRDefault="0045046C">
      <w:pPr>
        <w:spacing w:line="240" w:lineRule="auto"/>
        <w:rPr>
          <w:rtl/>
        </w:rPr>
      </w:pPr>
      <w:bookmarkStart w:id="5" w:name="LawTable"/>
      <w:bookmarkEnd w:id="5"/>
    </w:p>
    <w:p w14:paraId="0C18F0D6" w14:textId="77777777" w:rsidR="0045046C" w:rsidRPr="0045046C" w:rsidRDefault="0045046C" w:rsidP="0045046C">
      <w:pPr>
        <w:spacing w:after="120" w:line="240" w:lineRule="exact"/>
        <w:ind w:left="283" w:hanging="283"/>
        <w:rPr>
          <w:rFonts w:ascii="FrankRuehl" w:hAnsi="FrankRuehl" w:cs="FrankRuehl"/>
          <w:sz w:val="24"/>
          <w:rtl/>
        </w:rPr>
      </w:pPr>
    </w:p>
    <w:p w14:paraId="33DC08DA" w14:textId="77777777" w:rsidR="0045046C" w:rsidRPr="0045046C" w:rsidRDefault="0045046C" w:rsidP="0045046C">
      <w:pPr>
        <w:spacing w:after="120" w:line="240" w:lineRule="exact"/>
        <w:ind w:left="283" w:hanging="283"/>
        <w:rPr>
          <w:rFonts w:ascii="FrankRuehl" w:hAnsi="FrankRuehl" w:cs="FrankRuehl"/>
          <w:sz w:val="24"/>
          <w:rtl/>
        </w:rPr>
      </w:pPr>
      <w:r w:rsidRPr="0045046C">
        <w:rPr>
          <w:rFonts w:ascii="FrankRuehl" w:hAnsi="FrankRuehl" w:cs="FrankRuehl"/>
          <w:sz w:val="24"/>
          <w:rtl/>
        </w:rPr>
        <w:t xml:space="preserve">חקיקה שאוזכרה: </w:t>
      </w:r>
    </w:p>
    <w:p w14:paraId="1B4C5523" w14:textId="77777777" w:rsidR="0045046C" w:rsidRPr="0045046C" w:rsidRDefault="0045046C" w:rsidP="0045046C">
      <w:pPr>
        <w:spacing w:after="120" w:line="240" w:lineRule="exact"/>
        <w:ind w:left="283" w:hanging="283"/>
        <w:rPr>
          <w:rFonts w:ascii="FrankRuehl" w:hAnsi="FrankRuehl" w:cs="FrankRuehl"/>
          <w:sz w:val="24"/>
          <w:rtl/>
        </w:rPr>
      </w:pPr>
      <w:hyperlink r:id="rId6" w:history="1">
        <w:r w:rsidRPr="0045046C">
          <w:rPr>
            <w:rFonts w:ascii="FrankRuehl" w:hAnsi="FrankRuehl" w:cs="FrankRuehl"/>
            <w:color w:val="0000FF"/>
            <w:sz w:val="24"/>
            <w:u w:val="single"/>
            <w:rtl/>
          </w:rPr>
          <w:t>חוק העונשין, תשל"ז-1977</w:t>
        </w:r>
      </w:hyperlink>
      <w:r w:rsidRPr="0045046C">
        <w:rPr>
          <w:rFonts w:ascii="FrankRuehl" w:hAnsi="FrankRuehl" w:cs="FrankRuehl"/>
          <w:sz w:val="24"/>
          <w:rtl/>
        </w:rPr>
        <w:t xml:space="preserve">: סע'  </w:t>
      </w:r>
      <w:hyperlink r:id="rId7" w:history="1">
        <w:r w:rsidRPr="0045046C">
          <w:rPr>
            <w:rFonts w:ascii="FrankRuehl" w:hAnsi="FrankRuehl" w:cs="FrankRuehl"/>
            <w:color w:val="0000FF"/>
            <w:sz w:val="24"/>
            <w:u w:val="single"/>
            <w:rtl/>
          </w:rPr>
          <w:t>349</w:t>
        </w:r>
      </w:hyperlink>
      <w:r w:rsidRPr="0045046C">
        <w:rPr>
          <w:rFonts w:ascii="FrankRuehl" w:hAnsi="FrankRuehl" w:cs="FrankRuehl"/>
          <w:sz w:val="24"/>
          <w:rtl/>
        </w:rPr>
        <w:t xml:space="preserve">, </w:t>
      </w:r>
      <w:hyperlink r:id="rId8" w:history="1">
        <w:r w:rsidRPr="0045046C">
          <w:rPr>
            <w:rFonts w:ascii="FrankRuehl" w:hAnsi="FrankRuehl" w:cs="FrankRuehl"/>
            <w:color w:val="0000FF"/>
            <w:sz w:val="24"/>
            <w:u w:val="single"/>
            <w:rtl/>
          </w:rPr>
          <w:t>349(ב)</w:t>
        </w:r>
      </w:hyperlink>
    </w:p>
    <w:p w14:paraId="5A6ACD32" w14:textId="77777777" w:rsidR="0045046C" w:rsidRPr="0045046C" w:rsidRDefault="0045046C" w:rsidP="0045046C">
      <w:pPr>
        <w:spacing w:after="120" w:line="240" w:lineRule="exact"/>
        <w:ind w:left="283" w:hanging="283"/>
        <w:rPr>
          <w:rFonts w:ascii="FrankRuehl" w:hAnsi="FrankRuehl" w:cs="FrankRuehl"/>
          <w:sz w:val="24"/>
          <w:rtl/>
        </w:rPr>
      </w:pPr>
      <w:hyperlink r:id="rId9" w:history="1">
        <w:r w:rsidRPr="0045046C">
          <w:rPr>
            <w:rFonts w:ascii="FrankRuehl" w:hAnsi="FrankRuehl" w:cs="FrankRuehl"/>
            <w:color w:val="0000FF"/>
            <w:sz w:val="24"/>
            <w:u w:val="single"/>
            <w:rtl/>
          </w:rPr>
          <w:t>פקודת המבחן [נוסח חדש], תשכ"ט-1969</w:t>
        </w:r>
      </w:hyperlink>
    </w:p>
    <w:p w14:paraId="4E4EDAD1" w14:textId="77777777" w:rsidR="0045046C" w:rsidRPr="0045046C" w:rsidRDefault="0045046C" w:rsidP="0045046C">
      <w:pPr>
        <w:spacing w:after="120" w:line="240" w:lineRule="exact"/>
        <w:ind w:left="283" w:hanging="283"/>
        <w:rPr>
          <w:rFonts w:ascii="FrankRuehl" w:hAnsi="FrankRuehl" w:cs="FrankRuehl"/>
          <w:sz w:val="24"/>
          <w:rtl/>
        </w:rPr>
      </w:pPr>
      <w:hyperlink r:id="rId10" w:history="1">
        <w:r w:rsidRPr="0045046C">
          <w:rPr>
            <w:rFonts w:ascii="FrankRuehl" w:hAnsi="FrankRuehl" w:cs="FrankRuehl"/>
            <w:color w:val="0000FF"/>
            <w:sz w:val="24"/>
            <w:u w:val="single"/>
            <w:rtl/>
          </w:rPr>
          <w:t>חוק הגנה על הציבור מפני ביצוע עבירות מין, תשס"ו-2006</w:t>
        </w:r>
      </w:hyperlink>
      <w:r w:rsidRPr="0045046C">
        <w:rPr>
          <w:rFonts w:ascii="FrankRuehl" w:hAnsi="FrankRuehl" w:cs="FrankRuehl"/>
          <w:sz w:val="24"/>
          <w:rtl/>
        </w:rPr>
        <w:t xml:space="preserve">: סע'  </w:t>
      </w:r>
      <w:hyperlink r:id="rId11" w:history="1">
        <w:r w:rsidRPr="0045046C">
          <w:rPr>
            <w:rFonts w:ascii="FrankRuehl" w:hAnsi="FrankRuehl" w:cs="FrankRuehl"/>
            <w:color w:val="0000FF"/>
            <w:sz w:val="24"/>
            <w:u w:val="single"/>
            <w:rtl/>
          </w:rPr>
          <w:t>12</w:t>
        </w:r>
      </w:hyperlink>
    </w:p>
    <w:p w14:paraId="422D7418" w14:textId="77777777" w:rsidR="0045046C" w:rsidRPr="0045046C" w:rsidRDefault="0045046C" w:rsidP="0045046C">
      <w:pPr>
        <w:spacing w:after="120" w:line="240" w:lineRule="exact"/>
        <w:ind w:left="283" w:hanging="283"/>
        <w:rPr>
          <w:rFonts w:ascii="FrankRuehl" w:hAnsi="FrankRuehl" w:cs="FrankRuehl"/>
          <w:sz w:val="24"/>
          <w:rtl/>
        </w:rPr>
      </w:pPr>
    </w:p>
    <w:p w14:paraId="64CB9355" w14:textId="77777777" w:rsidR="0045046C" w:rsidRPr="0045046C" w:rsidRDefault="0045046C">
      <w:pPr>
        <w:spacing w:line="240" w:lineRule="auto"/>
        <w:rPr>
          <w:rtl/>
        </w:rPr>
      </w:pPr>
      <w:bookmarkStart w:id="6" w:name="LawTable_End"/>
      <w:bookmarkEnd w:id="6"/>
    </w:p>
    <w:p w14:paraId="70E0232E" w14:textId="77777777" w:rsidR="0045046C" w:rsidRPr="0045046C" w:rsidRDefault="0045046C">
      <w:pPr>
        <w:spacing w:line="240" w:lineRule="auto"/>
        <w:rPr>
          <w:rtl/>
        </w:rPr>
      </w:pPr>
    </w:p>
    <w:p w14:paraId="61B28CDA" w14:textId="77777777" w:rsidR="0045046C" w:rsidRPr="0045046C" w:rsidRDefault="0045046C">
      <w:pPr>
        <w:spacing w:line="240" w:lineRule="auto"/>
        <w:rPr>
          <w:rtl/>
        </w:rPr>
      </w:pPr>
    </w:p>
    <w:p w14:paraId="19D26BD4" w14:textId="77777777" w:rsidR="00E4799B" w:rsidRPr="0045046C" w:rsidRDefault="00E4799B">
      <w:pPr>
        <w:spacing w:line="240" w:lineRule="auto"/>
        <w:rPr>
          <w:rFonts w:hint="cs"/>
          <w:rtl/>
        </w:rPr>
      </w:pPr>
    </w:p>
    <w:p w14:paraId="387F5552" w14:textId="77777777" w:rsidR="000641FA" w:rsidRPr="000641FA" w:rsidRDefault="000641FA">
      <w:pPr>
        <w:pStyle w:val="Heading1"/>
        <w:spacing w:line="240" w:lineRule="auto"/>
        <w:rPr>
          <w:b w:val="0"/>
          <w:bCs w:val="0"/>
          <w:u w:val="none"/>
          <w:rtl/>
        </w:rPr>
      </w:pPr>
      <w:bookmarkStart w:id="7" w:name="סוג_מסמך"/>
    </w:p>
    <w:p w14:paraId="07F8F233" w14:textId="77777777" w:rsidR="000641FA" w:rsidRPr="000641FA" w:rsidRDefault="000641FA">
      <w:pPr>
        <w:pStyle w:val="Heading1"/>
        <w:spacing w:line="240" w:lineRule="auto"/>
        <w:rPr>
          <w:u w:val="none"/>
          <w:rtl/>
        </w:rPr>
      </w:pPr>
    </w:p>
    <w:p w14:paraId="747045F9" w14:textId="77777777" w:rsidR="00D8646F" w:rsidRPr="000641FA" w:rsidRDefault="00D8646F">
      <w:pPr>
        <w:pStyle w:val="Heading1"/>
        <w:spacing w:line="240" w:lineRule="auto"/>
        <w:rPr>
          <w:u w:val="none"/>
          <w:rtl/>
        </w:rPr>
      </w:pPr>
    </w:p>
    <w:p w14:paraId="12394B2F" w14:textId="77777777" w:rsidR="00D8646F" w:rsidRPr="00D8646F" w:rsidRDefault="00D8646F" w:rsidP="00D8646F">
      <w:pPr>
        <w:jc w:val="center"/>
        <w:rPr>
          <w:b/>
          <w:bCs/>
          <w:sz w:val="32"/>
          <w:szCs w:val="32"/>
          <w:u w:val="single"/>
          <w:rtl/>
        </w:rPr>
      </w:pPr>
      <w:bookmarkStart w:id="8" w:name="PsakDin"/>
      <w:bookmarkEnd w:id="0"/>
      <w:bookmarkEnd w:id="7"/>
      <w:r w:rsidRPr="00D8646F">
        <w:rPr>
          <w:b/>
          <w:bCs/>
          <w:sz w:val="32"/>
          <w:szCs w:val="32"/>
          <w:u w:val="single"/>
          <w:rtl/>
        </w:rPr>
        <w:t>הכרעת דין</w:t>
      </w:r>
    </w:p>
    <w:bookmarkEnd w:id="8"/>
    <w:p w14:paraId="3B0608F1" w14:textId="77777777" w:rsidR="00E4799B" w:rsidRDefault="00E4799B">
      <w:pPr>
        <w:rPr>
          <w:rFonts w:hint="cs"/>
          <w:rtl/>
        </w:rPr>
      </w:pPr>
    </w:p>
    <w:p w14:paraId="7191C83C" w14:textId="77777777" w:rsidR="00E4799B" w:rsidRDefault="00E4799B">
      <w:pPr>
        <w:ind w:left="720" w:hanging="720"/>
        <w:rPr>
          <w:rFonts w:hint="cs"/>
          <w:b/>
          <w:bCs/>
          <w:rtl/>
        </w:rPr>
      </w:pPr>
      <w:r>
        <w:rPr>
          <w:rFonts w:hint="cs"/>
          <w:b/>
          <w:bCs/>
          <w:rtl/>
        </w:rPr>
        <w:t>1</w:t>
      </w:r>
      <w:r>
        <w:rPr>
          <w:rFonts w:hint="cs"/>
          <w:rtl/>
        </w:rPr>
        <w:t>.</w:t>
      </w:r>
      <w:r>
        <w:rPr>
          <w:rFonts w:hint="cs"/>
          <w:rtl/>
        </w:rPr>
        <w:tab/>
      </w:r>
      <w:bookmarkStart w:id="9" w:name="ABSTRACT_START"/>
      <w:bookmarkEnd w:id="9"/>
      <w:r>
        <w:rPr>
          <w:rFonts w:hint="cs"/>
          <w:b/>
          <w:bCs/>
          <w:rtl/>
        </w:rPr>
        <w:t>כנגד הנאשם, יליד 1959, הוגש כתב אישום המייחס לו עבירה של</w:t>
      </w:r>
      <w:r>
        <w:rPr>
          <w:rFonts w:hint="cs"/>
          <w:rtl/>
        </w:rPr>
        <w:t xml:space="preserve"> </w:t>
      </w:r>
      <w:r>
        <w:rPr>
          <w:rFonts w:hint="cs"/>
          <w:b/>
          <w:bCs/>
          <w:rtl/>
        </w:rPr>
        <w:t xml:space="preserve">מעשה מגונה בפומבי בפני קטין – עבירה לפי </w:t>
      </w:r>
      <w:hyperlink r:id="rId12" w:history="1">
        <w:r w:rsidR="0045046C" w:rsidRPr="0045046C">
          <w:rPr>
            <w:b/>
            <w:bCs/>
            <w:color w:val="0000FF"/>
            <w:u w:val="single"/>
            <w:rtl/>
          </w:rPr>
          <w:t>סעיף 349(ב)</w:t>
        </w:r>
      </w:hyperlink>
      <w:r>
        <w:rPr>
          <w:rFonts w:hint="cs"/>
          <w:b/>
          <w:bCs/>
          <w:rtl/>
        </w:rPr>
        <w:t xml:space="preserve"> ל</w:t>
      </w:r>
      <w:hyperlink r:id="rId13" w:history="1">
        <w:r w:rsidR="000641FA" w:rsidRPr="000641FA">
          <w:rPr>
            <w:rStyle w:val="Hyperlink"/>
            <w:b/>
            <w:bCs/>
            <w:rtl/>
          </w:rPr>
          <w:t>חוק העונשין</w:t>
        </w:r>
      </w:hyperlink>
      <w:r>
        <w:rPr>
          <w:rFonts w:hint="cs"/>
          <w:b/>
          <w:bCs/>
          <w:rtl/>
        </w:rPr>
        <w:t>, התשל"ז-1977 (להלן : "</w:t>
      </w:r>
      <w:r>
        <w:rPr>
          <w:rFonts w:hint="cs"/>
          <w:rtl/>
        </w:rPr>
        <w:t>חוק העונשין</w:t>
      </w:r>
      <w:r>
        <w:rPr>
          <w:rFonts w:hint="cs"/>
          <w:b/>
          <w:bCs/>
          <w:rtl/>
        </w:rPr>
        <w:t>").</w:t>
      </w:r>
    </w:p>
    <w:p w14:paraId="00BB98F7" w14:textId="77777777" w:rsidR="00E4799B" w:rsidRDefault="00E4799B">
      <w:pPr>
        <w:rPr>
          <w:rFonts w:hint="cs"/>
          <w:b/>
          <w:bCs/>
          <w:rtl/>
        </w:rPr>
      </w:pPr>
      <w:bookmarkStart w:id="10" w:name="ABSTRACT_END"/>
      <w:bookmarkEnd w:id="10"/>
    </w:p>
    <w:p w14:paraId="37E7F640" w14:textId="77777777" w:rsidR="00E4799B" w:rsidRDefault="00E4799B">
      <w:pPr>
        <w:ind w:left="720" w:hanging="720"/>
        <w:rPr>
          <w:b/>
          <w:bCs/>
        </w:rPr>
      </w:pPr>
      <w:r>
        <w:rPr>
          <w:rFonts w:hint="cs"/>
          <w:b/>
          <w:bCs/>
          <w:rtl/>
        </w:rPr>
        <w:t>2.</w:t>
      </w:r>
      <w:r>
        <w:rPr>
          <w:rFonts w:hint="cs"/>
          <w:b/>
          <w:bCs/>
          <w:rtl/>
        </w:rPr>
        <w:tab/>
        <w:t>על פי כתב האישום המתוקן, הנאשם, במועד שאינו ידוע למאשימה, לפני 4.3.2006,  חשף את איבר מינו באופן שבצבץ מבעד למכנסיו הקצרים בפני 4 קטינות ילידות 1994, לשם גירוי, סיפוק או ביזוי מיניים, ובמעשיו אלו ביצע מעשה מגונה בפני קטינות שטרם מלאו להן 16 שנים.</w:t>
      </w:r>
    </w:p>
    <w:p w14:paraId="58DEC9C5" w14:textId="77777777" w:rsidR="00E4799B" w:rsidRDefault="00E4799B">
      <w:pPr>
        <w:rPr>
          <w:b/>
          <w:bCs/>
        </w:rPr>
      </w:pPr>
    </w:p>
    <w:p w14:paraId="75EF6BAC" w14:textId="77777777" w:rsidR="00E4799B" w:rsidRDefault="00E4799B">
      <w:pPr>
        <w:ind w:left="720" w:hanging="720"/>
        <w:rPr>
          <w:rFonts w:hint="cs"/>
          <w:b/>
          <w:bCs/>
          <w:rtl/>
        </w:rPr>
      </w:pPr>
      <w:r>
        <w:rPr>
          <w:rFonts w:hint="cs"/>
          <w:b/>
          <w:bCs/>
          <w:rtl/>
        </w:rPr>
        <w:lastRenderedPageBreak/>
        <w:t>3.</w:t>
      </w:r>
      <w:r>
        <w:rPr>
          <w:rFonts w:hint="cs"/>
          <w:b/>
          <w:bCs/>
          <w:rtl/>
        </w:rPr>
        <w:tab/>
        <w:t>הצדדים הגיעו להסדר במסגרתו תוקן כתב האישום, לנוסח האמור לעיל, הנאשם הודה באמור בכתב האישום, ובהסכמה לא הורשע אותו שלב, תוך שנקבע כי הוא ביצע את העבירה המיוחסת לו.</w:t>
      </w:r>
    </w:p>
    <w:p w14:paraId="7D028EE8" w14:textId="77777777" w:rsidR="00E4799B" w:rsidRDefault="00E4799B">
      <w:pPr>
        <w:rPr>
          <w:b/>
          <w:bCs/>
        </w:rPr>
      </w:pPr>
    </w:p>
    <w:p w14:paraId="663149FF" w14:textId="77777777" w:rsidR="00E4799B" w:rsidRDefault="00E4799B">
      <w:pPr>
        <w:ind w:left="720" w:hanging="720"/>
        <w:rPr>
          <w:rFonts w:hint="cs"/>
          <w:b/>
          <w:bCs/>
          <w:rtl/>
        </w:rPr>
      </w:pPr>
      <w:r>
        <w:rPr>
          <w:rFonts w:hint="cs"/>
          <w:b/>
          <w:bCs/>
          <w:rtl/>
        </w:rPr>
        <w:t>4.</w:t>
      </w:r>
      <w:r>
        <w:rPr>
          <w:rFonts w:hint="cs"/>
          <w:b/>
          <w:bCs/>
          <w:rtl/>
        </w:rPr>
        <w:tab/>
        <w:t>המאשימה הודיעה כי היא תעתור להרשעה, ותהיה מוכנה לשקול עונש של של"צ במקום עבודות שירות ככל שהתסקיר יהיה חיובי.</w:t>
      </w:r>
    </w:p>
    <w:p w14:paraId="0BF0B540" w14:textId="77777777" w:rsidR="00E4799B" w:rsidRDefault="00E4799B">
      <w:pPr>
        <w:rPr>
          <w:b/>
          <w:bCs/>
        </w:rPr>
      </w:pPr>
    </w:p>
    <w:p w14:paraId="2C660429" w14:textId="77777777" w:rsidR="00E4799B" w:rsidRDefault="00E4799B">
      <w:pPr>
        <w:rPr>
          <w:rFonts w:hint="cs"/>
          <w:b/>
          <w:bCs/>
          <w:rtl/>
        </w:rPr>
      </w:pPr>
      <w:r>
        <w:rPr>
          <w:rFonts w:hint="cs"/>
          <w:b/>
          <w:bCs/>
          <w:rtl/>
        </w:rPr>
        <w:t>5.</w:t>
      </w:r>
      <w:r>
        <w:rPr>
          <w:rFonts w:hint="cs"/>
          <w:b/>
          <w:bCs/>
          <w:rtl/>
        </w:rPr>
        <w:tab/>
        <w:t>הנאשם נשלח לקבלת תסקיר לשאלת ההרשעה והעונש, וכן לקבלת הערכת מסוכנות.</w:t>
      </w:r>
    </w:p>
    <w:p w14:paraId="60BA5D4D" w14:textId="77777777" w:rsidR="00E4799B" w:rsidRDefault="00E4799B">
      <w:pPr>
        <w:rPr>
          <w:b/>
          <w:bCs/>
        </w:rPr>
      </w:pPr>
    </w:p>
    <w:p w14:paraId="689A4CF4" w14:textId="77777777" w:rsidR="00E4799B" w:rsidRDefault="00E4799B">
      <w:pPr>
        <w:ind w:left="720" w:hanging="720"/>
        <w:rPr>
          <w:rFonts w:hint="cs"/>
          <w:b/>
          <w:bCs/>
          <w:rtl/>
        </w:rPr>
      </w:pPr>
      <w:r>
        <w:rPr>
          <w:rFonts w:hint="cs"/>
          <w:b/>
          <w:bCs/>
          <w:rtl/>
        </w:rPr>
        <w:t>6.</w:t>
      </w:r>
      <w:r>
        <w:rPr>
          <w:rFonts w:hint="cs"/>
          <w:b/>
          <w:bCs/>
          <w:rtl/>
        </w:rPr>
        <w:tab/>
        <w:t>בעניינו של הנאשם הוגשו שלושה תסקירים, אשר מפאת צינעת הפרט לא יפורטו כל פרטיהם. מהתסקירים עולה כי הנאשם משתף פעולה עם שירות המבחן ומשתתף בטיפול קבוצתי ייעודי. שירות המבחן מציין שיתוף פעולה מלא והגעה למפגשים.</w:t>
      </w:r>
    </w:p>
    <w:p w14:paraId="028721C2" w14:textId="77777777" w:rsidR="00E4799B" w:rsidRDefault="00E4799B">
      <w:pPr>
        <w:rPr>
          <w:b/>
          <w:bCs/>
        </w:rPr>
      </w:pPr>
    </w:p>
    <w:p w14:paraId="1526BF49" w14:textId="77777777" w:rsidR="00E4799B" w:rsidRDefault="00E4799B">
      <w:pPr>
        <w:ind w:left="720"/>
        <w:rPr>
          <w:rFonts w:hint="cs"/>
          <w:b/>
          <w:bCs/>
          <w:rtl/>
        </w:rPr>
      </w:pPr>
      <w:r>
        <w:rPr>
          <w:rFonts w:hint="cs"/>
          <w:b/>
          <w:bCs/>
          <w:rtl/>
        </w:rPr>
        <w:t>על פי התסקיר, בשל הערכת שירות המבחן את מאפייניו האישיותיים וההתנהגותיים של הנאשם ביחס לבעייתיות בתחום המיני ואת רמת הסיכון לחזרה על עבריינות מינית, אשר הוערכה על פי הערכת המסוכנות כבינונית, יש צורך בטיפול ארוך טווח, שיהיה גם גורם מפקח ומעקב אחר התמודדות הנאשם עם מצבי וגורמי סיכון הסמוכים לזמן הטיפול.</w:t>
      </w:r>
    </w:p>
    <w:p w14:paraId="0A8502A8" w14:textId="77777777" w:rsidR="00E4799B" w:rsidRDefault="00E4799B">
      <w:pPr>
        <w:rPr>
          <w:rFonts w:hint="cs"/>
          <w:b/>
          <w:bCs/>
          <w:rtl/>
        </w:rPr>
      </w:pPr>
    </w:p>
    <w:p w14:paraId="2BC394D0" w14:textId="77777777" w:rsidR="00E4799B" w:rsidRDefault="00E4799B">
      <w:pPr>
        <w:ind w:left="720" w:hanging="720"/>
        <w:rPr>
          <w:rFonts w:hint="cs"/>
          <w:b/>
          <w:bCs/>
          <w:rtl/>
        </w:rPr>
      </w:pPr>
      <w:r>
        <w:rPr>
          <w:rFonts w:hint="cs"/>
          <w:b/>
          <w:bCs/>
          <w:rtl/>
        </w:rPr>
        <w:tab/>
        <w:t>שירות המבחן מתרשם כי ההליך המשפטי המתנהל והבנת הנאשם את חומרת מעשיו מהווים גורם מרתיע ומציב גבולות, ולאור זאת ממליץ שירות המבחן לשקול את אי הרשעת הנאשם.</w:t>
      </w:r>
    </w:p>
    <w:p w14:paraId="0930C8BB" w14:textId="77777777" w:rsidR="00E4799B" w:rsidRDefault="00E4799B">
      <w:pPr>
        <w:rPr>
          <w:b/>
          <w:bCs/>
        </w:rPr>
      </w:pPr>
    </w:p>
    <w:p w14:paraId="2F916741" w14:textId="77777777" w:rsidR="00E4799B" w:rsidRDefault="00E4799B">
      <w:pPr>
        <w:ind w:firstLine="720"/>
        <w:rPr>
          <w:rFonts w:hint="cs"/>
          <w:b/>
          <w:bCs/>
          <w:rtl/>
        </w:rPr>
      </w:pPr>
      <w:r>
        <w:rPr>
          <w:rFonts w:hint="cs"/>
          <w:b/>
          <w:bCs/>
          <w:rtl/>
        </w:rPr>
        <w:t>שירות המבחן מציין כי הנאשם חושש כי יפגע תפקודו התעסוקתי.</w:t>
      </w:r>
    </w:p>
    <w:p w14:paraId="783300BA" w14:textId="77777777" w:rsidR="00E4799B" w:rsidRDefault="00E4799B">
      <w:pPr>
        <w:rPr>
          <w:rFonts w:hint="cs"/>
          <w:b/>
          <w:bCs/>
          <w:rtl/>
        </w:rPr>
      </w:pPr>
    </w:p>
    <w:p w14:paraId="57AFD0C9" w14:textId="77777777" w:rsidR="00E4799B" w:rsidRDefault="00E4799B">
      <w:pPr>
        <w:ind w:left="720"/>
        <w:rPr>
          <w:rFonts w:hint="cs"/>
          <w:b/>
          <w:bCs/>
          <w:rtl/>
        </w:rPr>
      </w:pPr>
      <w:r>
        <w:rPr>
          <w:rFonts w:hint="cs"/>
          <w:b/>
          <w:bCs/>
          <w:rtl/>
        </w:rPr>
        <w:t>שירות המבחן ממליץ על צו מבחן לשנה, של"צ בהיקף 150 שעות ופיצוי כספי למתלוננות.</w:t>
      </w:r>
    </w:p>
    <w:p w14:paraId="0EE99A8C" w14:textId="77777777" w:rsidR="00E4799B" w:rsidRDefault="00E4799B">
      <w:pPr>
        <w:rPr>
          <w:rFonts w:hint="cs"/>
          <w:b/>
          <w:bCs/>
          <w:rtl/>
        </w:rPr>
      </w:pPr>
    </w:p>
    <w:p w14:paraId="32DA9313" w14:textId="77777777" w:rsidR="00E4799B" w:rsidRDefault="00E4799B">
      <w:pPr>
        <w:ind w:left="720" w:hanging="720"/>
        <w:rPr>
          <w:rFonts w:hint="cs"/>
          <w:b/>
          <w:bCs/>
          <w:rtl/>
        </w:rPr>
      </w:pPr>
      <w:r>
        <w:rPr>
          <w:rFonts w:hint="cs"/>
          <w:b/>
          <w:bCs/>
          <w:rtl/>
        </w:rPr>
        <w:t>7.</w:t>
      </w:r>
      <w:r>
        <w:rPr>
          <w:rFonts w:hint="cs"/>
          <w:b/>
          <w:bCs/>
          <w:rtl/>
        </w:rPr>
        <w:tab/>
        <w:t xml:space="preserve">הוגשה הערכת מסוכנות ועל פיה הנאשם בעל רמת מסוכנות מינית בינונית לרצידיביזם מיני. </w:t>
      </w:r>
    </w:p>
    <w:p w14:paraId="06490BCF" w14:textId="77777777" w:rsidR="00E4799B" w:rsidRDefault="00E4799B">
      <w:pPr>
        <w:ind w:left="720" w:hanging="720"/>
        <w:rPr>
          <w:rFonts w:hint="cs"/>
          <w:b/>
          <w:bCs/>
          <w:rtl/>
        </w:rPr>
      </w:pPr>
    </w:p>
    <w:p w14:paraId="3B56B7C0" w14:textId="77777777" w:rsidR="00E4799B" w:rsidRDefault="00E4799B">
      <w:pPr>
        <w:ind w:left="720" w:hanging="720"/>
        <w:rPr>
          <w:b/>
          <w:bCs/>
        </w:rPr>
      </w:pPr>
      <w:r>
        <w:rPr>
          <w:rFonts w:hint="cs"/>
          <w:b/>
          <w:bCs/>
          <w:rtl/>
        </w:rPr>
        <w:t>8.</w:t>
      </w:r>
      <w:r>
        <w:rPr>
          <w:rFonts w:hint="cs"/>
          <w:b/>
          <w:bCs/>
          <w:rtl/>
        </w:rPr>
        <w:tab/>
        <w:t>ב"כ המאשימה עותר להרשעת הנאשם ומדגיש את חומרת המעשה אל מול קטינות ילידות 1994, וטוען כי על רכיב ההרתעה לגבור. ב"כ המאשימה טוען כי יש להגן על קטינים וכי אי הרשעה הינה תוצאה לקולא.</w:t>
      </w:r>
    </w:p>
    <w:p w14:paraId="08D41965" w14:textId="77777777" w:rsidR="00E4799B" w:rsidRDefault="00E4799B">
      <w:pPr>
        <w:rPr>
          <w:b/>
          <w:bCs/>
        </w:rPr>
      </w:pPr>
    </w:p>
    <w:p w14:paraId="4BDEE699" w14:textId="77777777" w:rsidR="00E4799B" w:rsidRDefault="00E4799B">
      <w:pPr>
        <w:ind w:firstLine="720"/>
        <w:rPr>
          <w:rFonts w:hint="cs"/>
          <w:b/>
          <w:bCs/>
          <w:rtl/>
        </w:rPr>
      </w:pPr>
      <w:r>
        <w:rPr>
          <w:rFonts w:hint="cs"/>
          <w:b/>
          <w:bCs/>
          <w:rtl/>
        </w:rPr>
        <w:t>ב"כ המאשימה מוסיף כי הוא אינו מוצא קיומו של נזק ממשי לנאשם באם יורשע.</w:t>
      </w:r>
    </w:p>
    <w:p w14:paraId="41414A2F" w14:textId="77777777" w:rsidR="00E4799B" w:rsidRDefault="00E4799B">
      <w:pPr>
        <w:rPr>
          <w:rFonts w:hint="cs"/>
          <w:b/>
          <w:bCs/>
          <w:rtl/>
        </w:rPr>
      </w:pPr>
    </w:p>
    <w:p w14:paraId="00C7B54F" w14:textId="77777777" w:rsidR="00E4799B" w:rsidRDefault="00E4799B">
      <w:pPr>
        <w:ind w:left="720" w:hanging="720"/>
        <w:rPr>
          <w:rFonts w:hint="cs"/>
          <w:b/>
          <w:bCs/>
          <w:rtl/>
        </w:rPr>
      </w:pPr>
      <w:r>
        <w:rPr>
          <w:rFonts w:hint="cs"/>
          <w:b/>
          <w:bCs/>
          <w:rtl/>
        </w:rPr>
        <w:t>9.</w:t>
      </w:r>
      <w:r>
        <w:rPr>
          <w:rFonts w:hint="cs"/>
          <w:b/>
          <w:bCs/>
          <w:rtl/>
        </w:rPr>
        <w:tab/>
        <w:t>ב"כ הנאשם עותר לאימוץ המלצת התסקיר בדבר אי הרשעה, מדגיש את הודיית הנאשם ואת העובדה שחסך העדת הקטינות והדגיש כי מדובר בהסתבכותו הראשונה של הנאשם עם החוק.</w:t>
      </w:r>
    </w:p>
    <w:p w14:paraId="08834F13" w14:textId="77777777" w:rsidR="00E4799B" w:rsidRDefault="00E4799B">
      <w:pPr>
        <w:rPr>
          <w:rFonts w:hint="cs"/>
          <w:b/>
          <w:bCs/>
          <w:rtl/>
        </w:rPr>
      </w:pPr>
      <w:r>
        <w:rPr>
          <w:rFonts w:hint="cs"/>
          <w:b/>
          <w:bCs/>
          <w:rtl/>
        </w:rPr>
        <w:t xml:space="preserve"> </w:t>
      </w:r>
    </w:p>
    <w:p w14:paraId="307D484C" w14:textId="77777777" w:rsidR="00E4799B" w:rsidRDefault="00E4799B">
      <w:pPr>
        <w:ind w:left="720"/>
        <w:rPr>
          <w:b/>
          <w:bCs/>
        </w:rPr>
      </w:pPr>
      <w:r>
        <w:rPr>
          <w:rFonts w:hint="cs"/>
          <w:b/>
          <w:bCs/>
          <w:rtl/>
        </w:rPr>
        <w:t>ב"כ הנאשם מפנה להליך הטיפולי, ומוסיף כי הנאשם מורתע ומפנה לתסקירים המציינים את משמעות ההליך עבור הנאשם.</w:t>
      </w:r>
    </w:p>
    <w:p w14:paraId="514B5A05" w14:textId="77777777" w:rsidR="00E4799B" w:rsidRDefault="00E4799B">
      <w:pPr>
        <w:rPr>
          <w:b/>
          <w:bCs/>
        </w:rPr>
      </w:pPr>
    </w:p>
    <w:p w14:paraId="52C9622C" w14:textId="77777777" w:rsidR="00E4799B" w:rsidRDefault="00E4799B">
      <w:pPr>
        <w:ind w:left="720" w:hanging="720"/>
        <w:rPr>
          <w:rFonts w:hint="cs"/>
          <w:b/>
          <w:bCs/>
          <w:rtl/>
        </w:rPr>
      </w:pPr>
      <w:r>
        <w:rPr>
          <w:rFonts w:hint="cs"/>
          <w:b/>
          <w:bCs/>
          <w:rtl/>
        </w:rPr>
        <w:t>10.</w:t>
      </w:r>
      <w:r>
        <w:rPr>
          <w:rFonts w:hint="cs"/>
          <w:b/>
          <w:bCs/>
          <w:rtl/>
        </w:rPr>
        <w:tab/>
        <w:t>ב"כ הנאשם טוען כי מתקיימות נסיבות מיוחדות לאי הרשעה וכי לגיליון רישום פלילי נקי יש משמעות בכל מקום עבודה ובפרט בעבודת הנאשם במלון.</w:t>
      </w:r>
    </w:p>
    <w:p w14:paraId="12C806CE" w14:textId="77777777" w:rsidR="00E4799B" w:rsidRDefault="00E4799B">
      <w:pPr>
        <w:rPr>
          <w:b/>
          <w:bCs/>
        </w:rPr>
      </w:pPr>
    </w:p>
    <w:p w14:paraId="1EB9D7FE" w14:textId="77777777" w:rsidR="00E4799B" w:rsidRDefault="00E4799B">
      <w:pPr>
        <w:ind w:left="720"/>
        <w:rPr>
          <w:rFonts w:hint="cs"/>
          <w:b/>
          <w:bCs/>
          <w:rtl/>
        </w:rPr>
      </w:pPr>
      <w:r>
        <w:rPr>
          <w:rFonts w:hint="cs"/>
          <w:b/>
          <w:bCs/>
          <w:rtl/>
        </w:rPr>
        <w:t>עוד מציין ב"כ הנאשם כי לא היה מגע בין הנאשם לקטינות וכי מדובר בחשיפה מינורית לטענתו.</w:t>
      </w:r>
    </w:p>
    <w:p w14:paraId="5A9FE5DE" w14:textId="77777777" w:rsidR="00E4799B" w:rsidRDefault="00E4799B">
      <w:pPr>
        <w:rPr>
          <w:b/>
          <w:bCs/>
        </w:rPr>
      </w:pPr>
    </w:p>
    <w:p w14:paraId="43425123" w14:textId="77777777" w:rsidR="00E4799B" w:rsidRDefault="00E4799B">
      <w:pPr>
        <w:ind w:left="720" w:hanging="720"/>
        <w:rPr>
          <w:rFonts w:hint="cs"/>
          <w:b/>
          <w:bCs/>
          <w:rtl/>
        </w:rPr>
      </w:pPr>
      <w:r>
        <w:rPr>
          <w:rFonts w:hint="cs"/>
          <w:b/>
          <w:bCs/>
          <w:rtl/>
        </w:rPr>
        <w:t>11.</w:t>
      </w:r>
      <w:r>
        <w:rPr>
          <w:rFonts w:hint="cs"/>
          <w:b/>
          <w:bCs/>
          <w:rtl/>
        </w:rPr>
        <w:tab/>
        <w:t>משנקבע כי אדם ביצע עבירה עליו להיות מורשע. זה הכלל. אי ההרשעה הינה חריג בהתקיים נסיבות מיוחדות ומבחנים כפי שיפורטו להלן.</w:t>
      </w:r>
    </w:p>
    <w:p w14:paraId="622F7D3C" w14:textId="77777777" w:rsidR="00E4799B" w:rsidRDefault="00E4799B">
      <w:pPr>
        <w:rPr>
          <w:rFonts w:hint="cs"/>
          <w:b/>
          <w:bCs/>
          <w:rtl/>
        </w:rPr>
      </w:pPr>
    </w:p>
    <w:p w14:paraId="52E4589D" w14:textId="77777777" w:rsidR="00E4799B" w:rsidRDefault="00E4799B">
      <w:pPr>
        <w:rPr>
          <w:rFonts w:hint="cs"/>
          <w:b/>
          <w:bCs/>
          <w:rtl/>
        </w:rPr>
      </w:pPr>
    </w:p>
    <w:p w14:paraId="1D285581" w14:textId="77777777" w:rsidR="00E4799B" w:rsidRDefault="00E4799B">
      <w:pPr>
        <w:ind w:left="720" w:hanging="720"/>
        <w:rPr>
          <w:rFonts w:hint="cs"/>
          <w:b/>
          <w:bCs/>
          <w:rtl/>
        </w:rPr>
      </w:pPr>
      <w:r>
        <w:rPr>
          <w:rFonts w:hint="cs"/>
          <w:b/>
          <w:bCs/>
          <w:rtl/>
        </w:rPr>
        <w:t xml:space="preserve">12. </w:t>
      </w:r>
      <w:r>
        <w:rPr>
          <w:rFonts w:hint="cs"/>
          <w:b/>
          <w:bCs/>
          <w:rtl/>
        </w:rPr>
        <w:tab/>
      </w:r>
    </w:p>
    <w:p w14:paraId="2F6500DE" w14:textId="77777777" w:rsidR="00E4799B" w:rsidRDefault="00E4799B">
      <w:pPr>
        <w:spacing w:line="240" w:lineRule="auto"/>
        <w:ind w:left="1367" w:right="709"/>
        <w:rPr>
          <w:rFonts w:cs="Guttman Keren" w:hint="cs"/>
          <w:szCs w:val="20"/>
          <w:rtl/>
        </w:rPr>
      </w:pPr>
      <w:r>
        <w:rPr>
          <w:rFonts w:ascii="Guttman Keren" w:hAnsi="Guttman Keren"/>
          <w:szCs w:val="20"/>
          <w:rtl/>
        </w:rPr>
        <w:t xml:space="preserve">"הימנעות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 </w:t>
      </w:r>
    </w:p>
    <w:p w14:paraId="50DF17AB" w14:textId="77777777" w:rsidR="00E4799B" w:rsidRDefault="00E4799B">
      <w:pPr>
        <w:rPr>
          <w:b/>
          <w:bCs/>
        </w:rPr>
      </w:pPr>
    </w:p>
    <w:p w14:paraId="199BDEDA" w14:textId="77777777" w:rsidR="00E4799B" w:rsidRDefault="00E4799B">
      <w:pP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hyperlink r:id="rId14" w:history="1">
        <w:r w:rsidR="0045046C" w:rsidRPr="0045046C">
          <w:rPr>
            <w:b/>
            <w:bCs/>
            <w:color w:val="0000FF"/>
            <w:szCs w:val="20"/>
            <w:u w:val="single"/>
            <w:rtl/>
          </w:rPr>
          <w:t xml:space="preserve">ע"פ 96 / 2083 </w:t>
        </w:r>
      </w:hyperlink>
      <w:r>
        <w:rPr>
          <w:rFonts w:hint="cs"/>
          <w:b/>
          <w:bCs/>
          <w:szCs w:val="20"/>
          <w:rtl/>
        </w:rPr>
        <w:t xml:space="preserve"> תמר כתב נ' מדינת ישראל, נב (3) 337, עמוד 342</w:t>
      </w:r>
      <w:r>
        <w:rPr>
          <w:rFonts w:hint="cs"/>
          <w:b/>
          <w:bCs/>
          <w:rtl/>
        </w:rPr>
        <w:t>.</w:t>
      </w:r>
    </w:p>
    <w:p w14:paraId="0BC121F9" w14:textId="77777777" w:rsidR="00E4799B" w:rsidRDefault="00E4799B">
      <w:pPr>
        <w:rPr>
          <w:b/>
          <w:bCs/>
        </w:rPr>
      </w:pPr>
    </w:p>
    <w:p w14:paraId="0B40F998" w14:textId="77777777" w:rsidR="00E4799B" w:rsidRDefault="00E4799B">
      <w:pPr>
        <w:rPr>
          <w:rFonts w:hint="cs"/>
          <w:b/>
          <w:bCs/>
          <w:rtl/>
        </w:rPr>
      </w:pPr>
    </w:p>
    <w:p w14:paraId="56B3EF2B" w14:textId="77777777" w:rsidR="00E4799B" w:rsidRDefault="00E4799B">
      <w:pPr>
        <w:spacing w:line="240" w:lineRule="auto"/>
        <w:ind w:left="1367" w:right="709"/>
        <w:rPr>
          <w:rFonts w:ascii="Guttman Keren" w:hAnsi="Guttman Keren" w:hint="cs"/>
          <w:szCs w:val="20"/>
          <w:rtl/>
        </w:rPr>
      </w:pPr>
      <w:r>
        <w:rPr>
          <w:rFonts w:ascii="Guttman Keren" w:hAnsi="Guttman Keren"/>
          <w:szCs w:val="20"/>
          <w:rtl/>
        </w:rPr>
        <w:t xml:space="preserve">"שורת הדין מחייבת כי מי שהובא לדין ונמצא אשם, יורשע בעבירות שיוחסו לו. זהו הכלל. הסמכות הנתונה לבית המשפט להסתפק בהעמדת נאשם במבחן בלי להרשיעו בדין, יפה למקרים מיוחדים ויוצאי דופן." </w:t>
      </w:r>
    </w:p>
    <w:p w14:paraId="4FEB323E" w14:textId="77777777" w:rsidR="00E4799B" w:rsidRDefault="00E4799B">
      <w:pPr>
        <w:rPr>
          <w:b/>
          <w:bCs/>
          <w:rtl/>
        </w:rPr>
      </w:pPr>
    </w:p>
    <w:p w14:paraId="0CF34467" w14:textId="77777777" w:rsidR="00E4799B" w:rsidRDefault="0045046C">
      <w:pPr>
        <w:ind w:left="2160" w:firstLine="720"/>
        <w:rPr>
          <w:rFonts w:hint="cs"/>
          <w:b/>
          <w:bCs/>
          <w:szCs w:val="20"/>
          <w:rtl/>
        </w:rPr>
      </w:pPr>
      <w:hyperlink r:id="rId15" w:history="1">
        <w:r w:rsidRPr="0045046C">
          <w:rPr>
            <w:b/>
            <w:bCs/>
            <w:color w:val="0000FF"/>
            <w:szCs w:val="20"/>
            <w:u w:val="single"/>
            <w:rtl/>
          </w:rPr>
          <w:t xml:space="preserve">ע"פ 96 / 2513 </w:t>
        </w:r>
      </w:hyperlink>
      <w:r w:rsidR="00E4799B">
        <w:rPr>
          <w:rFonts w:hint="cs"/>
          <w:b/>
          <w:bCs/>
          <w:szCs w:val="20"/>
          <w:rtl/>
        </w:rPr>
        <w:t xml:space="preserve"> מדינת ישראל נ' ויקטור שמש נ (3) 682, עמוד 683.</w:t>
      </w:r>
    </w:p>
    <w:p w14:paraId="6B93C8A8" w14:textId="77777777" w:rsidR="00E4799B" w:rsidRDefault="00E4799B">
      <w:pPr>
        <w:ind w:left="720" w:hanging="720"/>
        <w:rPr>
          <w:b/>
          <w:bCs/>
        </w:rPr>
      </w:pPr>
      <w:r>
        <w:rPr>
          <w:rFonts w:hint="cs"/>
          <w:b/>
          <w:bCs/>
          <w:rtl/>
        </w:rPr>
        <w:t xml:space="preserve">13. </w:t>
      </w:r>
      <w:r>
        <w:rPr>
          <w:rFonts w:hint="cs"/>
          <w:b/>
          <w:bCs/>
          <w:rtl/>
        </w:rPr>
        <w:tab/>
      </w:r>
    </w:p>
    <w:p w14:paraId="1F85B970" w14:textId="77777777" w:rsidR="00E4799B" w:rsidRDefault="00E4799B">
      <w:pPr>
        <w:spacing w:line="240" w:lineRule="auto"/>
        <w:ind w:left="1367" w:right="709"/>
        <w:rPr>
          <w:rFonts w:ascii="Guttman Keren" w:hAnsi="Guttman Keren" w:hint="cs"/>
          <w:szCs w:val="20"/>
          <w:rtl/>
        </w:rPr>
      </w:pPr>
      <w:r>
        <w:rPr>
          <w:rFonts w:ascii="Guttman Keren" w:hAnsi="Guttman Keren"/>
          <w:szCs w:val="20"/>
          <w:rtl/>
        </w:rPr>
        <w:t>"החלופה העונשית של הימנעות מהרשעה, תוך הטלת צו מבחן או צו שירות לתועלת הציבור, מהווה, ביסודה, חריג לכלל הרחב הנטוע בתורת הענישה לפיו, מקום שהוכחה אשמתו של אדם, יש להרשיעו בדין ".</w:t>
      </w:r>
    </w:p>
    <w:p w14:paraId="6827C072" w14:textId="77777777" w:rsidR="00E4799B" w:rsidRDefault="00E4799B">
      <w:pPr>
        <w:rPr>
          <w:b/>
          <w:bCs/>
          <w:rtl/>
        </w:rPr>
      </w:pPr>
    </w:p>
    <w:p w14:paraId="580ECF8C" w14:textId="77777777" w:rsidR="00E4799B" w:rsidRDefault="000641FA">
      <w:pPr>
        <w:ind w:left="2880"/>
        <w:rPr>
          <w:rFonts w:hint="cs"/>
          <w:b/>
          <w:bCs/>
          <w:szCs w:val="20"/>
          <w:rtl/>
        </w:rPr>
      </w:pPr>
      <w:hyperlink r:id="rId16" w:history="1">
        <w:r w:rsidRPr="000641FA">
          <w:rPr>
            <w:rStyle w:val="Hyperlink"/>
            <w:rFonts w:hint="eastAsia"/>
            <w:b/>
            <w:bCs/>
            <w:szCs w:val="20"/>
            <w:rtl/>
          </w:rPr>
          <w:t>ע</w:t>
        </w:r>
        <w:r w:rsidRPr="000641FA">
          <w:rPr>
            <w:rStyle w:val="Hyperlink"/>
            <w:b/>
            <w:bCs/>
            <w:szCs w:val="20"/>
            <w:rtl/>
          </w:rPr>
          <w:t>"פ  9893/06</w:t>
        </w:r>
      </w:hyperlink>
      <w:r w:rsidR="00E4799B">
        <w:rPr>
          <w:rFonts w:hint="cs"/>
          <w:b/>
          <w:bCs/>
          <w:szCs w:val="20"/>
          <w:rtl/>
        </w:rPr>
        <w:t>, אסנת אלון לאופר נ' מדינת ישראל (טרם פורסם 2007).</w:t>
      </w:r>
    </w:p>
    <w:p w14:paraId="4B3D0A8C" w14:textId="77777777" w:rsidR="00E4799B" w:rsidRDefault="00E4799B">
      <w:pPr>
        <w:rPr>
          <w:rFonts w:hint="cs"/>
          <w:b/>
          <w:bCs/>
          <w:rtl/>
        </w:rPr>
      </w:pPr>
    </w:p>
    <w:p w14:paraId="7FCA6AC8" w14:textId="77777777" w:rsidR="00E4799B" w:rsidRDefault="00E4799B">
      <w:pPr>
        <w:ind w:left="720" w:hanging="720"/>
        <w:rPr>
          <w:rFonts w:hint="cs"/>
          <w:b/>
          <w:bCs/>
          <w:rtl/>
        </w:rPr>
      </w:pPr>
      <w:r>
        <w:rPr>
          <w:rFonts w:hint="cs"/>
          <w:b/>
          <w:bCs/>
          <w:rtl/>
        </w:rPr>
        <w:lastRenderedPageBreak/>
        <w:t>14.</w:t>
      </w:r>
      <w:r>
        <w:rPr>
          <w:rFonts w:hint="cs"/>
          <w:b/>
          <w:bCs/>
          <w:rtl/>
        </w:rPr>
        <w:tab/>
        <w:t xml:space="preserve">לאחר ששמעתי את טיעוני הצדדים ועיינתי בתסקירי שירות המבחן ובהערכת המסוכנות, באתי למסקנה כי יש להרשיע את הנאשם בעבירה המיוחסת לו בכתב האישום ואשר בביצועה הודה. </w:t>
      </w:r>
    </w:p>
    <w:p w14:paraId="136F7744" w14:textId="77777777" w:rsidR="00E4799B" w:rsidRDefault="00E4799B">
      <w:pPr>
        <w:rPr>
          <w:b/>
          <w:bCs/>
        </w:rPr>
      </w:pPr>
      <w:r>
        <w:rPr>
          <w:rFonts w:hint="cs"/>
          <w:b/>
          <w:bCs/>
          <w:rtl/>
        </w:rPr>
        <w:t xml:space="preserve"> </w:t>
      </w:r>
    </w:p>
    <w:p w14:paraId="363F21E1" w14:textId="77777777" w:rsidR="00E4799B" w:rsidRDefault="00E4799B">
      <w:pPr>
        <w:rPr>
          <w:b/>
          <w:bCs/>
        </w:rPr>
      </w:pPr>
      <w:r>
        <w:rPr>
          <w:rFonts w:hint="cs"/>
          <w:b/>
          <w:bCs/>
          <w:rtl/>
        </w:rPr>
        <w:t>15.</w:t>
      </w:r>
      <w:r>
        <w:rPr>
          <w:rFonts w:hint="cs"/>
          <w:b/>
          <w:bCs/>
          <w:rtl/>
        </w:rPr>
        <w:tab/>
        <w:t>לא הורם הנטל של הוכחת נסיבות חריגות ויוצאות דופן אשר יובילו לאי הרשעה.</w:t>
      </w:r>
    </w:p>
    <w:p w14:paraId="2F0374BA" w14:textId="77777777" w:rsidR="00E4799B" w:rsidRDefault="00E4799B">
      <w:pPr>
        <w:rPr>
          <w:rFonts w:hint="cs"/>
          <w:b/>
          <w:bCs/>
          <w:rtl/>
        </w:rPr>
      </w:pPr>
      <w:r>
        <w:rPr>
          <w:rFonts w:hint="cs"/>
          <w:b/>
          <w:bCs/>
          <w:rtl/>
        </w:rPr>
        <w:t xml:space="preserve"> </w:t>
      </w:r>
    </w:p>
    <w:p w14:paraId="32A1E20E" w14:textId="77777777" w:rsidR="00E4799B" w:rsidRDefault="00E4799B">
      <w:pPr>
        <w:ind w:left="720" w:hanging="720"/>
        <w:rPr>
          <w:b/>
          <w:bCs/>
        </w:rPr>
      </w:pPr>
      <w:r>
        <w:rPr>
          <w:rFonts w:hint="cs"/>
          <w:b/>
          <w:bCs/>
          <w:rtl/>
        </w:rPr>
        <w:t>16.</w:t>
      </w:r>
      <w:r>
        <w:rPr>
          <w:rFonts w:hint="cs"/>
          <w:b/>
          <w:bCs/>
          <w:rtl/>
        </w:rPr>
        <w:tab/>
        <w:t xml:space="preserve">חשיבות רבה בבחינת שאלת ההרשעה יש למעשה הפלילי, לחומרתו ולאינטרס הציבורי עליו האיסור הפלילי בענין הנדון מגן. מהמעשה הפלילי וחומרתו נגזר גם משקלו של האינטרס הציבורי בהשלמת ההליך הפלילי. </w:t>
      </w:r>
    </w:p>
    <w:p w14:paraId="076A0ECD" w14:textId="77777777" w:rsidR="00E4799B" w:rsidRDefault="00E4799B">
      <w:pPr>
        <w:rPr>
          <w:b/>
          <w:bCs/>
        </w:rPr>
      </w:pPr>
    </w:p>
    <w:p w14:paraId="0AC68E8A" w14:textId="77777777" w:rsidR="00E4799B" w:rsidRDefault="00E4799B">
      <w:pPr>
        <w:ind w:left="720" w:hanging="720"/>
        <w:rPr>
          <w:rFonts w:hint="cs"/>
          <w:b/>
          <w:bCs/>
          <w:rtl/>
        </w:rPr>
      </w:pPr>
      <w:r>
        <w:rPr>
          <w:rFonts w:hint="cs"/>
          <w:b/>
          <w:bCs/>
          <w:rtl/>
        </w:rPr>
        <w:t>17.</w:t>
      </w:r>
      <w:r>
        <w:rPr>
          <w:rFonts w:hint="cs"/>
          <w:b/>
          <w:bCs/>
          <w:rtl/>
        </w:rPr>
        <w:tab/>
        <w:t>בענייננו מדובר בעבירה אשר בוצעה אל מול קטינות צעירות בימים. אכן, הנאשם נעדר עבר פלילי, ואולם אני סבור כי יש לתת משקל של ממש בעבירה אותה ביצע הנאשם לשיקולי ההרתעה ולאינטרס הציבורי בהשלמת ההליך הפלילי על דרך ההרשעה.</w:t>
      </w:r>
    </w:p>
    <w:p w14:paraId="7E570338" w14:textId="77777777" w:rsidR="00E4799B" w:rsidRDefault="00E4799B">
      <w:pPr>
        <w:rPr>
          <w:b/>
          <w:bCs/>
        </w:rPr>
      </w:pPr>
    </w:p>
    <w:p w14:paraId="6B23794C" w14:textId="77777777" w:rsidR="00E4799B" w:rsidRDefault="00E4799B">
      <w:pPr>
        <w:ind w:left="720" w:hanging="720"/>
        <w:rPr>
          <w:rFonts w:hint="cs"/>
          <w:b/>
          <w:bCs/>
          <w:rtl/>
        </w:rPr>
      </w:pPr>
      <w:r>
        <w:rPr>
          <w:rFonts w:hint="cs"/>
          <w:b/>
          <w:bCs/>
          <w:rtl/>
        </w:rPr>
        <w:t>18.</w:t>
      </w:r>
      <w:r>
        <w:rPr>
          <w:rFonts w:hint="cs"/>
          <w:b/>
          <w:bCs/>
          <w:rtl/>
        </w:rPr>
        <w:tab/>
        <w:t xml:space="preserve">החשיבות ההרתעתית והציבורית של הרשעה מקבלת משנה תוקף עת מבוצעת העבירה כלפי קטינות. </w:t>
      </w:r>
    </w:p>
    <w:p w14:paraId="4AF13F7C" w14:textId="77777777" w:rsidR="00E4799B" w:rsidRDefault="00E4799B">
      <w:pPr>
        <w:rPr>
          <w:b/>
          <w:bCs/>
        </w:rPr>
      </w:pPr>
    </w:p>
    <w:p w14:paraId="241D6106" w14:textId="77777777" w:rsidR="00E4799B" w:rsidRDefault="00E4799B">
      <w:pPr>
        <w:ind w:left="720"/>
        <w:rPr>
          <w:rFonts w:hint="cs"/>
          <w:b/>
          <w:bCs/>
          <w:rtl/>
        </w:rPr>
      </w:pPr>
      <w:r>
        <w:rPr>
          <w:rFonts w:hint="cs"/>
          <w:b/>
          <w:bCs/>
          <w:rtl/>
        </w:rPr>
        <w:t>האינטרס הציבורי בביצוע עבירה כאמור מחייב השלמת ההליך הפלילי, באופן הרגיל – הרשעה, והטבעת חותם הפליליות.</w:t>
      </w:r>
    </w:p>
    <w:p w14:paraId="161FE904" w14:textId="77777777" w:rsidR="00E4799B" w:rsidRDefault="00E4799B">
      <w:pPr>
        <w:rPr>
          <w:rFonts w:hint="cs"/>
          <w:b/>
          <w:bCs/>
          <w:rtl/>
        </w:rPr>
      </w:pPr>
    </w:p>
    <w:p w14:paraId="613AFD04" w14:textId="77777777" w:rsidR="00E4799B" w:rsidRDefault="00E4799B">
      <w:pPr>
        <w:ind w:left="720" w:hanging="720"/>
        <w:rPr>
          <w:rFonts w:hint="cs"/>
          <w:b/>
          <w:bCs/>
          <w:rtl/>
        </w:rPr>
      </w:pPr>
      <w:r>
        <w:rPr>
          <w:rFonts w:hint="cs"/>
          <w:b/>
          <w:bCs/>
          <w:rtl/>
        </w:rPr>
        <w:t>19.</w:t>
      </w:r>
      <w:r>
        <w:rPr>
          <w:rFonts w:hint="cs"/>
          <w:b/>
          <w:bCs/>
          <w:rtl/>
        </w:rPr>
        <w:tab/>
        <w:t xml:space="preserve">לא הוצגו ראיות של ממש לפגיעה בתעסוקתו של הנאשם. גם אם אצא מנקודת הנחה כי יהא בהרשעה כדי לפגוע בתעסוקה, לא יהא בכך לשנות ממסקנתי. </w:t>
      </w:r>
    </w:p>
    <w:p w14:paraId="2F0975FE" w14:textId="77777777" w:rsidR="00E4799B" w:rsidRDefault="00E4799B">
      <w:pPr>
        <w:rPr>
          <w:b/>
          <w:bCs/>
        </w:rPr>
      </w:pPr>
    </w:p>
    <w:p w14:paraId="19006E90" w14:textId="77777777" w:rsidR="00E4799B" w:rsidRDefault="00E4799B">
      <w:pPr>
        <w:ind w:firstLine="720"/>
        <w:rPr>
          <w:rFonts w:hint="cs"/>
          <w:b/>
          <w:bCs/>
          <w:rtl/>
        </w:rPr>
      </w:pPr>
      <w:r>
        <w:rPr>
          <w:rFonts w:hint="cs"/>
          <w:b/>
          <w:bCs/>
          <w:rtl/>
        </w:rPr>
        <w:t>פגיעה בתעסוקה אינה בבחינת שיקול על המביא לאי הרשעה.</w:t>
      </w:r>
    </w:p>
    <w:p w14:paraId="409E4342" w14:textId="77777777" w:rsidR="00E4799B" w:rsidRDefault="00E4799B">
      <w:pPr>
        <w:rPr>
          <w:rFonts w:hint="cs"/>
          <w:b/>
          <w:bCs/>
          <w:rtl/>
        </w:rPr>
      </w:pPr>
    </w:p>
    <w:p w14:paraId="1287169E" w14:textId="77777777" w:rsidR="00E4799B" w:rsidRDefault="00E4799B">
      <w:pPr>
        <w:ind w:left="720"/>
        <w:rPr>
          <w:rFonts w:hint="cs"/>
          <w:b/>
          <w:bCs/>
          <w:rtl/>
        </w:rPr>
      </w:pPr>
      <w:r>
        <w:rPr>
          <w:rFonts w:hint="cs"/>
          <w:b/>
          <w:bCs/>
          <w:rtl/>
        </w:rPr>
        <w:t>יש לבחון את מכלול הנסיבות ובראשן את נסיבות ביצוע העבירה וחומרתה ואלו, ובפרט גילן הצעיר של מי שבפניהן ביצע הנאשם את האמור, מטים את הכף להרשעה.</w:t>
      </w:r>
    </w:p>
    <w:p w14:paraId="637B647E" w14:textId="77777777" w:rsidR="00E4799B" w:rsidRDefault="00E4799B">
      <w:pPr>
        <w:rPr>
          <w:rFonts w:hint="cs"/>
          <w:b/>
          <w:bCs/>
          <w:rtl/>
        </w:rPr>
      </w:pPr>
    </w:p>
    <w:p w14:paraId="0FCB1F5A" w14:textId="77777777" w:rsidR="00E4799B" w:rsidRDefault="00E4799B">
      <w:pPr>
        <w:ind w:left="720" w:hanging="720"/>
        <w:rPr>
          <w:rFonts w:hint="cs"/>
          <w:b/>
          <w:bCs/>
          <w:rtl/>
        </w:rPr>
      </w:pPr>
      <w:r>
        <w:rPr>
          <w:rFonts w:hint="cs"/>
          <w:b/>
          <w:bCs/>
          <w:rtl/>
        </w:rPr>
        <w:t>20.</w:t>
      </w:r>
      <w:r>
        <w:rPr>
          <w:rFonts w:hint="cs"/>
          <w:b/>
          <w:bCs/>
          <w:rtl/>
        </w:rPr>
        <w:tab/>
        <w:t>תסקיר שירות המבחן כולל נקודות חיוביות ובהן הבנת הנאשם את חומרת מעשיו, הצטרפותו לטיפול ושיתוף פעולה מלא מצידו. כל אלו יובאו במסגרת השיקולים לעונש, ויש לציין כי מוצאים הם ביטוי בעמדת המאשימה לעונש.</w:t>
      </w:r>
    </w:p>
    <w:p w14:paraId="7E7E708C" w14:textId="77777777" w:rsidR="00E4799B" w:rsidRDefault="00E4799B">
      <w:pPr>
        <w:rPr>
          <w:b/>
          <w:bCs/>
        </w:rPr>
      </w:pPr>
      <w:r>
        <w:rPr>
          <w:rFonts w:hint="cs"/>
          <w:b/>
          <w:bCs/>
          <w:rtl/>
        </w:rPr>
        <w:t xml:space="preserve"> </w:t>
      </w:r>
    </w:p>
    <w:p w14:paraId="53B0952F" w14:textId="77777777" w:rsidR="00E4799B" w:rsidRDefault="00E4799B">
      <w:pPr>
        <w:ind w:left="720" w:hanging="720"/>
        <w:rPr>
          <w:b/>
          <w:bCs/>
        </w:rPr>
      </w:pPr>
      <w:r>
        <w:rPr>
          <w:rFonts w:hint="cs"/>
          <w:b/>
          <w:bCs/>
          <w:rtl/>
        </w:rPr>
        <w:t>21.</w:t>
      </w:r>
      <w:r>
        <w:rPr>
          <w:rFonts w:hint="cs"/>
          <w:b/>
          <w:bCs/>
          <w:rtl/>
        </w:rPr>
        <w:tab/>
        <w:t>המלצת שירות מבחן הינה נתון חשוב, אולם, שיקול הדעת נתון לבית המשפט, אשר הוא האמון על ראיית השלם והבאה בחשבון את האינטרסים השונים, וביניהם אינטרס הציבור והאינטרס בדבר השלמת ההליך הפלילי.</w:t>
      </w:r>
    </w:p>
    <w:p w14:paraId="3857FC53" w14:textId="77777777" w:rsidR="00E4799B" w:rsidRDefault="00E4799B">
      <w:pPr>
        <w:rPr>
          <w:b/>
          <w:bCs/>
        </w:rPr>
      </w:pPr>
    </w:p>
    <w:p w14:paraId="2277C43C" w14:textId="77777777" w:rsidR="00E4799B" w:rsidRDefault="00E4799B">
      <w:pPr>
        <w:ind w:left="720" w:hanging="720"/>
        <w:rPr>
          <w:rFonts w:hint="cs"/>
          <w:b/>
          <w:bCs/>
          <w:rtl/>
        </w:rPr>
      </w:pPr>
      <w:r>
        <w:rPr>
          <w:rFonts w:hint="cs"/>
          <w:b/>
          <w:bCs/>
          <w:rtl/>
        </w:rPr>
        <w:t>22.</w:t>
      </w:r>
      <w:r>
        <w:rPr>
          <w:rFonts w:hint="cs"/>
          <w:b/>
          <w:bCs/>
          <w:rtl/>
        </w:rPr>
        <w:tab/>
        <w:t xml:space="preserve">על מי שמעז ומבצע עבירה כאמור אל מול קטינות לדעת כי יורשע בדין וייתקל בענישה. הרתעה אפקטיבית של עבריינים הינה אחד השיקולים שבית המשפט מצווה לשקול. ראה </w:t>
      </w:r>
      <w:hyperlink r:id="rId17" w:history="1">
        <w:r w:rsidR="000641FA" w:rsidRPr="000641FA">
          <w:rPr>
            <w:rStyle w:val="Hyperlink"/>
            <w:b/>
            <w:bCs/>
            <w:rtl/>
          </w:rPr>
          <w:t>ע"פ 2083/96</w:t>
        </w:r>
      </w:hyperlink>
      <w:r>
        <w:rPr>
          <w:rFonts w:hint="cs"/>
          <w:b/>
          <w:bCs/>
          <w:rtl/>
        </w:rPr>
        <w:t xml:space="preserve"> לעיל.</w:t>
      </w:r>
    </w:p>
    <w:p w14:paraId="67B00198" w14:textId="77777777" w:rsidR="00E4799B" w:rsidRDefault="00E4799B">
      <w:pPr>
        <w:rPr>
          <w:b/>
          <w:bCs/>
        </w:rPr>
      </w:pPr>
    </w:p>
    <w:p w14:paraId="663A0F37" w14:textId="77777777" w:rsidR="00E4799B" w:rsidRDefault="00E4799B">
      <w:pPr>
        <w:rPr>
          <w:rFonts w:hint="cs"/>
          <w:b/>
          <w:bCs/>
          <w:rtl/>
        </w:rPr>
      </w:pPr>
      <w:r>
        <w:rPr>
          <w:rFonts w:hint="cs"/>
          <w:b/>
          <w:bCs/>
          <w:rtl/>
        </w:rPr>
        <w:t>23.</w:t>
      </w:r>
      <w:r>
        <w:rPr>
          <w:rFonts w:hint="cs"/>
          <w:b/>
          <w:bCs/>
          <w:rtl/>
        </w:rPr>
        <w:tab/>
        <w:t>לאור כל האמור לעיל אני דוחה את עתירת הנאשם לאי הרשעה.</w:t>
      </w:r>
    </w:p>
    <w:p w14:paraId="5C669981" w14:textId="77777777" w:rsidR="00E4799B" w:rsidRDefault="00E4799B">
      <w:pPr>
        <w:rPr>
          <w:b/>
          <w:bCs/>
        </w:rPr>
      </w:pPr>
    </w:p>
    <w:p w14:paraId="671BD29C" w14:textId="77777777" w:rsidR="00E4799B" w:rsidRDefault="00E4799B">
      <w:pPr>
        <w:ind w:left="720" w:hanging="720"/>
        <w:rPr>
          <w:rFonts w:hint="cs"/>
          <w:b/>
          <w:bCs/>
          <w:rtl/>
        </w:rPr>
      </w:pPr>
      <w:r>
        <w:rPr>
          <w:rFonts w:hint="cs"/>
          <w:b/>
          <w:bCs/>
          <w:rtl/>
        </w:rPr>
        <w:t>24.</w:t>
      </w:r>
      <w:r>
        <w:rPr>
          <w:rFonts w:hint="cs"/>
          <w:b/>
          <w:bCs/>
          <w:rtl/>
        </w:rPr>
        <w:tab/>
        <w:t>על יסוד הודיית הנאשם באמור בעובדות כתב האישום המתוקן, ומשנדחתה עתירתו לאי הרשעה, אני מרשיע את הנאשם בעבירה המפורטת בו.</w:t>
      </w:r>
    </w:p>
    <w:p w14:paraId="316BA854" w14:textId="77777777" w:rsidR="00E4799B" w:rsidRDefault="00E4799B">
      <w:pPr>
        <w:rPr>
          <w:rFonts w:hint="cs"/>
          <w:b/>
          <w:bCs/>
          <w:u w:val="single"/>
          <w:rtl/>
        </w:rPr>
      </w:pPr>
    </w:p>
    <w:p w14:paraId="0A256973" w14:textId="77777777" w:rsidR="00E4799B" w:rsidRDefault="00E4799B">
      <w:pPr>
        <w:suppressLineNumbers/>
        <w:rPr>
          <w:rFonts w:hint="cs"/>
          <w:b/>
          <w:bCs/>
          <w:rtl/>
        </w:rPr>
      </w:pPr>
      <w:r>
        <w:rPr>
          <w:rFonts w:hint="cs"/>
          <w:b/>
          <w:bCs/>
          <w:rtl/>
        </w:rPr>
        <w:t>ניתנה היום ה' באלול, תשס"ט (25 באוגוסט 2009) במעמד הנ"ל.</w:t>
      </w:r>
    </w:p>
    <w:p w14:paraId="584B0677" w14:textId="77777777" w:rsidR="00E4799B" w:rsidRDefault="00E4799B">
      <w:pPr>
        <w:rPr>
          <w:rFonts w:hint="cs"/>
          <w:rtl/>
        </w:rPr>
      </w:pPr>
      <w:r>
        <w:rPr>
          <w:rFonts w:hint="cs"/>
          <w:rtl/>
        </w:rPr>
        <w:t xml:space="preserve">                                                          </w:t>
      </w:r>
      <w:r>
        <w:rPr>
          <w:rFonts w:hint="cs"/>
          <w:rtl/>
        </w:rPr>
        <w:tab/>
      </w:r>
      <w:r>
        <w:rPr>
          <w:rFonts w:hint="cs"/>
          <w:rtl/>
        </w:rPr>
        <w:tab/>
      </w:r>
      <w:r>
        <w:rPr>
          <w:rFonts w:hint="cs"/>
          <w:rtl/>
        </w:rPr>
        <w:tab/>
      </w:r>
      <w:r>
        <w:rPr>
          <w:rFonts w:hint="cs"/>
          <w:rtl/>
        </w:rPr>
        <w:tab/>
        <w:t xml:space="preserve">                      </w:t>
      </w:r>
    </w:p>
    <w:tbl>
      <w:tblPr>
        <w:bidiVisual/>
        <w:tblW w:w="0" w:type="auto"/>
        <w:tblInd w:w="6011" w:type="dxa"/>
        <w:tblBorders>
          <w:top w:val="single" w:sz="4" w:space="0" w:color="auto"/>
        </w:tblBorders>
        <w:tblLook w:val="0000" w:firstRow="0" w:lastRow="0" w:firstColumn="0" w:lastColumn="0" w:noHBand="0" w:noVBand="0"/>
      </w:tblPr>
      <w:tblGrid>
        <w:gridCol w:w="2511"/>
      </w:tblGrid>
      <w:tr w:rsidR="00E4799B" w14:paraId="359E5507" w14:textId="77777777">
        <w:tc>
          <w:tcPr>
            <w:tcW w:w="2518" w:type="dxa"/>
            <w:tcBorders>
              <w:top w:val="single" w:sz="4" w:space="0" w:color="auto"/>
              <w:left w:val="nil"/>
              <w:bottom w:val="nil"/>
              <w:right w:val="nil"/>
            </w:tcBorders>
          </w:tcPr>
          <w:p w14:paraId="5143EB15" w14:textId="77777777" w:rsidR="00E4799B" w:rsidRDefault="00E4799B">
            <w:pPr>
              <w:jc w:val="center"/>
              <w:rPr>
                <w:b/>
                <w:bCs/>
              </w:rPr>
            </w:pPr>
            <w:r>
              <w:rPr>
                <w:rFonts w:hint="cs"/>
                <w:b/>
                <w:bCs/>
                <w:rtl/>
              </w:rPr>
              <w:t>י. עדן, שופט</w:t>
            </w:r>
          </w:p>
        </w:tc>
      </w:tr>
    </w:tbl>
    <w:p w14:paraId="1630C390" w14:textId="77777777" w:rsidR="00E4799B" w:rsidRDefault="00E4799B">
      <w:pPr>
        <w:pStyle w:val="1"/>
        <w:rPr>
          <w:rFonts w:hint="cs"/>
          <w:rtl/>
        </w:rPr>
      </w:pPr>
    </w:p>
    <w:p w14:paraId="67CB32DE" w14:textId="77777777" w:rsidR="00E4799B" w:rsidRDefault="00E4799B">
      <w:pPr>
        <w:jc w:val="right"/>
        <w:rPr>
          <w:b/>
          <w:bCs/>
          <w:color w:val="FF0000"/>
        </w:rPr>
      </w:pPr>
    </w:p>
    <w:p w14:paraId="796B5A64" w14:textId="77777777" w:rsidR="00E4799B" w:rsidRDefault="00E4799B">
      <w:pPr>
        <w:rPr>
          <w:b/>
          <w:bCs/>
          <w:u w:val="single"/>
        </w:rPr>
      </w:pPr>
    </w:p>
    <w:p w14:paraId="2677B62D" w14:textId="77777777" w:rsidR="00E4799B" w:rsidRDefault="00E4799B">
      <w:pPr>
        <w:pStyle w:val="Heading5"/>
        <w:rPr>
          <w:rFonts w:hint="cs"/>
          <w:rtl/>
        </w:rPr>
      </w:pPr>
    </w:p>
    <w:p w14:paraId="59949BF6" w14:textId="77777777" w:rsidR="00E4799B" w:rsidRDefault="00E4799B">
      <w:pPr>
        <w:pStyle w:val="Heading5"/>
        <w:rPr>
          <w:rFonts w:hint="cs"/>
          <w:rtl/>
        </w:rPr>
      </w:pPr>
    </w:p>
    <w:p w14:paraId="35300E60" w14:textId="77777777" w:rsidR="00E4799B" w:rsidRDefault="00E4799B">
      <w:pPr>
        <w:pStyle w:val="Heading5"/>
        <w:rPr>
          <w:rFonts w:hint="cs"/>
          <w:rtl/>
        </w:rPr>
      </w:pPr>
      <w:r>
        <w:rPr>
          <w:rFonts w:hint="cs"/>
          <w:rtl/>
        </w:rPr>
        <w:t>גזר דין</w:t>
      </w:r>
    </w:p>
    <w:p w14:paraId="0FA442D5" w14:textId="77777777" w:rsidR="00E4799B" w:rsidRDefault="00E4799B">
      <w:pPr>
        <w:rPr>
          <w:rFonts w:hint="cs"/>
          <w:b/>
          <w:bCs/>
          <w:rtl/>
        </w:rPr>
      </w:pPr>
    </w:p>
    <w:p w14:paraId="2BA4A392" w14:textId="77777777" w:rsidR="00E4799B" w:rsidRDefault="00E4799B">
      <w:pPr>
        <w:ind w:left="720" w:hanging="720"/>
        <w:rPr>
          <w:rFonts w:hint="cs"/>
          <w:b/>
          <w:bCs/>
          <w:rtl/>
        </w:rPr>
      </w:pPr>
      <w:r>
        <w:rPr>
          <w:rFonts w:hint="cs"/>
          <w:b/>
          <w:bCs/>
          <w:rtl/>
        </w:rPr>
        <w:t>1.</w:t>
      </w:r>
      <w:r>
        <w:rPr>
          <w:rFonts w:hint="cs"/>
          <w:b/>
          <w:bCs/>
          <w:rtl/>
        </w:rPr>
        <w:tab/>
        <w:t xml:space="preserve">בהכרעת הדין, פורטו כתב האישום המתוקן, נסיבות העבירה, נסיבותיו של הנאשם, התסקירים והמלצת שירות המבחן וטיעוני הצדדים, ויש לראות בה חלק בלתי נפרד מגזר דין זה, לא אחזור על הדברים שוב. </w:t>
      </w:r>
    </w:p>
    <w:p w14:paraId="6623E8BC" w14:textId="77777777" w:rsidR="00E4799B" w:rsidRDefault="00E4799B">
      <w:pPr>
        <w:rPr>
          <w:b/>
          <w:bCs/>
        </w:rPr>
      </w:pPr>
    </w:p>
    <w:p w14:paraId="0AA46631" w14:textId="77777777" w:rsidR="00E4799B" w:rsidRDefault="00E4799B">
      <w:pPr>
        <w:ind w:left="720" w:hanging="720"/>
        <w:rPr>
          <w:rFonts w:hint="cs"/>
          <w:b/>
          <w:bCs/>
          <w:rtl/>
        </w:rPr>
      </w:pPr>
      <w:r>
        <w:rPr>
          <w:rFonts w:hint="cs"/>
          <w:b/>
          <w:bCs/>
          <w:rtl/>
        </w:rPr>
        <w:t>2.</w:t>
      </w:r>
      <w:r>
        <w:rPr>
          <w:rFonts w:hint="cs"/>
          <w:b/>
          <w:bCs/>
          <w:rtl/>
        </w:rPr>
        <w:tab/>
        <w:t>ב"כ המאשימה עותר לענישה בדמות צו של"צ כהמלצת שירות המבחן, דהיינו בהיקף של 150 שעות, צו מבחן למשך 11 חודשים, פיצוי למתלוננות, וענישה הרתעתית.</w:t>
      </w:r>
    </w:p>
    <w:p w14:paraId="5FF11CDF" w14:textId="77777777" w:rsidR="00E4799B" w:rsidRDefault="00E4799B">
      <w:pPr>
        <w:rPr>
          <w:b/>
          <w:bCs/>
        </w:rPr>
      </w:pPr>
      <w:r>
        <w:rPr>
          <w:rFonts w:hint="cs"/>
          <w:b/>
          <w:bCs/>
          <w:rtl/>
        </w:rPr>
        <w:t xml:space="preserve"> </w:t>
      </w:r>
    </w:p>
    <w:p w14:paraId="3FED8442" w14:textId="77777777" w:rsidR="00E4799B" w:rsidRDefault="00E4799B">
      <w:pPr>
        <w:ind w:left="720" w:hanging="720"/>
        <w:rPr>
          <w:b/>
          <w:bCs/>
        </w:rPr>
      </w:pPr>
      <w:r>
        <w:rPr>
          <w:rFonts w:hint="cs"/>
          <w:b/>
          <w:bCs/>
          <w:rtl/>
        </w:rPr>
        <w:t>3.</w:t>
      </w:r>
      <w:r>
        <w:rPr>
          <w:rFonts w:hint="cs"/>
          <w:b/>
          <w:bCs/>
          <w:rtl/>
        </w:rPr>
        <w:tab/>
        <w:t>הנאשם אינו מתנגד לביצוע של"צ, אך עותר להפחתת היקפו וכן עותר כי ככל שיוטל פיצוי יהא הוא מדוד.</w:t>
      </w:r>
    </w:p>
    <w:p w14:paraId="15F7AB60" w14:textId="77777777" w:rsidR="00E4799B" w:rsidRDefault="00E4799B">
      <w:pPr>
        <w:rPr>
          <w:b/>
          <w:bCs/>
        </w:rPr>
      </w:pPr>
    </w:p>
    <w:p w14:paraId="59763BB8" w14:textId="77777777" w:rsidR="00E4799B" w:rsidRDefault="00E4799B">
      <w:pPr>
        <w:ind w:left="720" w:hanging="720"/>
        <w:rPr>
          <w:rFonts w:hint="cs"/>
          <w:b/>
          <w:bCs/>
          <w:rtl/>
        </w:rPr>
      </w:pPr>
      <w:r>
        <w:rPr>
          <w:rFonts w:hint="cs"/>
          <w:b/>
          <w:bCs/>
          <w:rtl/>
        </w:rPr>
        <w:t>4.</w:t>
      </w:r>
      <w:r>
        <w:rPr>
          <w:rFonts w:hint="cs"/>
          <w:b/>
          <w:bCs/>
          <w:rtl/>
        </w:rPr>
        <w:tab/>
        <w:t>לאחר ששמעתי את הצדדים גם לענין העונש, אני סבור כי הענישה בעניינו של הנאשם צריכה לכלול צו של"צ בהיקף עליו ממליץ שירות המבחן, צו מבחן ל – 11 חודשים, על מנת לפקח על הנאשם בפרק זמן משמעותי, ענישה מותנית שתרתיע את הנאשם מלשוב על העבירה אותה ביצע, ופיצוי למתלוננות.</w:t>
      </w:r>
    </w:p>
    <w:p w14:paraId="27DDE460" w14:textId="77777777" w:rsidR="00E4799B" w:rsidRDefault="00E4799B">
      <w:pPr>
        <w:rPr>
          <w:rFonts w:hint="cs"/>
          <w:b/>
          <w:bCs/>
          <w:rtl/>
        </w:rPr>
      </w:pPr>
      <w:r>
        <w:rPr>
          <w:rFonts w:hint="cs"/>
          <w:b/>
          <w:bCs/>
          <w:rtl/>
        </w:rPr>
        <w:t xml:space="preserve"> </w:t>
      </w:r>
    </w:p>
    <w:p w14:paraId="068F0B40" w14:textId="77777777" w:rsidR="00E4799B" w:rsidRDefault="00E4799B">
      <w:pPr>
        <w:rPr>
          <w:b/>
          <w:bCs/>
        </w:rPr>
      </w:pPr>
      <w:r>
        <w:rPr>
          <w:rFonts w:hint="cs"/>
          <w:b/>
          <w:bCs/>
          <w:rtl/>
        </w:rPr>
        <w:t>5.</w:t>
      </w:r>
      <w:r>
        <w:rPr>
          <w:rFonts w:hint="cs"/>
          <w:b/>
          <w:bCs/>
          <w:rtl/>
        </w:rPr>
        <w:tab/>
        <w:t>אשר על כן אני גוזר על הנאשם את העונשים כדלקמן :</w:t>
      </w:r>
    </w:p>
    <w:p w14:paraId="38AF3798" w14:textId="77777777" w:rsidR="00E4799B" w:rsidRDefault="00E4799B">
      <w:pPr>
        <w:rPr>
          <w:b/>
          <w:bCs/>
        </w:rPr>
      </w:pPr>
    </w:p>
    <w:p w14:paraId="34F4958A" w14:textId="77777777" w:rsidR="00E4799B" w:rsidRDefault="00E4799B">
      <w:pPr>
        <w:ind w:left="720"/>
        <w:rPr>
          <w:rFonts w:hint="cs"/>
          <w:b/>
          <w:bCs/>
          <w:rtl/>
        </w:rPr>
      </w:pPr>
      <w:r>
        <w:rPr>
          <w:rFonts w:hint="cs"/>
          <w:b/>
          <w:bCs/>
          <w:rtl/>
        </w:rPr>
        <w:t xml:space="preserve">מאסר על תנאי - </w:t>
      </w:r>
      <w:r>
        <w:rPr>
          <w:rFonts w:hint="cs"/>
          <w:rtl/>
        </w:rPr>
        <w:t xml:space="preserve">מאסר על תנאי לתקופה של 6 חודשים. הנאשם ישא בעונש זה אם בתקופה של שלוש שנים מהיום  יעבור על עבירה לפי </w:t>
      </w:r>
      <w:hyperlink r:id="rId18" w:history="1">
        <w:r w:rsidR="0045046C" w:rsidRPr="0045046C">
          <w:rPr>
            <w:color w:val="0000FF"/>
            <w:u w:val="single"/>
            <w:rtl/>
          </w:rPr>
          <w:t>סעיף 349</w:t>
        </w:r>
      </w:hyperlink>
      <w:r>
        <w:rPr>
          <w:rFonts w:hint="cs"/>
          <w:rtl/>
        </w:rPr>
        <w:t xml:space="preserve"> ל</w:t>
      </w:r>
      <w:hyperlink r:id="rId19" w:history="1">
        <w:r w:rsidR="000641FA" w:rsidRPr="000641FA">
          <w:rPr>
            <w:rStyle w:val="Hyperlink"/>
            <w:rtl/>
          </w:rPr>
          <w:t>חוק העונשין</w:t>
        </w:r>
      </w:hyperlink>
      <w:r>
        <w:rPr>
          <w:rFonts w:hint="cs"/>
          <w:rtl/>
        </w:rPr>
        <w:t>.</w:t>
      </w:r>
    </w:p>
    <w:p w14:paraId="2619A860" w14:textId="77777777" w:rsidR="00E4799B" w:rsidRDefault="000641FA">
      <w:pPr>
        <w:rPr>
          <w:rFonts w:hint="cs"/>
          <w:b/>
          <w:bCs/>
          <w:rtl/>
        </w:rPr>
      </w:pPr>
      <w:r>
        <w:rPr>
          <w:rFonts w:hint="cs"/>
          <w:b/>
          <w:bCs/>
          <w:rtl/>
        </w:rPr>
        <w:t xml:space="preserve"> </w:t>
      </w:r>
    </w:p>
    <w:p w14:paraId="415D2B2A" w14:textId="77777777" w:rsidR="00E4799B" w:rsidRDefault="00E4799B">
      <w:pPr>
        <w:ind w:left="720"/>
      </w:pPr>
      <w:r>
        <w:rPr>
          <w:rFonts w:hint="cs"/>
          <w:b/>
          <w:bCs/>
          <w:rtl/>
        </w:rPr>
        <w:t xml:space="preserve">של"צ - </w:t>
      </w:r>
      <w:r>
        <w:rPr>
          <w:rFonts w:hint="cs"/>
          <w:rtl/>
        </w:rPr>
        <w:t>הנאשם יבצע 150 שעות שירות לתועלת הציבור, וזאת בהתאם לתכנית שתוכן ותוגש על ידי שירות המבחן ובפיקוח שירות המבחן. אם לא יבצע הנאשם את עבודות השל"צ ניתן יהיה לבטל את הצו ולהטיל עליו עונש נוסף.</w:t>
      </w:r>
    </w:p>
    <w:p w14:paraId="2E4DBE41" w14:textId="77777777" w:rsidR="00E4799B" w:rsidRDefault="00E4799B">
      <w:pPr>
        <w:ind w:left="720"/>
        <w:rPr>
          <w:rFonts w:hint="cs"/>
          <w:b/>
          <w:bCs/>
          <w:rtl/>
        </w:rPr>
      </w:pPr>
    </w:p>
    <w:p w14:paraId="77888ED7" w14:textId="77777777" w:rsidR="00E4799B" w:rsidRDefault="00E4799B">
      <w:pPr>
        <w:ind w:left="720"/>
        <w:rPr>
          <w:rFonts w:hint="cs"/>
          <w:b/>
          <w:bCs/>
          <w:rtl/>
        </w:rPr>
      </w:pPr>
      <w:r>
        <w:rPr>
          <w:rFonts w:hint="cs"/>
          <w:b/>
          <w:bCs/>
          <w:rtl/>
        </w:rPr>
        <w:t xml:space="preserve">בהסכמת הצדדים יחל ביצוע השל"צ בתום תקופת צו המבחן שלהלן. עד 30 יום לפני תום תקופת צו המבחן תוגש על ידי שירות המבחן תכנית של"צ לאישור. </w:t>
      </w:r>
    </w:p>
    <w:p w14:paraId="4CDCB608" w14:textId="77777777" w:rsidR="00E4799B" w:rsidRDefault="00E4799B">
      <w:pPr>
        <w:rPr>
          <w:rFonts w:hint="cs"/>
          <w:b/>
          <w:bCs/>
          <w:rtl/>
        </w:rPr>
      </w:pPr>
    </w:p>
    <w:p w14:paraId="4A402859" w14:textId="77777777" w:rsidR="00E4799B" w:rsidRDefault="00E4799B">
      <w:pPr>
        <w:ind w:left="720"/>
        <w:rPr>
          <w:rFonts w:hint="cs"/>
          <w:rtl/>
        </w:rPr>
      </w:pPr>
      <w:r>
        <w:rPr>
          <w:rFonts w:hint="cs"/>
          <w:b/>
          <w:bCs/>
          <w:rtl/>
        </w:rPr>
        <w:t xml:space="preserve">צו מבחן - </w:t>
      </w:r>
      <w:r>
        <w:rPr>
          <w:rFonts w:hint="cs"/>
          <w:rtl/>
        </w:rPr>
        <w:t>הנאשם יעמוד לפיקוח של קצין מבחן, כאמור ב</w:t>
      </w:r>
      <w:hyperlink r:id="rId20" w:history="1">
        <w:r w:rsidR="000641FA" w:rsidRPr="000641FA">
          <w:rPr>
            <w:rStyle w:val="Hyperlink"/>
            <w:rtl/>
          </w:rPr>
          <w:t>פקודת המבחן</w:t>
        </w:r>
      </w:hyperlink>
      <w:r>
        <w:rPr>
          <w:rFonts w:hint="cs"/>
          <w:rtl/>
        </w:rPr>
        <w:t xml:space="preserve"> (נוסח חדש), התשכ"ט – 1969, למשך תקופה של 11 חודשים שתחילתה היום, הכל בהתאם לתכנית, הנחיות ופיקוח שירות המבחן. לא יעמוד הנאשם בצו המבחן, ניתן יהיה לגזור מחדש את עונשו.</w:t>
      </w:r>
    </w:p>
    <w:p w14:paraId="1A58B733" w14:textId="77777777" w:rsidR="00E4799B" w:rsidRDefault="00E4799B">
      <w:pPr>
        <w:rPr>
          <w:rFonts w:hint="cs"/>
          <w:b/>
          <w:bCs/>
          <w:rtl/>
        </w:rPr>
      </w:pPr>
    </w:p>
    <w:p w14:paraId="5878E356" w14:textId="77777777" w:rsidR="00E4799B" w:rsidRDefault="00E4799B">
      <w:pPr>
        <w:ind w:left="720"/>
        <w:rPr>
          <w:rFonts w:hint="cs"/>
          <w:rtl/>
        </w:rPr>
      </w:pPr>
      <w:r>
        <w:rPr>
          <w:rFonts w:hint="cs"/>
          <w:b/>
          <w:bCs/>
          <w:rtl/>
        </w:rPr>
        <w:t xml:space="preserve">פיצוי - </w:t>
      </w:r>
      <w:r>
        <w:rPr>
          <w:rFonts w:hint="cs"/>
          <w:rtl/>
        </w:rPr>
        <w:t>הנאשם ישלם לכל אחת מעדות התביעה מס' 1 עד 4 פיצוי בסך 1,000 ש"ח. הפיצוי ישולם ב-4 תשלומים חודשיים שווים ורצופים. התשלום הראשון ישולם בתוך 30 יום ויתר התשלומים מידי 30 יום לאחר מכן. התשלום יבוצע לקופת בית המשפט, וממנה יועבר לעדות התביעה הנ"ל על פי פרטים שתמסור המאשימה למזכירות בית המשפט ויוותרו חסויים.</w:t>
      </w:r>
    </w:p>
    <w:p w14:paraId="30B642D8" w14:textId="77777777" w:rsidR="00E4799B" w:rsidRDefault="00E4799B">
      <w:pPr>
        <w:rPr>
          <w:rFonts w:hint="cs"/>
          <w:b/>
          <w:bCs/>
          <w:rtl/>
        </w:rPr>
      </w:pPr>
    </w:p>
    <w:p w14:paraId="5B2F21D2" w14:textId="77777777" w:rsidR="00E4799B" w:rsidRDefault="00E4799B">
      <w:pPr>
        <w:rPr>
          <w:rFonts w:hint="cs"/>
          <w:b/>
          <w:bCs/>
          <w:rtl/>
        </w:rPr>
      </w:pPr>
      <w:r>
        <w:rPr>
          <w:rFonts w:hint="cs"/>
          <w:b/>
          <w:bCs/>
          <w:rtl/>
        </w:rPr>
        <w:t>זכות ערעור תוך 45 יום מהיום.</w:t>
      </w:r>
    </w:p>
    <w:p w14:paraId="3A316ED3" w14:textId="77777777" w:rsidR="00E4799B" w:rsidRDefault="00E4799B"/>
    <w:p w14:paraId="15755FF5" w14:textId="77777777" w:rsidR="00E4799B" w:rsidRDefault="00E4799B">
      <w:pPr>
        <w:rPr>
          <w:rFonts w:hint="cs"/>
          <w:b/>
          <w:bCs/>
          <w:rtl/>
        </w:rPr>
      </w:pPr>
      <w:r>
        <w:rPr>
          <w:rFonts w:hint="cs"/>
          <w:b/>
          <w:bCs/>
          <w:rtl/>
        </w:rPr>
        <w:t xml:space="preserve">כעת ייערך דיון לפי </w:t>
      </w:r>
      <w:hyperlink r:id="rId21" w:history="1">
        <w:r w:rsidR="0045046C" w:rsidRPr="0045046C">
          <w:rPr>
            <w:b/>
            <w:bCs/>
            <w:color w:val="0000FF"/>
            <w:u w:val="single"/>
            <w:rtl/>
          </w:rPr>
          <w:t>סעיף 12</w:t>
        </w:r>
      </w:hyperlink>
      <w:r>
        <w:rPr>
          <w:rFonts w:hint="cs"/>
          <w:b/>
          <w:bCs/>
          <w:rtl/>
        </w:rPr>
        <w:t xml:space="preserve"> ל</w:t>
      </w:r>
      <w:hyperlink r:id="rId22" w:history="1">
        <w:r w:rsidR="0045046C" w:rsidRPr="0045046C">
          <w:rPr>
            <w:b/>
            <w:bCs/>
            <w:color w:val="0000FF"/>
            <w:u w:val="single"/>
            <w:rtl/>
          </w:rPr>
          <w:t>חוק הגנה על הציבור מפני עברייני מין</w:t>
        </w:r>
      </w:hyperlink>
      <w:r>
        <w:rPr>
          <w:rFonts w:hint="cs"/>
          <w:b/>
          <w:bCs/>
          <w:rtl/>
        </w:rPr>
        <w:t xml:space="preserve">, התשס"ו – 2006. </w:t>
      </w:r>
    </w:p>
    <w:p w14:paraId="52EF0289" w14:textId="77777777" w:rsidR="00E4799B" w:rsidRDefault="00E4799B">
      <w:pPr>
        <w:rPr>
          <w:rFonts w:hint="cs"/>
          <w:b/>
          <w:bCs/>
          <w:rtl/>
        </w:rPr>
      </w:pPr>
    </w:p>
    <w:p w14:paraId="36411504" w14:textId="77777777" w:rsidR="00D8646F" w:rsidRPr="00D8646F" w:rsidRDefault="00D8646F">
      <w:pPr>
        <w:rPr>
          <w:b/>
          <w:bCs/>
          <w:color w:val="FFFFFF"/>
          <w:sz w:val="2"/>
          <w:szCs w:val="2"/>
          <w:rtl/>
        </w:rPr>
      </w:pPr>
    </w:p>
    <w:p w14:paraId="79D00CB9" w14:textId="77777777" w:rsidR="00D8646F" w:rsidRPr="00D8646F" w:rsidRDefault="00D8646F">
      <w:pPr>
        <w:rPr>
          <w:b/>
          <w:bCs/>
          <w:color w:val="FFFFFF"/>
          <w:sz w:val="2"/>
          <w:szCs w:val="2"/>
          <w:rtl/>
        </w:rPr>
      </w:pPr>
      <w:r w:rsidRPr="00D8646F">
        <w:rPr>
          <w:b/>
          <w:bCs/>
          <w:color w:val="FFFFFF"/>
          <w:sz w:val="2"/>
          <w:szCs w:val="2"/>
          <w:rtl/>
        </w:rPr>
        <w:t>5129371</w:t>
      </w:r>
    </w:p>
    <w:p w14:paraId="3D84FFFB" w14:textId="77777777" w:rsidR="00D8646F" w:rsidRPr="00D8646F" w:rsidRDefault="00D8646F" w:rsidP="00D8646F">
      <w:pPr>
        <w:keepNext/>
        <w:jc w:val="left"/>
        <w:rPr>
          <w:rFonts w:ascii="David" w:hAnsi="David"/>
          <w:color w:val="000000"/>
          <w:sz w:val="22"/>
          <w:szCs w:val="22"/>
          <w:rtl/>
        </w:rPr>
      </w:pPr>
    </w:p>
    <w:p w14:paraId="325D13E1" w14:textId="77777777" w:rsidR="00D8646F" w:rsidRPr="00D8646F" w:rsidRDefault="00D8646F" w:rsidP="00D8646F">
      <w:pPr>
        <w:keepNext/>
        <w:jc w:val="left"/>
        <w:rPr>
          <w:rFonts w:ascii="David" w:hAnsi="David"/>
          <w:color w:val="000000"/>
          <w:sz w:val="22"/>
          <w:szCs w:val="22"/>
          <w:rtl/>
        </w:rPr>
      </w:pPr>
      <w:r w:rsidRPr="00D8646F">
        <w:rPr>
          <w:rFonts w:ascii="David" w:hAnsi="David"/>
          <w:color w:val="000000"/>
          <w:sz w:val="22"/>
          <w:szCs w:val="22"/>
          <w:rtl/>
        </w:rPr>
        <w:t>י. עדן 54678313-1163/08</w:t>
      </w:r>
    </w:p>
    <w:p w14:paraId="37D07475" w14:textId="77777777" w:rsidR="00BE5217" w:rsidRPr="00BE5217" w:rsidRDefault="00BE5217" w:rsidP="00BE5217">
      <w:pPr>
        <w:keepNext/>
        <w:jc w:val="left"/>
        <w:rPr>
          <w:rFonts w:ascii="David" w:hAnsi="David"/>
          <w:color w:val="000000"/>
          <w:sz w:val="22"/>
          <w:szCs w:val="22"/>
          <w:rtl/>
        </w:rPr>
      </w:pPr>
    </w:p>
    <w:p w14:paraId="53107E8D" w14:textId="77777777" w:rsidR="00E4799B" w:rsidRDefault="00D8646F">
      <w:pPr>
        <w:rPr>
          <w:rFonts w:hint="cs"/>
          <w:b/>
          <w:bCs/>
          <w:color w:val="000080"/>
          <w:rtl/>
        </w:rPr>
      </w:pPr>
      <w:r w:rsidRPr="00D8646F">
        <w:rPr>
          <w:b/>
          <w:bCs/>
          <w:color w:val="FFFFFF"/>
          <w:sz w:val="2"/>
          <w:szCs w:val="2"/>
          <w:rtl/>
        </w:rPr>
        <w:t>54678313</w:t>
      </w:r>
      <w:r>
        <w:rPr>
          <w:b/>
          <w:bCs/>
          <w:color w:val="000000"/>
          <w:rtl/>
        </w:rPr>
        <w:t xml:space="preserve">ניתנה היום ה' באלול, תשס"ט (25 באוגוסט 2009) במעמד הצדדים. </w:t>
      </w:r>
    </w:p>
    <w:tbl>
      <w:tblPr>
        <w:bidiVisual/>
        <w:tblW w:w="0" w:type="auto"/>
        <w:tblInd w:w="6011" w:type="dxa"/>
        <w:tblBorders>
          <w:top w:val="single" w:sz="4" w:space="0" w:color="auto"/>
        </w:tblBorders>
        <w:tblLook w:val="0000" w:firstRow="0" w:lastRow="0" w:firstColumn="0" w:lastColumn="0" w:noHBand="0" w:noVBand="0"/>
      </w:tblPr>
      <w:tblGrid>
        <w:gridCol w:w="2511"/>
      </w:tblGrid>
      <w:tr w:rsidR="00E4799B" w14:paraId="6809FB56" w14:textId="77777777">
        <w:tc>
          <w:tcPr>
            <w:tcW w:w="2518" w:type="dxa"/>
            <w:tcBorders>
              <w:top w:val="single" w:sz="4" w:space="0" w:color="auto"/>
              <w:left w:val="nil"/>
              <w:bottom w:val="nil"/>
              <w:right w:val="nil"/>
            </w:tcBorders>
          </w:tcPr>
          <w:p w14:paraId="3AD3BD17" w14:textId="77777777" w:rsidR="00E4799B" w:rsidRDefault="00E4799B">
            <w:pPr>
              <w:jc w:val="center"/>
              <w:rPr>
                <w:b/>
                <w:bCs/>
              </w:rPr>
            </w:pPr>
            <w:r>
              <w:rPr>
                <w:rFonts w:hint="cs"/>
                <w:b/>
                <w:bCs/>
                <w:rtl/>
              </w:rPr>
              <w:t>י. עדן, שופט</w:t>
            </w:r>
          </w:p>
        </w:tc>
      </w:tr>
    </w:tbl>
    <w:p w14:paraId="61FC063B" w14:textId="77777777" w:rsidR="00BE5217" w:rsidRPr="00BE5217" w:rsidRDefault="00BE5217">
      <w:pPr>
        <w:pStyle w:val="1"/>
        <w:rPr>
          <w:rFonts w:hint="cs"/>
          <w:color w:val="FFFFFF"/>
          <w:sz w:val="2"/>
          <w:szCs w:val="2"/>
          <w:rtl/>
        </w:rPr>
      </w:pPr>
    </w:p>
    <w:p w14:paraId="1C87E62B" w14:textId="77777777" w:rsidR="00BE5217" w:rsidRPr="00BE5217" w:rsidRDefault="00BE5217">
      <w:pPr>
        <w:pStyle w:val="1"/>
        <w:rPr>
          <w:color w:val="FFFFFF"/>
          <w:sz w:val="2"/>
          <w:szCs w:val="2"/>
          <w:rtl/>
        </w:rPr>
      </w:pPr>
      <w:r w:rsidRPr="00BE5217">
        <w:rPr>
          <w:color w:val="FFFFFF"/>
          <w:sz w:val="2"/>
          <w:szCs w:val="2"/>
          <w:rtl/>
        </w:rPr>
        <w:t>5129371</w:t>
      </w:r>
    </w:p>
    <w:p w14:paraId="2495C635" w14:textId="77777777" w:rsidR="00E4799B" w:rsidRDefault="00BE5217">
      <w:pPr>
        <w:pStyle w:val="1"/>
        <w:rPr>
          <w:rFonts w:hint="cs"/>
          <w:rtl/>
        </w:rPr>
      </w:pPr>
      <w:r w:rsidRPr="00BE5217">
        <w:rPr>
          <w:color w:val="FFFFFF"/>
          <w:sz w:val="2"/>
          <w:szCs w:val="2"/>
          <w:rtl/>
        </w:rPr>
        <w:t>54678313</w:t>
      </w:r>
    </w:p>
    <w:p w14:paraId="20E196C7" w14:textId="77777777" w:rsidR="00E4799B" w:rsidRDefault="00E4799B">
      <w:pPr>
        <w:jc w:val="right"/>
        <w:rPr>
          <w:b/>
          <w:bCs/>
          <w:color w:val="FF0000"/>
        </w:rPr>
      </w:pPr>
    </w:p>
    <w:p w14:paraId="09621AA0" w14:textId="77777777" w:rsidR="00E4799B" w:rsidRDefault="00E4799B">
      <w:pPr>
        <w:rPr>
          <w:sz w:val="24"/>
        </w:rPr>
      </w:pPr>
      <w:bookmarkStart w:id="11" w:name="Decision1"/>
      <w:r>
        <w:rPr>
          <w:rFonts w:hint="cs"/>
          <w:sz w:val="24"/>
          <w:rtl/>
        </w:rPr>
        <w:t xml:space="preserve">העתק הפרוטוקול נמסר לצדדים הנוכחים. </w:t>
      </w:r>
      <w:bookmarkEnd w:id="11"/>
    </w:p>
    <w:p w14:paraId="13A426CC" w14:textId="77777777" w:rsidR="00E4799B" w:rsidRDefault="00E4799B"/>
    <w:p w14:paraId="1B711C34" w14:textId="77777777" w:rsidR="00D8646F" w:rsidRPr="00D8646F" w:rsidRDefault="00E4799B" w:rsidP="00D8646F">
      <w:pPr>
        <w:jc w:val="left"/>
        <w:rPr>
          <w:rFonts w:hint="cs"/>
          <w:color w:val="000000"/>
          <w:rtl/>
        </w:rPr>
      </w:pPr>
      <w:r>
        <w:rPr>
          <w:rFonts w:hint="cs"/>
          <w:rtl/>
        </w:rPr>
        <w:t>001163/08פ  136 איטה רוט</w:t>
      </w:r>
    </w:p>
    <w:p w14:paraId="5D53C44A" w14:textId="77777777" w:rsidR="00D8646F" w:rsidRDefault="00D8646F" w:rsidP="00D8646F">
      <w:pPr>
        <w:jc w:val="left"/>
        <w:rPr>
          <w:rtl/>
        </w:rPr>
      </w:pPr>
      <w:r w:rsidRPr="00D8646F">
        <w:rPr>
          <w:color w:val="000000"/>
          <w:rtl/>
        </w:rPr>
        <w:t>נוסח מסמך זה כפוף לשינויי ניסוח ועריכה</w:t>
      </w:r>
    </w:p>
    <w:p w14:paraId="719E3D12" w14:textId="77777777" w:rsidR="00D8646F" w:rsidRDefault="00D8646F" w:rsidP="00D8646F">
      <w:pPr>
        <w:jc w:val="left"/>
        <w:rPr>
          <w:rtl/>
        </w:rPr>
      </w:pPr>
    </w:p>
    <w:p w14:paraId="5E99D4D9" w14:textId="77777777" w:rsidR="00D8646F" w:rsidRDefault="00D8646F" w:rsidP="00D8646F">
      <w:pPr>
        <w:jc w:val="center"/>
        <w:rPr>
          <w:color w:val="0000FF"/>
          <w:u w:val="single"/>
          <w:rtl/>
        </w:rPr>
      </w:pPr>
      <w:r w:rsidRPr="00107D89">
        <w:rPr>
          <w:color w:val="000000"/>
          <w:rtl/>
        </w:rPr>
        <w:t>הודעה למנויים על עריכה ושינויים במסמכי פסיקה, חקיקה ועוד באתר נבו - הקש כאן</w:t>
      </w:r>
    </w:p>
    <w:sectPr w:rsidR="00D8646F" w:rsidSect="00BE5217">
      <w:headerReference w:type="even" r:id="rId23"/>
      <w:headerReference w:type="default" r:id="rId24"/>
      <w:footerReference w:type="even" r:id="rId25"/>
      <w:footerReference w:type="default" r:id="rId26"/>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B7E2" w14:textId="77777777" w:rsidR="00EE0859" w:rsidRDefault="00EE0859">
      <w:r>
        <w:separator/>
      </w:r>
    </w:p>
  </w:endnote>
  <w:endnote w:type="continuationSeparator" w:id="0">
    <w:p w14:paraId="65D17138" w14:textId="77777777" w:rsidR="00EE0859" w:rsidRDefault="00EE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 Keren">
    <w:altName w:val="Arial"/>
    <w:charset w:val="B1"/>
    <w:family w:val="auto"/>
    <w:pitch w:val="variable"/>
    <w:sig w:usb0="00001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1241" w14:textId="77777777" w:rsidR="009E2A3C" w:rsidRDefault="009E2A3C" w:rsidP="00BE5217">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685217EF" w14:textId="77777777" w:rsidR="009E2A3C" w:rsidRDefault="009E2A3C" w:rsidP="00BE5217">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06D213D" w14:textId="77777777" w:rsidR="009E2A3C" w:rsidRPr="00BE5217" w:rsidRDefault="009E2A3C" w:rsidP="00BE521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0641FA">
      <w:rPr>
        <w:rFonts w:cs="Times New Roman"/>
        <w:noProof/>
        <w:color w:val="000000"/>
        <w:sz w:val="14"/>
        <w:szCs w:val="14"/>
      </w:rPr>
      <w:t>Z:\00000000000000000000000000000000000-2016---------------\HAKIKA-KIDUD-2016\2009\Shalom\word\outdoc-nohyper\OutDoc-Makor\s08001163-65.doc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B91D" w14:textId="77777777" w:rsidR="009E2A3C" w:rsidRDefault="009E2A3C" w:rsidP="00BE5217">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4F695B">
      <w:rPr>
        <w:rFonts w:ascii="FrankRuehl" w:hAnsi="FrankRuehl" w:cs="FrankRuehl"/>
        <w:noProof/>
        <w:sz w:val="24"/>
        <w:rtl/>
      </w:rPr>
      <w:t>1</w:t>
    </w:r>
    <w:r>
      <w:rPr>
        <w:rFonts w:ascii="FrankRuehl" w:hAnsi="FrankRuehl" w:cs="FrankRuehl"/>
        <w:sz w:val="24"/>
        <w:rtl/>
      </w:rPr>
      <w:fldChar w:fldCharType="end"/>
    </w:r>
  </w:p>
  <w:p w14:paraId="558C728A" w14:textId="77777777" w:rsidR="009E2A3C" w:rsidRDefault="009E2A3C" w:rsidP="00BE5217">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812EC48" w14:textId="77777777" w:rsidR="009E2A3C" w:rsidRPr="00BE5217" w:rsidRDefault="009E2A3C" w:rsidP="00BE5217">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0641FA">
      <w:rPr>
        <w:rFonts w:cs="Times New Roman"/>
        <w:noProof/>
        <w:color w:val="000000"/>
        <w:sz w:val="14"/>
        <w:szCs w:val="14"/>
      </w:rPr>
      <w:t>Z:\00000000000000000000000000000000000-2016---------------\HAKIKA-KIDUD-2016\2009\Shalom\word\outdoc-nohyper\OutDoc-Makor\s08001163-65.doc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65AB" w14:textId="77777777" w:rsidR="00EE0859" w:rsidRDefault="00EE0859">
      <w:r>
        <w:separator/>
      </w:r>
    </w:p>
  </w:footnote>
  <w:footnote w:type="continuationSeparator" w:id="0">
    <w:p w14:paraId="274E8D8D" w14:textId="77777777" w:rsidR="00EE0859" w:rsidRDefault="00EE0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DA82" w14:textId="77777777" w:rsidR="009E2A3C" w:rsidRPr="00BE5217" w:rsidRDefault="009E2A3C" w:rsidP="00BE521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(אי') 1163/08 </w:t>
    </w:r>
    <w:r>
      <w:rPr>
        <w:rFonts w:ascii="David" w:hAnsi="David"/>
        <w:color w:val="000000"/>
        <w:sz w:val="22"/>
        <w:szCs w:val="22"/>
        <w:rtl/>
      </w:rPr>
      <w:tab/>
      <w:t xml:space="preserve"> מדינת ישראל – פמ"ד נ' חבה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EFC8" w14:textId="77777777" w:rsidR="009E2A3C" w:rsidRPr="00BE5217" w:rsidRDefault="009E2A3C" w:rsidP="00BE521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(אי') 1163/08 </w:t>
    </w:r>
    <w:r>
      <w:rPr>
        <w:rFonts w:ascii="David" w:hAnsi="David"/>
        <w:color w:val="000000"/>
        <w:sz w:val="22"/>
        <w:szCs w:val="22"/>
        <w:rtl/>
      </w:rPr>
      <w:tab/>
      <w:t xml:space="preserve"> מדינת ישראל – פמ"ד נ' חבה יחזקאל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4799B"/>
    <w:rsid w:val="000641FA"/>
    <w:rsid w:val="000F2D8B"/>
    <w:rsid w:val="00107D89"/>
    <w:rsid w:val="0045046C"/>
    <w:rsid w:val="004F695B"/>
    <w:rsid w:val="009E2A3C"/>
    <w:rsid w:val="00B76262"/>
    <w:rsid w:val="00BD3CD7"/>
    <w:rsid w:val="00BE5217"/>
    <w:rsid w:val="00CD1D15"/>
    <w:rsid w:val="00D8646F"/>
    <w:rsid w:val="00E4799B"/>
    <w:rsid w:val="00EE0859"/>
    <w:rsid w:val="00FA47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0719F0"/>
  <w15:chartTrackingRefBased/>
  <w15:docId w15:val="{4BCC5FF3-9E99-409B-9856-3104CA6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5">
    <w:name w:val="heading 5"/>
    <w:basedOn w:val="Normal"/>
    <w:next w:val="Normal"/>
    <w:qFormat/>
    <w:pPr>
      <w:keepNext/>
      <w:jc w:val="center"/>
      <w:outlineLvl w:val="4"/>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86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b"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9"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90730/12" TargetMode="External"/><Relationship Id="rId7" Type="http://schemas.openxmlformats.org/officeDocument/2006/relationships/hyperlink" Target="http://www.nevo.co.il/law/70301/349" TargetMode="External"/><Relationship Id="rId12" Type="http://schemas.openxmlformats.org/officeDocument/2006/relationships/hyperlink" Target="http://www.nevo.co.il/law/70301/349.b" TargetMode="External"/><Relationship Id="rId17" Type="http://schemas.openxmlformats.org/officeDocument/2006/relationships/hyperlink" Target="http://www.nevo.co.il/case/581078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6161385" TargetMode="External"/><Relationship Id="rId20" Type="http://schemas.openxmlformats.org/officeDocument/2006/relationships/hyperlink" Target="http://www.nevo.co.il/law/7155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0730/12"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791622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90730"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1553" TargetMode="External"/><Relationship Id="rId14" Type="http://schemas.openxmlformats.org/officeDocument/2006/relationships/hyperlink" Target="http://www.nevo.co.il/case/5810781" TargetMode="External"/><Relationship Id="rId22" Type="http://schemas.openxmlformats.org/officeDocument/2006/relationships/hyperlink" Target="http://www.nevo.co.il/law/907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7590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8904</CharactersWithSpaces>
  <SharedDoc>false</SharedDoc>
  <HLinks>
    <vt:vector size="102" baseType="variant">
      <vt:variant>
        <vt:i4>7929966</vt:i4>
      </vt:variant>
      <vt:variant>
        <vt:i4>48</vt:i4>
      </vt:variant>
      <vt:variant>
        <vt:i4>0</vt:i4>
      </vt:variant>
      <vt:variant>
        <vt:i4>5</vt:i4>
      </vt:variant>
      <vt:variant>
        <vt:lpwstr>http://www.nevo.co.il/law/90730</vt:lpwstr>
      </vt:variant>
      <vt:variant>
        <vt:lpwstr/>
      </vt:variant>
      <vt:variant>
        <vt:i4>6553711</vt:i4>
      </vt:variant>
      <vt:variant>
        <vt:i4>45</vt:i4>
      </vt:variant>
      <vt:variant>
        <vt:i4>0</vt:i4>
      </vt:variant>
      <vt:variant>
        <vt:i4>5</vt:i4>
      </vt:variant>
      <vt:variant>
        <vt:lpwstr>http://www.nevo.co.il/law/90730/12</vt:lpwstr>
      </vt:variant>
      <vt:variant>
        <vt:lpwstr/>
      </vt:variant>
      <vt:variant>
        <vt:i4>8257634</vt:i4>
      </vt:variant>
      <vt:variant>
        <vt:i4>42</vt:i4>
      </vt:variant>
      <vt:variant>
        <vt:i4>0</vt:i4>
      </vt:variant>
      <vt:variant>
        <vt:i4>5</vt:i4>
      </vt:variant>
      <vt:variant>
        <vt:lpwstr>http://www.nevo.co.il/law/71553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6357094</vt:i4>
      </vt:variant>
      <vt:variant>
        <vt:i4>36</vt:i4>
      </vt:variant>
      <vt:variant>
        <vt:i4>0</vt:i4>
      </vt:variant>
      <vt:variant>
        <vt:i4>5</vt:i4>
      </vt:variant>
      <vt:variant>
        <vt:lpwstr>http://www.nevo.co.il/law/70301/349</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3539068</vt:i4>
      </vt:variant>
      <vt:variant>
        <vt:i4>30</vt:i4>
      </vt:variant>
      <vt:variant>
        <vt:i4>0</vt:i4>
      </vt:variant>
      <vt:variant>
        <vt:i4>5</vt:i4>
      </vt:variant>
      <vt:variant>
        <vt:lpwstr>http://www.nevo.co.il/case/6161385</vt:lpwstr>
      </vt:variant>
      <vt:variant>
        <vt:lpwstr/>
      </vt:variant>
      <vt:variant>
        <vt:i4>3932272</vt:i4>
      </vt:variant>
      <vt:variant>
        <vt:i4>27</vt:i4>
      </vt:variant>
      <vt:variant>
        <vt:i4>0</vt:i4>
      </vt:variant>
      <vt:variant>
        <vt:i4>5</vt:i4>
      </vt:variant>
      <vt:variant>
        <vt:lpwstr>http://www.nevo.co.il/case/17916229</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5177439</vt:i4>
      </vt:variant>
      <vt:variant>
        <vt:i4>18</vt:i4>
      </vt:variant>
      <vt:variant>
        <vt:i4>0</vt:i4>
      </vt:variant>
      <vt:variant>
        <vt:i4>5</vt:i4>
      </vt:variant>
      <vt:variant>
        <vt:lpwstr>http://www.nevo.co.il/law/70301/349.b</vt:lpwstr>
      </vt:variant>
      <vt:variant>
        <vt:lpwstr/>
      </vt:variant>
      <vt:variant>
        <vt:i4>6553711</vt:i4>
      </vt:variant>
      <vt:variant>
        <vt:i4>15</vt:i4>
      </vt:variant>
      <vt:variant>
        <vt:i4>0</vt:i4>
      </vt:variant>
      <vt:variant>
        <vt:i4>5</vt:i4>
      </vt:variant>
      <vt:variant>
        <vt:lpwstr>http://www.nevo.co.il/law/90730/12</vt:lpwstr>
      </vt:variant>
      <vt:variant>
        <vt:lpwstr/>
      </vt:variant>
      <vt:variant>
        <vt:i4>7929966</vt:i4>
      </vt:variant>
      <vt:variant>
        <vt:i4>12</vt:i4>
      </vt:variant>
      <vt:variant>
        <vt:i4>0</vt:i4>
      </vt:variant>
      <vt:variant>
        <vt:i4>5</vt:i4>
      </vt:variant>
      <vt:variant>
        <vt:lpwstr>http://www.nevo.co.il/law/90730</vt:lpwstr>
      </vt:variant>
      <vt:variant>
        <vt:lpwstr/>
      </vt:variant>
      <vt:variant>
        <vt:i4>8257634</vt:i4>
      </vt:variant>
      <vt:variant>
        <vt:i4>9</vt:i4>
      </vt:variant>
      <vt:variant>
        <vt:i4>0</vt:i4>
      </vt:variant>
      <vt:variant>
        <vt:i4>5</vt:i4>
      </vt:variant>
      <vt:variant>
        <vt:lpwstr>http://www.nevo.co.il/law/71553</vt:lpwstr>
      </vt:variant>
      <vt:variant>
        <vt:lpwstr/>
      </vt:variant>
      <vt:variant>
        <vt:i4>5177439</vt:i4>
      </vt:variant>
      <vt:variant>
        <vt:i4>6</vt:i4>
      </vt:variant>
      <vt:variant>
        <vt:i4>0</vt:i4>
      </vt:variant>
      <vt:variant>
        <vt:i4>5</vt:i4>
      </vt:variant>
      <vt:variant>
        <vt:lpwstr>http://www.nevo.co.il/law/70301/349.b</vt:lpwstr>
      </vt:variant>
      <vt:variant>
        <vt:lpwstr/>
      </vt:variant>
      <vt:variant>
        <vt:i4>6357094</vt:i4>
      </vt:variant>
      <vt:variant>
        <vt:i4>3</vt:i4>
      </vt:variant>
      <vt:variant>
        <vt:i4>0</vt:i4>
      </vt:variant>
      <vt:variant>
        <vt:i4>5</vt:i4>
      </vt:variant>
      <vt:variant>
        <vt:lpwstr>http://www.nevo.co.il/law/70301/349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1163</vt:lpwstr>
  </property>
  <property fmtid="{D5CDD505-2E9C-101B-9397-08002B2CF9AE}" pid="6" name="PROCYEAR">
    <vt:lpwstr>08</vt:lpwstr>
  </property>
  <property fmtid="{D5CDD505-2E9C-101B-9397-08002B2CF9AE}" pid="7" name="APPELLANT">
    <vt:lpwstr>מדינת ישראל – פמ#ד</vt:lpwstr>
  </property>
  <property fmtid="{D5CDD505-2E9C-101B-9397-08002B2CF9AE}" pid="8" name="APPELLEE">
    <vt:lpwstr>חבה יחזקאל</vt:lpwstr>
  </property>
  <property fmtid="{D5CDD505-2E9C-101B-9397-08002B2CF9AE}" pid="9" name="LAWYER">
    <vt:lpwstr>קעטבי;אבישור</vt:lpwstr>
  </property>
  <property fmtid="{D5CDD505-2E9C-101B-9397-08002B2CF9AE}" pid="10" name="JUDGE">
    <vt:lpwstr>י. עדן</vt:lpwstr>
  </property>
  <property fmtid="{D5CDD505-2E9C-101B-9397-08002B2CF9AE}" pid="11" name="DATE">
    <vt:lpwstr>20090825</vt:lpwstr>
  </property>
  <property fmtid="{D5CDD505-2E9C-101B-9397-08002B2CF9AE}" pid="12" name="TYPE_N_DATE">
    <vt:lpwstr>38020090825</vt:lpwstr>
  </property>
  <property fmtid="{D5CDD505-2E9C-101B-9397-08002B2CF9AE}" pid="13" name="WORDNUMPAGES">
    <vt:lpwstr>6</vt:lpwstr>
  </property>
  <property fmtid="{D5CDD505-2E9C-101B-9397-08002B2CF9AE}" pid="14" name="TYPE_ABS_DATE">
    <vt:lpwstr>380020090825</vt:lpwstr>
  </property>
  <property fmtid="{D5CDD505-2E9C-101B-9397-08002B2CF9AE}" pid="15" name="ISABSTRACT">
    <vt:lpwstr>Y</vt:lpwstr>
  </property>
  <property fmtid="{D5CDD505-2E9C-101B-9397-08002B2CF9AE}" pid="16" name="CITY">
    <vt:lpwstr>אי'</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5810781:2;17916229;6161385</vt:lpwstr>
  </property>
  <property fmtid="{D5CDD505-2E9C-101B-9397-08002B2CF9AE}" pid="39" name="LAWLISTTMP1">
    <vt:lpwstr>70301/349.b;349</vt:lpwstr>
  </property>
  <property fmtid="{D5CDD505-2E9C-101B-9397-08002B2CF9AE}" pid="40" name="LAWLISTTMP2">
    <vt:lpwstr>71553</vt:lpwstr>
  </property>
  <property fmtid="{D5CDD505-2E9C-101B-9397-08002B2CF9AE}" pid="41" name="LAWLISTTMP3">
    <vt:lpwstr>90730/012</vt:lpwstr>
  </property>
</Properties>
</file>