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5DAB" w14:textId="77777777" w:rsidR="00F65A30" w:rsidRPr="00382DCD" w:rsidRDefault="00F65A30">
      <w:pPr>
        <w:spacing w:line="360" w:lineRule="auto"/>
        <w:jc w:val="center"/>
        <w:rPr>
          <w:sz w:val="28"/>
          <w:szCs w:val="28"/>
          <w:rtl/>
        </w:rPr>
      </w:pPr>
      <w:r w:rsidRPr="00382DCD">
        <w:rPr>
          <w:rFonts w:hint="cs"/>
          <w:b/>
          <w:bCs/>
          <w:sz w:val="28"/>
          <w:szCs w:val="32"/>
          <w:rtl/>
        </w:rPr>
        <w:t>בתי המשפט</w:t>
      </w:r>
      <w:r w:rsidRPr="00382DCD">
        <w:rPr>
          <w:rFonts w:hint="cs"/>
          <w:sz w:val="28"/>
          <w:szCs w:val="28"/>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2"/>
        <w:gridCol w:w="850"/>
        <w:gridCol w:w="2234"/>
      </w:tblGrid>
      <w:tr w:rsidR="00F65A30" w:rsidRPr="00382DCD" w14:paraId="1BC1C890" w14:textId="77777777">
        <w:trPr>
          <w:trHeight w:val="195"/>
        </w:trPr>
        <w:tc>
          <w:tcPr>
            <w:tcW w:w="5438" w:type="dxa"/>
            <w:gridSpan w:val="2"/>
            <w:vMerge w:val="restart"/>
            <w:tcBorders>
              <w:top w:val="single" w:sz="4" w:space="0" w:color="auto"/>
              <w:left w:val="single" w:sz="4" w:space="0" w:color="auto"/>
              <w:bottom w:val="single" w:sz="4" w:space="0" w:color="auto"/>
              <w:right w:val="single" w:sz="4" w:space="0" w:color="auto"/>
            </w:tcBorders>
          </w:tcPr>
          <w:p w14:paraId="5AC12F67" w14:textId="77777777" w:rsidR="00F65A30" w:rsidRPr="00382DCD" w:rsidRDefault="00F65A30">
            <w:pPr>
              <w:jc w:val="both"/>
              <w:rPr>
                <w:b/>
                <w:bCs/>
                <w:sz w:val="26"/>
                <w:szCs w:val="28"/>
              </w:rPr>
            </w:pPr>
            <w:r w:rsidRPr="00382DCD">
              <w:rPr>
                <w:rFonts w:hint="cs"/>
                <w:b/>
                <w:bCs/>
                <w:sz w:val="26"/>
                <w:szCs w:val="28"/>
                <w:rtl/>
              </w:rPr>
              <w:t>בית משפט השלום ירושלים</w:t>
            </w:r>
          </w:p>
        </w:tc>
        <w:tc>
          <w:tcPr>
            <w:tcW w:w="3084" w:type="dxa"/>
            <w:gridSpan w:val="2"/>
            <w:tcBorders>
              <w:top w:val="single" w:sz="4" w:space="0" w:color="auto"/>
              <w:left w:val="single" w:sz="4" w:space="0" w:color="auto"/>
              <w:bottom w:val="single" w:sz="4" w:space="0" w:color="auto"/>
              <w:right w:val="single" w:sz="4" w:space="0" w:color="auto"/>
            </w:tcBorders>
          </w:tcPr>
          <w:p w14:paraId="40446ACB" w14:textId="77777777" w:rsidR="00F65A30" w:rsidRPr="00382DCD" w:rsidRDefault="00F65A30">
            <w:pPr>
              <w:jc w:val="both"/>
              <w:rPr>
                <w:b/>
                <w:bCs/>
                <w:sz w:val="26"/>
                <w:szCs w:val="28"/>
              </w:rPr>
            </w:pPr>
            <w:r w:rsidRPr="00382DCD">
              <w:rPr>
                <w:rFonts w:hint="cs"/>
                <w:b/>
                <w:bCs/>
                <w:sz w:val="26"/>
                <w:szCs w:val="28"/>
                <w:rtl/>
              </w:rPr>
              <w:t>פ  005726/08</w:t>
            </w:r>
          </w:p>
        </w:tc>
      </w:tr>
      <w:tr w:rsidR="00F65A30" w:rsidRPr="00382DCD" w14:paraId="78656450"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437F57B" w14:textId="77777777" w:rsidR="00F65A30" w:rsidRPr="00382DCD" w:rsidRDefault="00F65A30">
            <w:pPr>
              <w:bidi w:val="0"/>
              <w:snapToGrid/>
              <w:rPr>
                <w:b/>
                <w:bCs/>
                <w:sz w:val="26"/>
                <w:szCs w:val="28"/>
              </w:rPr>
            </w:pPr>
          </w:p>
        </w:tc>
        <w:tc>
          <w:tcPr>
            <w:tcW w:w="3084" w:type="dxa"/>
            <w:gridSpan w:val="2"/>
            <w:tcBorders>
              <w:top w:val="single" w:sz="4" w:space="0" w:color="auto"/>
              <w:left w:val="single" w:sz="4" w:space="0" w:color="auto"/>
              <w:bottom w:val="single" w:sz="4" w:space="0" w:color="auto"/>
              <w:right w:val="single" w:sz="4" w:space="0" w:color="auto"/>
            </w:tcBorders>
          </w:tcPr>
          <w:p w14:paraId="21D1603A" w14:textId="77777777" w:rsidR="00F65A30" w:rsidRPr="00382DCD" w:rsidRDefault="00F65A30">
            <w:pPr>
              <w:jc w:val="both"/>
              <w:rPr>
                <w:b/>
                <w:bCs/>
                <w:sz w:val="26"/>
                <w:szCs w:val="28"/>
              </w:rPr>
            </w:pPr>
          </w:p>
        </w:tc>
      </w:tr>
      <w:tr w:rsidR="00F65A30" w:rsidRPr="00382DCD" w14:paraId="4492AB5A"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4C649B2" w14:textId="77777777" w:rsidR="00F65A30" w:rsidRPr="00382DCD" w:rsidRDefault="00F65A30">
            <w:pPr>
              <w:jc w:val="both"/>
              <w:rPr>
                <w:b/>
                <w:bCs/>
                <w:sz w:val="26"/>
                <w:szCs w:val="26"/>
              </w:rPr>
            </w:pPr>
            <w:r w:rsidRPr="00382DCD">
              <w:rPr>
                <w:rFonts w:hint="cs"/>
                <w:b/>
                <w:bCs/>
                <w:sz w:val="26"/>
                <w:szCs w:val="26"/>
                <w:rtl/>
              </w:rPr>
              <w:t>לפני:</w:t>
            </w:r>
          </w:p>
        </w:tc>
        <w:tc>
          <w:tcPr>
            <w:tcW w:w="4672" w:type="dxa"/>
            <w:tcBorders>
              <w:top w:val="single" w:sz="4" w:space="0" w:color="auto"/>
              <w:left w:val="single" w:sz="4" w:space="0" w:color="auto"/>
              <w:bottom w:val="single" w:sz="4" w:space="0" w:color="auto"/>
              <w:right w:val="single" w:sz="4" w:space="0" w:color="auto"/>
            </w:tcBorders>
          </w:tcPr>
          <w:p w14:paraId="26061C97" w14:textId="77777777" w:rsidR="00F65A30" w:rsidRPr="00382DCD" w:rsidRDefault="00F65A30">
            <w:pPr>
              <w:jc w:val="both"/>
              <w:rPr>
                <w:b/>
                <w:bCs/>
                <w:sz w:val="26"/>
                <w:szCs w:val="28"/>
              </w:rPr>
            </w:pPr>
            <w:r w:rsidRPr="00382DCD">
              <w:rPr>
                <w:rFonts w:hint="cs"/>
                <w:b/>
                <w:bCs/>
                <w:sz w:val="26"/>
                <w:szCs w:val="28"/>
                <w:rtl/>
              </w:rPr>
              <w:t>כבוד השופטת שולמית דותן ס.נשיא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83880C" w14:textId="77777777" w:rsidR="00F65A30" w:rsidRPr="00382DCD" w:rsidRDefault="00F65A30">
            <w:pPr>
              <w:jc w:val="both"/>
              <w:rPr>
                <w:b/>
                <w:bCs/>
                <w:sz w:val="26"/>
                <w:szCs w:val="28"/>
              </w:rPr>
            </w:pPr>
            <w:r w:rsidRPr="00382DCD">
              <w:rPr>
                <w:rFonts w:hint="cs"/>
                <w:b/>
                <w:bCs/>
                <w:sz w:val="26"/>
                <w:szCs w:val="28"/>
                <w:rtl/>
              </w:rPr>
              <w:t>תאריך:</w:t>
            </w:r>
          </w:p>
        </w:tc>
        <w:tc>
          <w:tcPr>
            <w:tcW w:w="2234" w:type="dxa"/>
            <w:tcBorders>
              <w:top w:val="single" w:sz="4" w:space="0" w:color="auto"/>
              <w:left w:val="single" w:sz="4" w:space="0" w:color="auto"/>
              <w:bottom w:val="single" w:sz="4" w:space="0" w:color="auto"/>
              <w:right w:val="single" w:sz="4" w:space="0" w:color="auto"/>
            </w:tcBorders>
          </w:tcPr>
          <w:p w14:paraId="7807213A" w14:textId="77777777" w:rsidR="00F65A30" w:rsidRPr="00382DCD" w:rsidRDefault="00F65A30">
            <w:pPr>
              <w:jc w:val="both"/>
              <w:rPr>
                <w:b/>
                <w:bCs/>
                <w:sz w:val="26"/>
                <w:szCs w:val="28"/>
              </w:rPr>
            </w:pPr>
            <w:r w:rsidRPr="00382DCD">
              <w:rPr>
                <w:rFonts w:hint="cs"/>
                <w:b/>
                <w:bCs/>
                <w:sz w:val="26"/>
                <w:szCs w:val="28"/>
                <w:rtl/>
              </w:rPr>
              <w:t>10/12/2008</w:t>
            </w:r>
          </w:p>
        </w:tc>
      </w:tr>
    </w:tbl>
    <w:p w14:paraId="49C46A25" w14:textId="77777777" w:rsidR="00F65A30" w:rsidRPr="00382DCD" w:rsidRDefault="00F65A30">
      <w:pPr>
        <w:pStyle w:val="Header"/>
        <w:rPr>
          <w:rFonts w:hint="cs"/>
          <w:szCs w:val="20"/>
          <w:rtl/>
        </w:rPr>
      </w:pPr>
      <w:bookmarkStart w:id="0" w:name="LastJudge"/>
      <w:bookmarkEnd w:id="0"/>
    </w:p>
    <w:tbl>
      <w:tblPr>
        <w:tblW w:w="8647" w:type="dxa"/>
        <w:jc w:val="right"/>
        <w:tblCellMar>
          <w:left w:w="107" w:type="dxa"/>
          <w:right w:w="107" w:type="dxa"/>
        </w:tblCellMar>
        <w:tblLook w:val="0000" w:firstRow="0" w:lastRow="0" w:firstColumn="0" w:lastColumn="0" w:noHBand="0" w:noVBand="0"/>
      </w:tblPr>
      <w:tblGrid>
        <w:gridCol w:w="85"/>
        <w:gridCol w:w="2324"/>
        <w:gridCol w:w="3063"/>
        <w:gridCol w:w="1757"/>
        <w:gridCol w:w="86"/>
        <w:gridCol w:w="1332"/>
      </w:tblGrid>
      <w:tr w:rsidR="00F65A30" w:rsidRPr="00382DCD" w14:paraId="43228275" w14:textId="77777777">
        <w:trPr>
          <w:jc w:val="right"/>
        </w:trPr>
        <w:tc>
          <w:tcPr>
            <w:tcW w:w="2409" w:type="dxa"/>
            <w:gridSpan w:val="2"/>
          </w:tcPr>
          <w:p w14:paraId="0F28EE1A" w14:textId="77777777" w:rsidR="00F65A30" w:rsidRPr="00382DCD" w:rsidRDefault="00F65A30">
            <w:pPr>
              <w:spacing w:line="360" w:lineRule="auto"/>
              <w:jc w:val="both"/>
              <w:rPr>
                <w:b/>
                <w:bCs/>
                <w:sz w:val="22"/>
                <w:szCs w:val="28"/>
              </w:rPr>
            </w:pPr>
            <w:bookmarkStart w:id="1" w:name="FirstAppellant"/>
          </w:p>
        </w:tc>
        <w:tc>
          <w:tcPr>
            <w:tcW w:w="4820" w:type="dxa"/>
            <w:gridSpan w:val="2"/>
          </w:tcPr>
          <w:p w14:paraId="30431B10" w14:textId="77777777" w:rsidR="00F65A30" w:rsidRPr="00382DCD" w:rsidRDefault="00F65A30">
            <w:pPr>
              <w:spacing w:line="360" w:lineRule="auto"/>
              <w:jc w:val="both"/>
              <w:rPr>
                <w:b/>
                <w:bCs/>
                <w:sz w:val="22"/>
                <w:szCs w:val="28"/>
              </w:rPr>
            </w:pPr>
            <w:r w:rsidRPr="00382DCD">
              <w:rPr>
                <w:rFonts w:hint="cs"/>
                <w:b/>
                <w:bCs/>
                <w:sz w:val="22"/>
                <w:szCs w:val="28"/>
                <w:rtl/>
              </w:rPr>
              <w:t>מדינת ישראל</w:t>
            </w:r>
          </w:p>
        </w:tc>
        <w:tc>
          <w:tcPr>
            <w:tcW w:w="1418" w:type="dxa"/>
            <w:gridSpan w:val="2"/>
          </w:tcPr>
          <w:p w14:paraId="1971F075" w14:textId="77777777" w:rsidR="00F65A30" w:rsidRPr="00382DCD" w:rsidRDefault="00F65A30">
            <w:pPr>
              <w:spacing w:line="360" w:lineRule="auto"/>
              <w:jc w:val="both"/>
              <w:rPr>
                <w:b/>
                <w:bCs/>
                <w:sz w:val="22"/>
                <w:szCs w:val="28"/>
              </w:rPr>
            </w:pPr>
            <w:r w:rsidRPr="00382DCD">
              <w:rPr>
                <w:rFonts w:hint="cs"/>
                <w:b/>
                <w:bCs/>
                <w:sz w:val="22"/>
                <w:szCs w:val="28"/>
                <w:rtl/>
              </w:rPr>
              <w:t>בעניין:</w:t>
            </w:r>
          </w:p>
        </w:tc>
      </w:tr>
      <w:bookmarkEnd w:id="1"/>
      <w:tr w:rsidR="00F65A30" w:rsidRPr="00382DCD" w14:paraId="42F6A84F" w14:textId="77777777">
        <w:trPr>
          <w:jc w:val="right"/>
        </w:trPr>
        <w:tc>
          <w:tcPr>
            <w:tcW w:w="2409" w:type="dxa"/>
            <w:gridSpan w:val="2"/>
          </w:tcPr>
          <w:p w14:paraId="1DF3A70F" w14:textId="77777777" w:rsidR="00F65A30" w:rsidRPr="00382DCD" w:rsidRDefault="00F65A30">
            <w:pPr>
              <w:pStyle w:val="Heading4"/>
              <w:spacing w:line="360" w:lineRule="auto"/>
              <w:rPr>
                <w:sz w:val="22"/>
                <w:u w:val="none"/>
              </w:rPr>
            </w:pPr>
            <w:r w:rsidRPr="00382DCD">
              <w:rPr>
                <w:rFonts w:hint="cs"/>
                <w:sz w:val="22"/>
                <w:u w:val="none"/>
                <w:rtl/>
              </w:rPr>
              <w:t>המאשימה</w:t>
            </w:r>
          </w:p>
        </w:tc>
        <w:tc>
          <w:tcPr>
            <w:tcW w:w="3063" w:type="dxa"/>
          </w:tcPr>
          <w:p w14:paraId="275CBB26" w14:textId="77777777" w:rsidR="00F65A30" w:rsidRPr="00382DCD" w:rsidRDefault="00F65A30">
            <w:pPr>
              <w:spacing w:line="360" w:lineRule="auto"/>
              <w:jc w:val="both"/>
              <w:rPr>
                <w:b/>
                <w:bCs/>
                <w:sz w:val="22"/>
                <w:szCs w:val="28"/>
              </w:rPr>
            </w:pPr>
          </w:p>
        </w:tc>
        <w:tc>
          <w:tcPr>
            <w:tcW w:w="1757" w:type="dxa"/>
          </w:tcPr>
          <w:p w14:paraId="2B846C55" w14:textId="77777777" w:rsidR="00F65A30" w:rsidRPr="00382DCD" w:rsidRDefault="00F65A30">
            <w:pPr>
              <w:spacing w:line="360" w:lineRule="auto"/>
              <w:jc w:val="both"/>
              <w:rPr>
                <w:b/>
                <w:bCs/>
                <w:sz w:val="22"/>
                <w:szCs w:val="28"/>
              </w:rPr>
            </w:pPr>
          </w:p>
        </w:tc>
        <w:tc>
          <w:tcPr>
            <w:tcW w:w="1418" w:type="dxa"/>
            <w:gridSpan w:val="2"/>
          </w:tcPr>
          <w:p w14:paraId="123CD651" w14:textId="77777777" w:rsidR="00F65A30" w:rsidRPr="00382DCD" w:rsidRDefault="00F65A30">
            <w:pPr>
              <w:spacing w:line="360" w:lineRule="auto"/>
              <w:jc w:val="both"/>
              <w:rPr>
                <w:b/>
                <w:bCs/>
                <w:sz w:val="22"/>
                <w:szCs w:val="28"/>
              </w:rPr>
            </w:pPr>
          </w:p>
        </w:tc>
      </w:tr>
      <w:tr w:rsidR="00F65A30" w:rsidRPr="00382DCD" w14:paraId="0C7523A2" w14:textId="77777777">
        <w:trPr>
          <w:jc w:val="right"/>
        </w:trPr>
        <w:tc>
          <w:tcPr>
            <w:tcW w:w="2409" w:type="dxa"/>
            <w:gridSpan w:val="2"/>
          </w:tcPr>
          <w:p w14:paraId="0BA3B219" w14:textId="77777777" w:rsidR="00F65A30" w:rsidRPr="00382DCD" w:rsidRDefault="00F65A30">
            <w:pPr>
              <w:spacing w:line="360" w:lineRule="auto"/>
              <w:jc w:val="both"/>
              <w:rPr>
                <w:b/>
                <w:bCs/>
                <w:sz w:val="22"/>
                <w:szCs w:val="28"/>
              </w:rPr>
            </w:pPr>
          </w:p>
        </w:tc>
        <w:tc>
          <w:tcPr>
            <w:tcW w:w="4820" w:type="dxa"/>
            <w:gridSpan w:val="2"/>
          </w:tcPr>
          <w:p w14:paraId="21F422EE" w14:textId="77777777" w:rsidR="00F65A30" w:rsidRPr="00382DCD" w:rsidRDefault="00F65A30">
            <w:pPr>
              <w:pStyle w:val="Heading3"/>
              <w:spacing w:line="360" w:lineRule="auto"/>
              <w:rPr>
                <w:sz w:val="22"/>
              </w:rPr>
            </w:pPr>
            <w:r w:rsidRPr="00382DCD">
              <w:rPr>
                <w:rFonts w:hint="cs"/>
                <w:sz w:val="22"/>
                <w:rtl/>
              </w:rPr>
              <w:t>נגד</w:t>
            </w:r>
          </w:p>
          <w:p w14:paraId="2DECC0A1" w14:textId="77777777" w:rsidR="00F65A30" w:rsidRPr="00382DCD" w:rsidRDefault="00F65A30">
            <w:pPr>
              <w:spacing w:line="360" w:lineRule="auto"/>
              <w:jc w:val="both"/>
              <w:rPr>
                <w:b/>
                <w:bCs/>
                <w:sz w:val="22"/>
                <w:szCs w:val="28"/>
              </w:rPr>
            </w:pPr>
          </w:p>
        </w:tc>
        <w:tc>
          <w:tcPr>
            <w:tcW w:w="1418" w:type="dxa"/>
            <w:gridSpan w:val="2"/>
          </w:tcPr>
          <w:p w14:paraId="6EA6B4DB" w14:textId="77777777" w:rsidR="00F65A30" w:rsidRPr="00382DCD" w:rsidRDefault="00F65A30">
            <w:pPr>
              <w:spacing w:line="360" w:lineRule="auto"/>
              <w:jc w:val="both"/>
              <w:rPr>
                <w:b/>
                <w:bCs/>
                <w:sz w:val="22"/>
                <w:szCs w:val="28"/>
              </w:rPr>
            </w:pPr>
          </w:p>
        </w:tc>
      </w:tr>
      <w:tr w:rsidR="00F65A30" w:rsidRPr="00382DCD" w14:paraId="15C760CE" w14:textId="77777777">
        <w:trPr>
          <w:jc w:val="right"/>
        </w:trPr>
        <w:tc>
          <w:tcPr>
            <w:tcW w:w="2409" w:type="dxa"/>
            <w:gridSpan w:val="2"/>
          </w:tcPr>
          <w:p w14:paraId="04E4AAE3" w14:textId="77777777" w:rsidR="00F65A30" w:rsidRPr="00382DCD" w:rsidRDefault="00F65A30">
            <w:pPr>
              <w:spacing w:line="360" w:lineRule="auto"/>
              <w:jc w:val="both"/>
              <w:rPr>
                <w:b/>
                <w:bCs/>
                <w:sz w:val="22"/>
                <w:szCs w:val="28"/>
              </w:rPr>
            </w:pPr>
          </w:p>
        </w:tc>
        <w:tc>
          <w:tcPr>
            <w:tcW w:w="4820" w:type="dxa"/>
            <w:gridSpan w:val="2"/>
          </w:tcPr>
          <w:p w14:paraId="537C804F" w14:textId="77777777" w:rsidR="00F65A30" w:rsidRPr="00382DCD" w:rsidRDefault="00F65A30">
            <w:pPr>
              <w:spacing w:line="360" w:lineRule="auto"/>
              <w:jc w:val="both"/>
              <w:rPr>
                <w:b/>
                <w:bCs/>
                <w:sz w:val="22"/>
                <w:szCs w:val="28"/>
              </w:rPr>
            </w:pPr>
            <w:bookmarkStart w:id="2" w:name="שם_ב"/>
            <w:r w:rsidRPr="00382DCD">
              <w:rPr>
                <w:rFonts w:hint="cs"/>
                <w:b/>
                <w:bCs/>
                <w:sz w:val="22"/>
                <w:szCs w:val="28"/>
                <w:rtl/>
              </w:rPr>
              <w:t>אלונסו צקרה אברהם</w:t>
            </w:r>
            <w:bookmarkEnd w:id="2"/>
          </w:p>
        </w:tc>
        <w:tc>
          <w:tcPr>
            <w:tcW w:w="1418" w:type="dxa"/>
            <w:gridSpan w:val="2"/>
          </w:tcPr>
          <w:p w14:paraId="6A53393A" w14:textId="77777777" w:rsidR="00F65A30" w:rsidRPr="00382DCD" w:rsidRDefault="00F65A30">
            <w:pPr>
              <w:spacing w:line="360" w:lineRule="auto"/>
              <w:jc w:val="both"/>
              <w:rPr>
                <w:b/>
                <w:bCs/>
                <w:sz w:val="22"/>
                <w:szCs w:val="28"/>
              </w:rPr>
            </w:pPr>
          </w:p>
        </w:tc>
      </w:tr>
      <w:tr w:rsidR="00F65A30" w:rsidRPr="00382DCD" w14:paraId="1A7BF7A4" w14:textId="77777777">
        <w:trPr>
          <w:jc w:val="right"/>
        </w:trPr>
        <w:tc>
          <w:tcPr>
            <w:tcW w:w="2409" w:type="dxa"/>
            <w:gridSpan w:val="2"/>
          </w:tcPr>
          <w:p w14:paraId="1CD9868B" w14:textId="77777777" w:rsidR="00F65A30" w:rsidRPr="00382DCD" w:rsidRDefault="00F65A30">
            <w:pPr>
              <w:pStyle w:val="Heading5"/>
              <w:spacing w:line="360" w:lineRule="auto"/>
              <w:rPr>
                <w:sz w:val="22"/>
                <w:u w:val="none"/>
              </w:rPr>
            </w:pPr>
            <w:r w:rsidRPr="00382DCD">
              <w:rPr>
                <w:rFonts w:hint="cs"/>
                <w:sz w:val="22"/>
                <w:u w:val="none"/>
                <w:rtl/>
              </w:rPr>
              <w:t>הנאשם</w:t>
            </w:r>
          </w:p>
        </w:tc>
        <w:tc>
          <w:tcPr>
            <w:tcW w:w="3063" w:type="dxa"/>
          </w:tcPr>
          <w:p w14:paraId="600B55D1" w14:textId="77777777" w:rsidR="00F65A30" w:rsidRPr="00382DCD" w:rsidRDefault="00F65A30">
            <w:pPr>
              <w:spacing w:line="360" w:lineRule="auto"/>
              <w:jc w:val="both"/>
              <w:rPr>
                <w:b/>
                <w:bCs/>
                <w:sz w:val="22"/>
                <w:szCs w:val="28"/>
              </w:rPr>
            </w:pPr>
            <w:bookmarkStart w:id="3" w:name="בא_כוח_ב"/>
            <w:bookmarkEnd w:id="3"/>
          </w:p>
        </w:tc>
        <w:tc>
          <w:tcPr>
            <w:tcW w:w="1757" w:type="dxa"/>
          </w:tcPr>
          <w:p w14:paraId="2DE80C2B" w14:textId="77777777" w:rsidR="00F65A30" w:rsidRPr="00382DCD" w:rsidRDefault="00F65A30">
            <w:pPr>
              <w:spacing w:line="360" w:lineRule="auto"/>
              <w:jc w:val="both"/>
              <w:rPr>
                <w:b/>
                <w:bCs/>
                <w:sz w:val="22"/>
                <w:szCs w:val="28"/>
              </w:rPr>
            </w:pPr>
          </w:p>
        </w:tc>
        <w:tc>
          <w:tcPr>
            <w:tcW w:w="1418" w:type="dxa"/>
            <w:gridSpan w:val="2"/>
          </w:tcPr>
          <w:p w14:paraId="3A278DE9" w14:textId="77777777" w:rsidR="00F65A30" w:rsidRPr="00382DCD" w:rsidRDefault="00F65A30">
            <w:pPr>
              <w:spacing w:line="360" w:lineRule="auto"/>
              <w:jc w:val="both"/>
              <w:rPr>
                <w:b/>
                <w:bCs/>
                <w:sz w:val="22"/>
                <w:szCs w:val="28"/>
              </w:rPr>
            </w:pPr>
          </w:p>
        </w:tc>
      </w:tr>
      <w:tr w:rsidR="00F65A30" w:rsidRPr="00382DCD" w14:paraId="276C4E2D" w14:textId="77777777">
        <w:trPr>
          <w:gridBefore w:val="1"/>
          <w:wBefore w:w="85" w:type="dxa"/>
          <w:jc w:val="right"/>
        </w:trPr>
        <w:tc>
          <w:tcPr>
            <w:tcW w:w="7230" w:type="dxa"/>
            <w:gridSpan w:val="4"/>
          </w:tcPr>
          <w:p w14:paraId="20D819CF" w14:textId="77777777" w:rsidR="00F65A30" w:rsidRPr="00382DCD" w:rsidRDefault="00F65A30">
            <w:pPr>
              <w:spacing w:line="360" w:lineRule="auto"/>
              <w:jc w:val="both"/>
              <w:rPr>
                <w:sz w:val="22"/>
              </w:rPr>
            </w:pPr>
            <w:bookmarkStart w:id="4" w:name="FirstLawyer"/>
            <w:r w:rsidRPr="00382DCD">
              <w:rPr>
                <w:rFonts w:hint="cs"/>
                <w:sz w:val="22"/>
                <w:rtl/>
              </w:rPr>
              <w:t xml:space="preserve">ב"כ המאשימה: עו"ד עוז קליין </w:t>
            </w:r>
            <w:bookmarkStart w:id="5" w:name="צד_ג"/>
            <w:bookmarkEnd w:id="5"/>
          </w:p>
          <w:p w14:paraId="1D62DBC4" w14:textId="77777777" w:rsidR="00F65A30" w:rsidRPr="00382DCD" w:rsidRDefault="00F65A30">
            <w:pPr>
              <w:spacing w:line="360" w:lineRule="auto"/>
              <w:jc w:val="both"/>
              <w:rPr>
                <w:rFonts w:hint="cs"/>
                <w:sz w:val="22"/>
                <w:rtl/>
              </w:rPr>
            </w:pPr>
            <w:r w:rsidRPr="00382DCD">
              <w:rPr>
                <w:rFonts w:hint="cs"/>
                <w:sz w:val="22"/>
                <w:rtl/>
              </w:rPr>
              <w:t xml:space="preserve">ב"כ הנאשם: עו"ד הרמן </w:t>
            </w:r>
          </w:p>
          <w:p w14:paraId="74959F34" w14:textId="77777777" w:rsidR="00F65A30" w:rsidRPr="00382DCD" w:rsidRDefault="00F65A30">
            <w:pPr>
              <w:spacing w:line="360" w:lineRule="auto"/>
              <w:jc w:val="both"/>
              <w:rPr>
                <w:sz w:val="22"/>
                <w:szCs w:val="28"/>
              </w:rPr>
            </w:pPr>
            <w:r w:rsidRPr="00382DCD">
              <w:rPr>
                <w:rFonts w:hint="cs"/>
                <w:sz w:val="22"/>
                <w:rtl/>
              </w:rPr>
              <w:t>הנאשם – בעצמו</w:t>
            </w:r>
          </w:p>
        </w:tc>
        <w:tc>
          <w:tcPr>
            <w:tcW w:w="1332" w:type="dxa"/>
          </w:tcPr>
          <w:p w14:paraId="2B098627" w14:textId="77777777" w:rsidR="00F65A30" w:rsidRPr="00382DCD" w:rsidRDefault="00F65A30">
            <w:pPr>
              <w:jc w:val="both"/>
              <w:rPr>
                <w:b/>
                <w:bCs/>
                <w:sz w:val="22"/>
                <w:szCs w:val="28"/>
              </w:rPr>
            </w:pPr>
            <w:r w:rsidRPr="00382DCD">
              <w:rPr>
                <w:rFonts w:hint="cs"/>
                <w:b/>
                <w:bCs/>
                <w:sz w:val="22"/>
                <w:szCs w:val="28"/>
                <w:rtl/>
              </w:rPr>
              <w:t>נוכחים:</w:t>
            </w:r>
          </w:p>
        </w:tc>
      </w:tr>
      <w:bookmarkEnd w:id="4"/>
    </w:tbl>
    <w:p w14:paraId="00FFDD2F" w14:textId="77777777" w:rsidR="00F65A30" w:rsidRPr="00382DCD" w:rsidRDefault="00F65A30">
      <w:pPr>
        <w:jc w:val="both"/>
        <w:rPr>
          <w:rFonts w:hint="cs"/>
          <w:b/>
          <w:bCs/>
          <w:sz w:val="28"/>
          <w:szCs w:val="28"/>
          <w:rtl/>
        </w:rPr>
      </w:pPr>
    </w:p>
    <w:p w14:paraId="72D4F677" w14:textId="77777777" w:rsidR="009465A6" w:rsidRDefault="00F65A30">
      <w:pPr>
        <w:jc w:val="both"/>
        <w:rPr>
          <w:sz w:val="28"/>
          <w:szCs w:val="28"/>
          <w:rtl/>
        </w:rPr>
      </w:pPr>
      <w:r w:rsidRPr="00382DCD">
        <w:rPr>
          <w:rFonts w:hint="cs"/>
          <w:b/>
          <w:bCs/>
          <w:sz w:val="28"/>
          <w:szCs w:val="28"/>
          <w:rtl/>
        </w:rPr>
        <w:t>הנאשם:</w:t>
      </w:r>
      <w:r w:rsidRPr="00382DCD">
        <w:rPr>
          <w:rFonts w:hint="cs"/>
          <w:sz w:val="28"/>
          <w:szCs w:val="28"/>
          <w:rtl/>
        </w:rPr>
        <w:t xml:space="preserve"> מודה בעובדות כתב האישום המתוקן.</w:t>
      </w:r>
      <w:bookmarkStart w:id="6" w:name="LawTable"/>
      <w:bookmarkEnd w:id="6"/>
    </w:p>
    <w:p w14:paraId="6F001B61" w14:textId="77777777" w:rsidR="009465A6" w:rsidRPr="009465A6" w:rsidRDefault="009465A6" w:rsidP="009465A6">
      <w:pPr>
        <w:spacing w:after="120" w:line="240" w:lineRule="exact"/>
        <w:ind w:left="283" w:hanging="283"/>
        <w:jc w:val="both"/>
        <w:rPr>
          <w:rFonts w:ascii="FrankRuehl" w:hAnsi="FrankRuehl" w:cs="FrankRuehl"/>
          <w:sz w:val="24"/>
          <w:rtl/>
        </w:rPr>
      </w:pPr>
    </w:p>
    <w:p w14:paraId="7227500C" w14:textId="77777777" w:rsidR="009465A6" w:rsidRPr="009465A6" w:rsidRDefault="009465A6" w:rsidP="009465A6">
      <w:pPr>
        <w:spacing w:after="120" w:line="240" w:lineRule="exact"/>
        <w:ind w:left="283" w:hanging="283"/>
        <w:jc w:val="both"/>
        <w:rPr>
          <w:rFonts w:ascii="FrankRuehl" w:hAnsi="FrankRuehl" w:cs="FrankRuehl"/>
          <w:sz w:val="24"/>
          <w:rtl/>
        </w:rPr>
      </w:pPr>
      <w:r w:rsidRPr="009465A6">
        <w:rPr>
          <w:rFonts w:ascii="FrankRuehl" w:hAnsi="FrankRuehl" w:cs="FrankRuehl"/>
          <w:sz w:val="24"/>
          <w:rtl/>
        </w:rPr>
        <w:t xml:space="preserve">חקיקה שאוזכרה: </w:t>
      </w:r>
    </w:p>
    <w:p w14:paraId="6936C748" w14:textId="77777777" w:rsidR="009465A6" w:rsidRPr="009465A6" w:rsidRDefault="009465A6" w:rsidP="009465A6">
      <w:pPr>
        <w:spacing w:after="120" w:line="240" w:lineRule="exact"/>
        <w:ind w:left="283" w:hanging="283"/>
        <w:jc w:val="both"/>
        <w:rPr>
          <w:rFonts w:ascii="FrankRuehl" w:hAnsi="FrankRuehl" w:cs="FrankRuehl"/>
          <w:sz w:val="24"/>
          <w:rtl/>
        </w:rPr>
      </w:pPr>
      <w:hyperlink r:id="rId6" w:history="1">
        <w:r w:rsidRPr="009465A6">
          <w:rPr>
            <w:rFonts w:ascii="FrankRuehl" w:hAnsi="FrankRuehl" w:cs="FrankRuehl"/>
            <w:color w:val="0000FF"/>
            <w:sz w:val="24"/>
            <w:u w:val="single"/>
            <w:rtl/>
          </w:rPr>
          <w:t>חוק העונשין, תשל"ז-1977</w:t>
        </w:r>
      </w:hyperlink>
      <w:r w:rsidRPr="009465A6">
        <w:rPr>
          <w:rFonts w:ascii="FrankRuehl" w:hAnsi="FrankRuehl" w:cs="FrankRuehl"/>
          <w:sz w:val="24"/>
          <w:rtl/>
        </w:rPr>
        <w:t xml:space="preserve">: סע'  </w:t>
      </w:r>
      <w:hyperlink r:id="rId7" w:history="1">
        <w:r w:rsidRPr="009465A6">
          <w:rPr>
            <w:rFonts w:ascii="FrankRuehl" w:hAnsi="FrankRuehl" w:cs="FrankRuehl"/>
            <w:color w:val="0000FF"/>
            <w:sz w:val="24"/>
            <w:u w:val="single"/>
            <w:rtl/>
          </w:rPr>
          <w:t>348.ג.</w:t>
        </w:r>
      </w:hyperlink>
      <w:r w:rsidRPr="009465A6">
        <w:rPr>
          <w:rFonts w:ascii="FrankRuehl" w:hAnsi="FrankRuehl" w:cs="FrankRuehl"/>
          <w:sz w:val="24"/>
          <w:rtl/>
        </w:rPr>
        <w:t xml:space="preserve">, </w:t>
      </w:r>
      <w:hyperlink r:id="rId8" w:history="1">
        <w:r w:rsidRPr="009465A6">
          <w:rPr>
            <w:rFonts w:ascii="FrankRuehl" w:hAnsi="FrankRuehl" w:cs="FrankRuehl"/>
            <w:color w:val="0000FF"/>
            <w:sz w:val="24"/>
            <w:u w:val="single"/>
            <w:rtl/>
          </w:rPr>
          <w:t>452</w:t>
        </w:r>
      </w:hyperlink>
      <w:r w:rsidRPr="009465A6">
        <w:rPr>
          <w:rFonts w:ascii="FrankRuehl" w:hAnsi="FrankRuehl" w:cs="FrankRuehl"/>
          <w:sz w:val="24"/>
          <w:rtl/>
        </w:rPr>
        <w:t xml:space="preserve">, </w:t>
      </w:r>
      <w:hyperlink r:id="rId9" w:history="1">
        <w:r w:rsidRPr="009465A6">
          <w:rPr>
            <w:rFonts w:ascii="FrankRuehl" w:hAnsi="FrankRuehl" w:cs="FrankRuehl"/>
            <w:color w:val="0000FF"/>
            <w:sz w:val="24"/>
            <w:u w:val="single"/>
            <w:rtl/>
          </w:rPr>
          <w:t>ה' לפרק י'</w:t>
        </w:r>
      </w:hyperlink>
    </w:p>
    <w:p w14:paraId="7587F6C9" w14:textId="77777777" w:rsidR="009465A6" w:rsidRPr="009465A6" w:rsidRDefault="009465A6" w:rsidP="009465A6">
      <w:pPr>
        <w:spacing w:after="120" w:line="240" w:lineRule="exact"/>
        <w:ind w:left="283" w:hanging="283"/>
        <w:jc w:val="both"/>
        <w:rPr>
          <w:rFonts w:ascii="FrankRuehl" w:hAnsi="FrankRuehl" w:cs="FrankRuehl"/>
          <w:sz w:val="24"/>
          <w:rtl/>
        </w:rPr>
      </w:pPr>
    </w:p>
    <w:p w14:paraId="7C1370DB" w14:textId="77777777" w:rsidR="009465A6" w:rsidRPr="009465A6" w:rsidRDefault="009465A6">
      <w:pPr>
        <w:jc w:val="both"/>
        <w:rPr>
          <w:sz w:val="28"/>
          <w:szCs w:val="28"/>
          <w:rtl/>
        </w:rPr>
      </w:pPr>
      <w:bookmarkStart w:id="7" w:name="LawTable_End"/>
      <w:bookmarkEnd w:id="7"/>
    </w:p>
    <w:p w14:paraId="10DD7ADF" w14:textId="77777777" w:rsidR="009465A6" w:rsidRPr="009465A6" w:rsidRDefault="009465A6">
      <w:pPr>
        <w:jc w:val="both"/>
        <w:rPr>
          <w:sz w:val="28"/>
          <w:szCs w:val="28"/>
          <w:rtl/>
        </w:rPr>
      </w:pPr>
    </w:p>
    <w:p w14:paraId="1BBF737D" w14:textId="77777777" w:rsidR="00F65A30" w:rsidRPr="009465A6" w:rsidRDefault="00F65A30">
      <w:pPr>
        <w:jc w:val="both"/>
        <w:rPr>
          <w:rFonts w:hint="cs"/>
          <w:sz w:val="28"/>
          <w:szCs w:val="28"/>
          <w:rtl/>
        </w:rPr>
      </w:pPr>
    </w:p>
    <w:p w14:paraId="1ABE37E9" w14:textId="77777777" w:rsidR="009465A6" w:rsidRPr="009465A6" w:rsidRDefault="009465A6">
      <w:pPr>
        <w:jc w:val="both"/>
        <w:rPr>
          <w:sz w:val="28"/>
          <w:szCs w:val="28"/>
          <w:rtl/>
        </w:rPr>
      </w:pPr>
    </w:p>
    <w:p w14:paraId="0E73B3A6" w14:textId="77777777" w:rsidR="009465A6" w:rsidRPr="009465A6" w:rsidRDefault="009465A6">
      <w:pPr>
        <w:jc w:val="both"/>
        <w:rPr>
          <w:sz w:val="28"/>
          <w:szCs w:val="28"/>
          <w:rtl/>
        </w:rPr>
      </w:pPr>
    </w:p>
    <w:p w14:paraId="07BF9E28" w14:textId="77777777" w:rsidR="00F65A30" w:rsidRPr="009465A6" w:rsidRDefault="00F65A30">
      <w:pPr>
        <w:jc w:val="both"/>
        <w:rPr>
          <w:rFonts w:hint="cs"/>
          <w:sz w:val="28"/>
          <w:szCs w:val="28"/>
          <w:rtl/>
        </w:rPr>
      </w:pPr>
    </w:p>
    <w:p w14:paraId="5D231682" w14:textId="77777777" w:rsidR="00A65B85" w:rsidRPr="00A65B85" w:rsidRDefault="00A65B85">
      <w:pPr>
        <w:pStyle w:val="Heading1"/>
        <w:rPr>
          <w:b w:val="0"/>
          <w:bCs w:val="0"/>
          <w:u w:val="none"/>
          <w:rtl/>
        </w:rPr>
      </w:pPr>
      <w:bookmarkStart w:id="8" w:name="סוג_מסמך"/>
      <w:bookmarkEnd w:id="8"/>
    </w:p>
    <w:p w14:paraId="262358FD" w14:textId="77777777" w:rsidR="00A65B85" w:rsidRPr="00A65B85" w:rsidRDefault="00A65B85">
      <w:pPr>
        <w:pStyle w:val="Heading1"/>
        <w:rPr>
          <w:u w:val="none"/>
          <w:rtl/>
        </w:rPr>
      </w:pPr>
    </w:p>
    <w:p w14:paraId="35199AA2" w14:textId="77777777" w:rsidR="00382DCD" w:rsidRPr="00A65B85" w:rsidRDefault="00382DCD">
      <w:pPr>
        <w:pStyle w:val="Heading1"/>
        <w:rPr>
          <w:u w:val="none"/>
          <w:rtl/>
        </w:rPr>
      </w:pPr>
    </w:p>
    <w:p w14:paraId="324DFF96" w14:textId="77777777" w:rsidR="00382DCD" w:rsidRPr="00382DCD" w:rsidRDefault="00382DCD" w:rsidP="00382DCD">
      <w:pPr>
        <w:jc w:val="center"/>
        <w:rPr>
          <w:b/>
          <w:bCs/>
          <w:sz w:val="32"/>
          <w:szCs w:val="32"/>
          <w:u w:val="single"/>
          <w:rtl/>
        </w:rPr>
      </w:pPr>
      <w:bookmarkStart w:id="9" w:name="PsakDin"/>
      <w:r w:rsidRPr="00382DCD">
        <w:rPr>
          <w:b/>
          <w:bCs/>
          <w:sz w:val="32"/>
          <w:szCs w:val="32"/>
          <w:u w:val="single"/>
          <w:rtl/>
        </w:rPr>
        <w:t>הכרעת - דין</w:t>
      </w:r>
    </w:p>
    <w:bookmarkEnd w:id="9"/>
    <w:p w14:paraId="7552E2F3" w14:textId="77777777" w:rsidR="00F65A30" w:rsidRDefault="00F65A30">
      <w:pPr>
        <w:jc w:val="both"/>
        <w:rPr>
          <w:rFonts w:hint="cs"/>
          <w:sz w:val="28"/>
          <w:szCs w:val="28"/>
          <w:rtl/>
        </w:rPr>
      </w:pPr>
    </w:p>
    <w:p w14:paraId="07D96CBB" w14:textId="77777777" w:rsidR="00F65A30" w:rsidRDefault="00F65A30">
      <w:pPr>
        <w:spacing w:line="360" w:lineRule="auto"/>
        <w:jc w:val="both"/>
        <w:rPr>
          <w:rFonts w:hint="cs"/>
          <w:sz w:val="28"/>
          <w:szCs w:val="28"/>
          <w:rtl/>
        </w:rPr>
      </w:pPr>
      <w:r>
        <w:rPr>
          <w:rFonts w:hint="cs"/>
          <w:sz w:val="28"/>
          <w:szCs w:val="28"/>
          <w:rtl/>
        </w:rPr>
        <w:t xml:space="preserve">ביום 11.9.08 הציגו הצדדים הסדר לפיו הנאשם יודה בעובדות האישום הראשון של כתב האישום ויורשע על פי הודאתו, כמו-כן, הוא יחזור בו מהודאתו באישומים 2 ו- 3.  על פי הסכמת הצדדים, בית המשפט יתיר לו לחזור בו מן ההודאה והאישומים 2 ו- 3 יבוטלו. </w:t>
      </w:r>
    </w:p>
    <w:p w14:paraId="3B2CFD81" w14:textId="77777777" w:rsidR="00F65A30" w:rsidRDefault="00F65A30">
      <w:pPr>
        <w:jc w:val="both"/>
        <w:rPr>
          <w:rFonts w:hint="cs"/>
          <w:sz w:val="28"/>
          <w:szCs w:val="28"/>
          <w:rtl/>
        </w:rPr>
      </w:pPr>
    </w:p>
    <w:p w14:paraId="480600D9" w14:textId="77777777" w:rsidR="00F65A30" w:rsidRDefault="00F65A30">
      <w:pPr>
        <w:spacing w:line="360" w:lineRule="auto"/>
        <w:jc w:val="both"/>
        <w:rPr>
          <w:rFonts w:hint="cs"/>
          <w:sz w:val="28"/>
          <w:szCs w:val="28"/>
          <w:rtl/>
        </w:rPr>
      </w:pPr>
      <w:r>
        <w:rPr>
          <w:rFonts w:hint="cs"/>
          <w:sz w:val="28"/>
          <w:szCs w:val="28"/>
          <w:rtl/>
        </w:rPr>
        <w:t xml:space="preserve">בהחלטה שניתנה באותו יום אכן בוטלו אישומים 2 ו- 3, אולם מאחר שהנאשם לא נכח, לא נרשמה הכרעת הדין שלו מאחר שלא נשמעה הודאה מפיו. היום אישר </w:t>
      </w:r>
      <w:r>
        <w:rPr>
          <w:rFonts w:hint="cs"/>
          <w:sz w:val="28"/>
          <w:szCs w:val="28"/>
          <w:rtl/>
        </w:rPr>
        <w:lastRenderedPageBreak/>
        <w:t xml:space="preserve">הנאשם הודאתו, כפי שנמסרה מפי בא כוחו, לפיכך על פי הודאת הנאשם בעובדות כתב האישום המתוקן, אני מוצאת אותו אשם ומרשיעה אותו בדין על עבירות </w:t>
      </w:r>
      <w:hyperlink r:id="rId10" w:history="1">
        <w:r w:rsidR="009465A6" w:rsidRPr="009465A6">
          <w:rPr>
            <w:color w:val="0000FF"/>
            <w:sz w:val="28"/>
            <w:szCs w:val="28"/>
            <w:u w:val="single"/>
            <w:rtl/>
          </w:rPr>
          <w:t>בסעיפים 348(ג) ו- 452</w:t>
        </w:r>
      </w:hyperlink>
      <w:r>
        <w:rPr>
          <w:rFonts w:hint="cs"/>
          <w:sz w:val="28"/>
          <w:szCs w:val="28"/>
          <w:rtl/>
        </w:rPr>
        <w:t xml:space="preserve"> ל</w:t>
      </w:r>
      <w:hyperlink r:id="rId11" w:history="1">
        <w:r w:rsidR="00A65B85" w:rsidRPr="00A65B85">
          <w:rPr>
            <w:rStyle w:val="Hyperlink"/>
            <w:sz w:val="28"/>
            <w:szCs w:val="28"/>
            <w:rtl/>
          </w:rPr>
          <w:t>חוק העונשין</w:t>
        </w:r>
      </w:hyperlink>
      <w:r>
        <w:rPr>
          <w:rFonts w:hint="cs"/>
          <w:sz w:val="28"/>
          <w:szCs w:val="28"/>
          <w:rtl/>
        </w:rPr>
        <w:t xml:space="preserve">, תשל"ז – 1977 (להלן – "החוק"). </w:t>
      </w:r>
    </w:p>
    <w:p w14:paraId="295B6D82" w14:textId="77777777" w:rsidR="00F65A30" w:rsidRDefault="00F65A30">
      <w:pPr>
        <w:jc w:val="both"/>
        <w:rPr>
          <w:rFonts w:hint="cs"/>
          <w:sz w:val="28"/>
          <w:szCs w:val="28"/>
          <w:rtl/>
        </w:rPr>
      </w:pPr>
    </w:p>
    <w:p w14:paraId="3384E48D" w14:textId="77777777" w:rsidR="00F65A30" w:rsidRDefault="00F65A30">
      <w:pPr>
        <w:jc w:val="both"/>
        <w:rPr>
          <w:rFonts w:hint="cs"/>
          <w:sz w:val="22"/>
          <w:szCs w:val="28"/>
          <w:rtl/>
        </w:rPr>
      </w:pPr>
      <w:bookmarkStart w:id="10" w:name="Decision2"/>
      <w:bookmarkStart w:id="11" w:name="Decision3"/>
      <w:bookmarkEnd w:id="10"/>
      <w:r>
        <w:rPr>
          <w:rFonts w:hint="cs"/>
          <w:sz w:val="22"/>
          <w:szCs w:val="28"/>
          <w:rtl/>
        </w:rPr>
        <w:t>ניתנה היום י"ג בכסלו, תשס"ט (10 בדצמבר 2008) במעמד הצדדים.</w:t>
      </w:r>
      <w:bookmarkEnd w:id="11"/>
    </w:p>
    <w:tbl>
      <w:tblPr>
        <w:bidiVisual/>
        <w:tblW w:w="0" w:type="auto"/>
        <w:tblInd w:w="6153" w:type="dxa"/>
        <w:tblBorders>
          <w:top w:val="single" w:sz="4" w:space="0" w:color="auto"/>
        </w:tblBorders>
        <w:tblLook w:val="0000" w:firstRow="0" w:lastRow="0" w:firstColumn="0" w:lastColumn="0" w:noHBand="0" w:noVBand="0"/>
      </w:tblPr>
      <w:tblGrid>
        <w:gridCol w:w="2369"/>
      </w:tblGrid>
      <w:tr w:rsidR="00F65A30" w14:paraId="2BB67D1C" w14:textId="77777777">
        <w:tc>
          <w:tcPr>
            <w:tcW w:w="2376" w:type="dxa"/>
            <w:tcBorders>
              <w:top w:val="single" w:sz="4" w:space="0" w:color="auto"/>
              <w:left w:val="nil"/>
              <w:bottom w:val="nil"/>
              <w:right w:val="nil"/>
            </w:tcBorders>
          </w:tcPr>
          <w:p w14:paraId="0C40C447" w14:textId="77777777" w:rsidR="00F65A30" w:rsidRDefault="00F65A30">
            <w:pPr>
              <w:pStyle w:val="Heading3"/>
              <w:rPr>
                <w:sz w:val="24"/>
                <w:szCs w:val="26"/>
              </w:rPr>
            </w:pPr>
            <w:r>
              <w:rPr>
                <w:rFonts w:hint="cs"/>
                <w:sz w:val="24"/>
                <w:szCs w:val="26"/>
                <w:rtl/>
              </w:rPr>
              <w:t>שולמית דותן, ס.נשיא</w:t>
            </w:r>
          </w:p>
        </w:tc>
      </w:tr>
    </w:tbl>
    <w:p w14:paraId="12EA602F" w14:textId="77777777" w:rsidR="00F65A30" w:rsidRDefault="00F65A30">
      <w:pPr>
        <w:spacing w:line="360" w:lineRule="auto"/>
        <w:jc w:val="right"/>
        <w:rPr>
          <w:rFonts w:hint="cs"/>
          <w:b/>
          <w:bCs/>
          <w:color w:val="FF0000"/>
          <w:sz w:val="28"/>
          <w:szCs w:val="28"/>
          <w:rtl/>
        </w:rPr>
      </w:pPr>
    </w:p>
    <w:p w14:paraId="4478A9B7" w14:textId="77777777" w:rsidR="00F65A30" w:rsidRDefault="00F65A30">
      <w:pPr>
        <w:spacing w:line="360" w:lineRule="auto"/>
        <w:jc w:val="both"/>
        <w:rPr>
          <w:sz w:val="28"/>
          <w:szCs w:val="28"/>
        </w:rPr>
      </w:pPr>
    </w:p>
    <w:p w14:paraId="6413A5A0" w14:textId="77777777" w:rsidR="00F65A30" w:rsidRDefault="00F65A30">
      <w:pPr>
        <w:spacing w:line="360" w:lineRule="auto"/>
        <w:jc w:val="center"/>
        <w:rPr>
          <w:rFonts w:hint="cs"/>
          <w:b/>
          <w:bCs/>
          <w:sz w:val="32"/>
          <w:szCs w:val="28"/>
          <w:u w:val="single"/>
          <w:rtl/>
        </w:rPr>
      </w:pPr>
      <w:bookmarkStart w:id="12" w:name="Decision4"/>
      <w:r>
        <w:rPr>
          <w:rFonts w:hint="cs"/>
          <w:b/>
          <w:bCs/>
          <w:sz w:val="32"/>
          <w:szCs w:val="28"/>
          <w:u w:val="single"/>
          <w:rtl/>
        </w:rPr>
        <w:t>גזר דין</w:t>
      </w:r>
      <w:bookmarkEnd w:id="12"/>
    </w:p>
    <w:p w14:paraId="60C5C44A" w14:textId="77777777" w:rsidR="00F65A30" w:rsidRDefault="00F65A30">
      <w:pPr>
        <w:jc w:val="both"/>
        <w:rPr>
          <w:rFonts w:hint="cs"/>
          <w:sz w:val="28"/>
          <w:szCs w:val="28"/>
          <w:rtl/>
        </w:rPr>
      </w:pPr>
    </w:p>
    <w:p w14:paraId="1E082A92" w14:textId="77777777" w:rsidR="00F65A30" w:rsidRDefault="00F65A30">
      <w:pPr>
        <w:spacing w:line="360" w:lineRule="auto"/>
        <w:jc w:val="both"/>
        <w:rPr>
          <w:rFonts w:hint="cs"/>
          <w:sz w:val="28"/>
          <w:szCs w:val="28"/>
          <w:rtl/>
        </w:rPr>
      </w:pPr>
      <w:r>
        <w:rPr>
          <w:rFonts w:hint="cs"/>
          <w:sz w:val="28"/>
          <w:szCs w:val="28"/>
          <w:rtl/>
        </w:rPr>
        <w:t xml:space="preserve">בגדר הסדר טיעון הסכימו הצדדים כי יוטל על הנאשם עונש של מאסר 54 ימים אשר יקוזז מן הימים שבהם היה הנאשם נתון במעצר וכן יוטל עליו לרצות מאסר בדרך של עבודות שירות בכפוף לחוות דעת הממונה על עבודות שירות,הוא יועמד למבחן וישלם פיצוי למתלונן. בהתאם לכך יוזמן תסקיר שירות מבחן וכן תוזמן הערכת מסוכנות לגבי הנאשם. </w:t>
      </w:r>
    </w:p>
    <w:p w14:paraId="3A55D4CB" w14:textId="77777777" w:rsidR="00F65A30" w:rsidRDefault="00F65A30">
      <w:pPr>
        <w:spacing w:line="360" w:lineRule="auto"/>
        <w:jc w:val="both"/>
        <w:rPr>
          <w:rFonts w:hint="cs"/>
          <w:sz w:val="28"/>
          <w:szCs w:val="28"/>
          <w:rtl/>
        </w:rPr>
      </w:pPr>
    </w:p>
    <w:p w14:paraId="09D13A9A" w14:textId="77777777" w:rsidR="00F65A30" w:rsidRDefault="00F65A30">
      <w:pPr>
        <w:spacing w:line="360" w:lineRule="auto"/>
        <w:jc w:val="both"/>
        <w:rPr>
          <w:rFonts w:hint="cs"/>
          <w:sz w:val="28"/>
          <w:szCs w:val="28"/>
          <w:rtl/>
        </w:rPr>
      </w:pPr>
      <w:r>
        <w:rPr>
          <w:rFonts w:hint="cs"/>
          <w:sz w:val="28"/>
          <w:szCs w:val="28"/>
          <w:rtl/>
        </w:rPr>
        <w:t>הצדדים הבהירו כי אם לפי חוות דעת הממונה על עבודות שירות או על פי תסקיר שירות המבחן או על פי הערכת המסוכנות לא ניתן יהיה להשלים את הסדר הטיעון כמוסכם בין הצדדים,  יוכל כל אחד  מהצדדים לשקול את עמדתו ולחרוג מן ההסדר.</w:t>
      </w:r>
    </w:p>
    <w:p w14:paraId="3AC1EB08" w14:textId="77777777" w:rsidR="00F65A30" w:rsidRDefault="00F65A30">
      <w:pPr>
        <w:spacing w:line="360" w:lineRule="auto"/>
        <w:jc w:val="both"/>
        <w:rPr>
          <w:rFonts w:hint="cs"/>
          <w:sz w:val="28"/>
          <w:szCs w:val="28"/>
          <w:rtl/>
        </w:rPr>
      </w:pPr>
    </w:p>
    <w:p w14:paraId="3C625784" w14:textId="77777777" w:rsidR="00F65A30" w:rsidRDefault="00F65A30">
      <w:pPr>
        <w:spacing w:line="360" w:lineRule="auto"/>
        <w:jc w:val="both"/>
        <w:rPr>
          <w:rFonts w:hint="cs"/>
          <w:sz w:val="28"/>
          <w:szCs w:val="28"/>
          <w:rtl/>
        </w:rPr>
      </w:pPr>
      <w:r>
        <w:rPr>
          <w:rFonts w:hint="cs"/>
          <w:sz w:val="28"/>
          <w:szCs w:val="28"/>
          <w:rtl/>
        </w:rPr>
        <w:t xml:space="preserve">בין יתר הסיבות למסקנה האמורה מצויות אבחנות בדבר אישיותו של הנאשם שמצויים בה קווים אנטיסוציאליים ונרציסיטיים ופתולוגיה מינית מתמשכת כלפי נערים. לצד זאת נעדרת תובנה ביחס להשלכות מעשיו על הקורבנות ואין פתרון סיוע שימנע מן הנאשם חזרה למעשים. </w:t>
      </w:r>
    </w:p>
    <w:p w14:paraId="23C432FB" w14:textId="77777777" w:rsidR="00F65A30" w:rsidRDefault="00F65A30">
      <w:pPr>
        <w:spacing w:line="360" w:lineRule="auto"/>
        <w:jc w:val="both"/>
        <w:rPr>
          <w:rFonts w:hint="cs"/>
          <w:sz w:val="28"/>
          <w:szCs w:val="28"/>
          <w:rtl/>
        </w:rPr>
      </w:pPr>
    </w:p>
    <w:p w14:paraId="38E47A5C" w14:textId="77777777" w:rsidR="00F65A30" w:rsidRDefault="00F65A30">
      <w:pPr>
        <w:spacing w:line="360" w:lineRule="auto"/>
        <w:jc w:val="both"/>
        <w:rPr>
          <w:rFonts w:hint="cs"/>
          <w:sz w:val="28"/>
          <w:szCs w:val="28"/>
          <w:rtl/>
        </w:rPr>
      </w:pPr>
      <w:r>
        <w:rPr>
          <w:rFonts w:hint="cs"/>
          <w:sz w:val="28"/>
          <w:szCs w:val="28"/>
          <w:rtl/>
        </w:rPr>
        <w:t xml:space="preserve">על כל אלה קיים גם שימוש בסם על ידי הנאשם. דבר שבוודאי מחמיר את הנסיבות ואת קווי האישיות האופיניים לנאשם. </w:t>
      </w:r>
    </w:p>
    <w:p w14:paraId="3036F796" w14:textId="77777777" w:rsidR="00F65A30" w:rsidRDefault="00F65A30">
      <w:pPr>
        <w:spacing w:line="360" w:lineRule="auto"/>
        <w:jc w:val="both"/>
        <w:rPr>
          <w:rFonts w:hint="cs"/>
          <w:sz w:val="28"/>
          <w:szCs w:val="28"/>
          <w:rtl/>
        </w:rPr>
      </w:pPr>
    </w:p>
    <w:p w14:paraId="47C4F901" w14:textId="77777777" w:rsidR="00F65A30" w:rsidRDefault="00F65A30">
      <w:pPr>
        <w:spacing w:line="360" w:lineRule="auto"/>
        <w:jc w:val="both"/>
        <w:rPr>
          <w:rFonts w:hint="cs"/>
          <w:sz w:val="28"/>
          <w:szCs w:val="28"/>
          <w:rtl/>
        </w:rPr>
      </w:pPr>
      <w:r>
        <w:rPr>
          <w:rFonts w:hint="cs"/>
          <w:sz w:val="28"/>
          <w:szCs w:val="28"/>
          <w:rtl/>
        </w:rPr>
        <w:t xml:space="preserve">תוכנו של תסקיר שירות המבחן, עולה בקנה אחד עם הערכת המסוכנות וגם המסקנות של הערכת המסוכנות מאומצות על ידי קצינת המבחן. בסופו של התסקיר שירות המבחן נמנע מהמלצה טיפולית ומבקש להסב את תשומת הלב לאפשרות שהנאשם יטופל במסגרת שהייתו במאסר. </w:t>
      </w:r>
    </w:p>
    <w:p w14:paraId="6A916816" w14:textId="77777777" w:rsidR="00F65A30" w:rsidRDefault="00F65A30">
      <w:pPr>
        <w:spacing w:line="360" w:lineRule="auto"/>
        <w:jc w:val="both"/>
        <w:rPr>
          <w:rFonts w:hint="cs"/>
          <w:sz w:val="28"/>
          <w:szCs w:val="28"/>
          <w:rtl/>
        </w:rPr>
      </w:pPr>
    </w:p>
    <w:p w14:paraId="67531431" w14:textId="77777777" w:rsidR="00F65A30" w:rsidRDefault="00F65A30">
      <w:pPr>
        <w:spacing w:line="360" w:lineRule="auto"/>
        <w:jc w:val="both"/>
        <w:rPr>
          <w:rFonts w:hint="cs"/>
          <w:sz w:val="28"/>
          <w:szCs w:val="28"/>
          <w:rtl/>
        </w:rPr>
      </w:pPr>
      <w:r>
        <w:rPr>
          <w:rFonts w:hint="cs"/>
          <w:sz w:val="28"/>
          <w:szCs w:val="28"/>
          <w:rtl/>
        </w:rPr>
        <w:lastRenderedPageBreak/>
        <w:t xml:space="preserve">הממונה על עבודות שירות הגישה חוות דעת שלילית לגבי הנאשם ועל פי כל המפורט הודיעה המאשימה ביום הדיון שהתקיים ביום 30.11.08 שהיא רואה את עצמה חופשית מהסדר הטיעון ומבקשת לטעון כי יש להשית על הנאשם מאסר בפועל בגין המעשים המפורטים באישום 1. </w:t>
      </w:r>
    </w:p>
    <w:p w14:paraId="793A93D5" w14:textId="77777777" w:rsidR="00F65A30" w:rsidRDefault="00F65A30">
      <w:pPr>
        <w:spacing w:line="360" w:lineRule="auto"/>
        <w:jc w:val="both"/>
        <w:rPr>
          <w:rFonts w:hint="cs"/>
          <w:sz w:val="28"/>
          <w:szCs w:val="28"/>
          <w:rtl/>
        </w:rPr>
      </w:pPr>
    </w:p>
    <w:p w14:paraId="57465221" w14:textId="77777777" w:rsidR="00F65A30" w:rsidRDefault="00F65A30">
      <w:pPr>
        <w:spacing w:line="360" w:lineRule="auto"/>
        <w:jc w:val="both"/>
        <w:rPr>
          <w:rFonts w:hint="cs"/>
          <w:sz w:val="28"/>
          <w:szCs w:val="28"/>
          <w:rtl/>
        </w:rPr>
      </w:pPr>
      <w:r>
        <w:rPr>
          <w:rFonts w:hint="cs"/>
          <w:sz w:val="28"/>
          <w:szCs w:val="28"/>
          <w:rtl/>
        </w:rPr>
        <w:t xml:space="preserve">באת כח המאשימה ציינה את עברו הפלילי של הנאשם והגישה רישום פלילי שממנו עולה כי הנאשם הורשע בעבר ב- 5 עבירות של מעשה מגונה בקטינה ובעבירה נוספת של מעשה סדום בקטין. המעשים הללו נעשו בשנים 95' ובשנת 98' והרשעתו האחרונה היא משנת 99'. </w:t>
      </w:r>
    </w:p>
    <w:p w14:paraId="3FC9B0A7" w14:textId="77777777" w:rsidR="00F65A30" w:rsidRDefault="00F65A30">
      <w:pPr>
        <w:spacing w:line="360" w:lineRule="auto"/>
        <w:jc w:val="both"/>
        <w:rPr>
          <w:rFonts w:hint="cs"/>
          <w:sz w:val="28"/>
          <w:szCs w:val="28"/>
          <w:rtl/>
        </w:rPr>
      </w:pPr>
    </w:p>
    <w:p w14:paraId="378AC964" w14:textId="77777777" w:rsidR="00F65A30" w:rsidRDefault="00F65A30">
      <w:pPr>
        <w:spacing w:line="360" w:lineRule="auto"/>
        <w:jc w:val="both"/>
        <w:rPr>
          <w:rFonts w:hint="cs"/>
          <w:sz w:val="28"/>
          <w:szCs w:val="28"/>
          <w:rtl/>
        </w:rPr>
      </w:pPr>
      <w:r>
        <w:rPr>
          <w:rFonts w:hint="cs"/>
          <w:sz w:val="28"/>
          <w:szCs w:val="28"/>
          <w:rtl/>
        </w:rPr>
        <w:t xml:space="preserve">ב"כ המאשימה טענה כי הסברה של הנאשם לעניין מחשבתו כי המתלונן מסכים למעשים אין להם כל יסוד וכי היה על הנאשם להבין, במיוחד על רקע הרשעותיו הקודמות את חומרת המעשים ואת האיסור לעשותם. כן הדגישה כי המתלונן היה זר לחלוטין לנאשם והנאשם לא נרתע מביצוע המעשים למרות שהוא והמתלונן שהו באוטובוס שנכחו בו אנשים אחרים. </w:t>
      </w:r>
    </w:p>
    <w:p w14:paraId="625CC92F" w14:textId="77777777" w:rsidR="00F65A30" w:rsidRDefault="00F65A30">
      <w:pPr>
        <w:spacing w:line="360" w:lineRule="auto"/>
        <w:jc w:val="both"/>
        <w:rPr>
          <w:rFonts w:hint="cs"/>
          <w:sz w:val="28"/>
          <w:szCs w:val="28"/>
          <w:rtl/>
        </w:rPr>
      </w:pPr>
    </w:p>
    <w:p w14:paraId="1C9EF155" w14:textId="77777777" w:rsidR="00F65A30" w:rsidRDefault="00F65A30">
      <w:pPr>
        <w:spacing w:line="360" w:lineRule="auto"/>
        <w:jc w:val="both"/>
        <w:rPr>
          <w:rFonts w:hint="cs"/>
          <w:sz w:val="28"/>
          <w:szCs w:val="28"/>
          <w:rtl/>
        </w:rPr>
      </w:pPr>
      <w:r>
        <w:rPr>
          <w:rFonts w:hint="cs"/>
          <w:sz w:val="28"/>
          <w:szCs w:val="28"/>
          <w:rtl/>
        </w:rPr>
        <w:t xml:space="preserve">לאור חוות הדעת על הנאשם ומסקנותיהם של הגורמים השונים כאמור עותרת המאשימה להטלת עונש מאסר על הנאשם לריצוי בפועל לאחר שבעבר נידון לביצוע עבודות שירות והדבר לא הרתיע אותו מלשוב ולעשות. </w:t>
      </w:r>
    </w:p>
    <w:p w14:paraId="189D1AE1" w14:textId="77777777" w:rsidR="00F65A30" w:rsidRDefault="00F65A30">
      <w:pPr>
        <w:spacing w:line="360" w:lineRule="auto"/>
        <w:jc w:val="both"/>
        <w:rPr>
          <w:rFonts w:hint="cs"/>
          <w:sz w:val="28"/>
          <w:szCs w:val="28"/>
          <w:rtl/>
        </w:rPr>
      </w:pPr>
    </w:p>
    <w:p w14:paraId="5E1CEAC6" w14:textId="77777777" w:rsidR="00F65A30" w:rsidRDefault="00F65A30">
      <w:pPr>
        <w:spacing w:line="360" w:lineRule="auto"/>
        <w:jc w:val="both"/>
        <w:rPr>
          <w:rFonts w:hint="cs"/>
          <w:sz w:val="28"/>
          <w:szCs w:val="28"/>
          <w:rtl/>
        </w:rPr>
      </w:pPr>
      <w:r>
        <w:rPr>
          <w:rFonts w:hint="cs"/>
          <w:sz w:val="28"/>
          <w:szCs w:val="28"/>
          <w:rtl/>
        </w:rPr>
        <w:t xml:space="preserve">ב"כ הנאשם ניסה לשאוב נימוקים לקולת עונשו של הנאשם מן היקב ומן הגורן, הוא ציין כי במשך 9 שנים הנאשם לא ביצע עבירות, כי מדובר במעשים שונים מאלה שבעבר הוא הורשע בגינם, כי הנאשם ביצע מעשים שדרגת החומרה שלהם במסגרת סוג העבירות הרלוונטי אינה מן הגבוהות שכן המעשים נעשו מעל בגדיו של המתלונן באופן שהוא הגדיר אותו כרפרוף ויש לראות את המעשה כמעשה לא נוח ולא נעים למתלונן, אך לא ככזה שמצוי בדרגה גבוהה בסולם החומרות האפשריות. </w:t>
      </w:r>
    </w:p>
    <w:p w14:paraId="1667A13F" w14:textId="77777777" w:rsidR="00F65A30" w:rsidRDefault="00F65A30">
      <w:pPr>
        <w:spacing w:line="360" w:lineRule="auto"/>
        <w:jc w:val="both"/>
        <w:rPr>
          <w:rFonts w:hint="cs"/>
          <w:sz w:val="28"/>
          <w:szCs w:val="28"/>
          <w:rtl/>
        </w:rPr>
      </w:pPr>
    </w:p>
    <w:p w14:paraId="20A1B645" w14:textId="77777777" w:rsidR="00F65A30" w:rsidRDefault="00F65A30">
      <w:pPr>
        <w:spacing w:line="360" w:lineRule="auto"/>
        <w:jc w:val="both"/>
        <w:rPr>
          <w:rFonts w:hint="cs"/>
          <w:sz w:val="28"/>
          <w:szCs w:val="28"/>
          <w:rtl/>
        </w:rPr>
      </w:pPr>
      <w:r>
        <w:rPr>
          <w:rFonts w:hint="cs"/>
          <w:sz w:val="28"/>
          <w:szCs w:val="28"/>
          <w:rtl/>
        </w:rPr>
        <w:t>ב"כ הנאשם ניסה לשכנע שהמעשים שעשה הנאשם נעשו מתוך חשיבה סובייקטיבית מסויימת שצריך לקחת אותם בחשבון ושהנאשם הודה בביצוע המעשים לאחר שנעשה עימות בינו לבין המתלונן והוא הבין שהמשך הכחשתו את הדברים, כפי שהכחיש תחילה יפגע במתלונן.</w:t>
      </w:r>
    </w:p>
    <w:p w14:paraId="76DA3A5F" w14:textId="77777777" w:rsidR="00F65A30" w:rsidRDefault="00F65A30">
      <w:pPr>
        <w:spacing w:line="360" w:lineRule="auto"/>
        <w:jc w:val="both"/>
        <w:rPr>
          <w:rFonts w:hint="cs"/>
          <w:sz w:val="28"/>
          <w:szCs w:val="28"/>
          <w:rtl/>
        </w:rPr>
      </w:pPr>
    </w:p>
    <w:p w14:paraId="2CFE4F64" w14:textId="77777777" w:rsidR="00F65A30" w:rsidRDefault="00F65A30">
      <w:pPr>
        <w:spacing w:line="360" w:lineRule="auto"/>
        <w:jc w:val="both"/>
        <w:rPr>
          <w:rFonts w:hint="cs"/>
          <w:sz w:val="28"/>
          <w:szCs w:val="28"/>
          <w:rtl/>
        </w:rPr>
      </w:pPr>
      <w:r>
        <w:rPr>
          <w:rFonts w:hint="cs"/>
          <w:sz w:val="28"/>
          <w:szCs w:val="28"/>
          <w:rtl/>
        </w:rPr>
        <w:lastRenderedPageBreak/>
        <w:t xml:space="preserve">עוד תיאר ב"כ הנאשם בצורה מפורטת את הסבל שעבר על הנאשם בתקופת מעצרו וגם לאחריה משעה שהוא נתון במעצר בית מלא עם איזוק אלקטרוני. בין היתר מתח ביקורת על גורלם של המואשמים בעבירות מין שהם נתונים במעצר וגם לאימתם של  חבריהם לתא המעצר שנוהגים להתעלל במי שמואשם בעבירות מין. </w:t>
      </w:r>
    </w:p>
    <w:p w14:paraId="333872FD" w14:textId="77777777" w:rsidR="00F65A30" w:rsidRDefault="00F65A30">
      <w:pPr>
        <w:spacing w:line="360" w:lineRule="auto"/>
        <w:jc w:val="both"/>
        <w:rPr>
          <w:rFonts w:hint="cs"/>
          <w:sz w:val="28"/>
          <w:szCs w:val="28"/>
          <w:rtl/>
        </w:rPr>
      </w:pPr>
    </w:p>
    <w:p w14:paraId="17A02E94" w14:textId="77777777" w:rsidR="00F65A30" w:rsidRDefault="00F65A30">
      <w:pPr>
        <w:spacing w:line="360" w:lineRule="auto"/>
        <w:jc w:val="both"/>
        <w:rPr>
          <w:rFonts w:hint="cs"/>
          <w:sz w:val="28"/>
          <w:szCs w:val="28"/>
          <w:rtl/>
        </w:rPr>
      </w:pPr>
      <w:r>
        <w:rPr>
          <w:rFonts w:hint="cs"/>
          <w:sz w:val="28"/>
          <w:szCs w:val="28"/>
          <w:rtl/>
        </w:rPr>
        <w:t xml:space="preserve">תנאי מגוריו של הנאשם הם קשים. ובהם היה נתון תקופה ארוכה שהוא היה נתון במעצר בית. ב"כ הנאשם מוסיף כי היה על הממונה על עבודות שירות לשקול העסקת הנאשם במסגרת שבה מסוכנותו לא תבוא לידי ביטוי ולהמנע מההמלצה שניתנה. </w:t>
      </w:r>
    </w:p>
    <w:p w14:paraId="77278EFF" w14:textId="77777777" w:rsidR="00F65A30" w:rsidRDefault="00F65A30">
      <w:pPr>
        <w:spacing w:line="360" w:lineRule="auto"/>
        <w:jc w:val="both"/>
        <w:rPr>
          <w:rFonts w:hint="cs"/>
          <w:sz w:val="28"/>
          <w:szCs w:val="28"/>
          <w:rtl/>
        </w:rPr>
      </w:pPr>
    </w:p>
    <w:p w14:paraId="43A5C56C" w14:textId="77777777" w:rsidR="00F65A30" w:rsidRDefault="00F65A30">
      <w:pPr>
        <w:spacing w:line="360" w:lineRule="auto"/>
        <w:jc w:val="both"/>
        <w:rPr>
          <w:rFonts w:hint="cs"/>
          <w:sz w:val="28"/>
          <w:szCs w:val="28"/>
          <w:rtl/>
        </w:rPr>
      </w:pPr>
      <w:r>
        <w:rPr>
          <w:rFonts w:hint="cs"/>
          <w:sz w:val="28"/>
          <w:szCs w:val="28"/>
          <w:rtl/>
        </w:rPr>
        <w:t xml:space="preserve">יש לזכור, מציין ב"כ הנאשם כי הנאשם יצטרך להשתלב שוב במעגל החברתי לאחר ריצוי עונשו וכי יש מקום לשלב את הנאשם כבר כעת בתוך החברה ולהציע כי יועסק בעבודות שירות כאמור במקום שלא יהיה חשש מהתנהגותו. </w:t>
      </w:r>
    </w:p>
    <w:p w14:paraId="49939295" w14:textId="77777777" w:rsidR="00F65A30" w:rsidRDefault="00F65A30">
      <w:pPr>
        <w:spacing w:line="360" w:lineRule="auto"/>
        <w:jc w:val="both"/>
        <w:rPr>
          <w:rFonts w:hint="cs"/>
          <w:sz w:val="28"/>
          <w:szCs w:val="28"/>
          <w:rtl/>
        </w:rPr>
      </w:pPr>
    </w:p>
    <w:p w14:paraId="3D6B2982" w14:textId="77777777" w:rsidR="00F65A30" w:rsidRDefault="00F65A30">
      <w:pPr>
        <w:spacing w:line="360" w:lineRule="auto"/>
        <w:jc w:val="both"/>
        <w:rPr>
          <w:rFonts w:hint="cs"/>
          <w:sz w:val="28"/>
          <w:szCs w:val="28"/>
          <w:rtl/>
        </w:rPr>
      </w:pPr>
      <w:r>
        <w:rPr>
          <w:rFonts w:hint="cs"/>
          <w:sz w:val="28"/>
          <w:szCs w:val="28"/>
          <w:rtl/>
        </w:rPr>
        <w:t xml:space="preserve">הנאשם בחר לטעון כי סירובו לקבל טיפול לא היה ללא סיבה אלא נעוץ בעצה שקיבל מרב שהציע לו להמנע מליטול תרופות שפוגעות בגופו. הוא מבקש להשתלב בתוכנית טיפולית שתתאים לו ואז ישתף פעולה. עוד טען כי לא היתה הבנה מלאה למצבו וטעו בטיעונים כלפיו כאילו נטייתו המינית היא הומוסקסואלית והוא מרגיש מאויים בצורת הפניה אליו. </w:t>
      </w:r>
    </w:p>
    <w:p w14:paraId="53242FBA" w14:textId="77777777" w:rsidR="00F65A30" w:rsidRDefault="00F65A30">
      <w:pPr>
        <w:spacing w:line="360" w:lineRule="auto"/>
        <w:jc w:val="both"/>
        <w:rPr>
          <w:rFonts w:hint="cs"/>
          <w:sz w:val="28"/>
          <w:szCs w:val="28"/>
          <w:rtl/>
        </w:rPr>
      </w:pPr>
    </w:p>
    <w:p w14:paraId="2E47C1B2" w14:textId="77777777" w:rsidR="00F65A30" w:rsidRDefault="00F65A30">
      <w:pPr>
        <w:spacing w:line="360" w:lineRule="auto"/>
        <w:jc w:val="both"/>
        <w:rPr>
          <w:rFonts w:hint="cs"/>
          <w:sz w:val="28"/>
          <w:szCs w:val="28"/>
          <w:rtl/>
        </w:rPr>
      </w:pPr>
      <w:r>
        <w:rPr>
          <w:rFonts w:hint="cs"/>
          <w:sz w:val="28"/>
          <w:szCs w:val="28"/>
          <w:rtl/>
        </w:rPr>
        <w:t xml:space="preserve">נתתי דעתי על כל טענות הצדדים ובהגיעי למסקנה כי אין לכפות על הממונה על עבודות שרות ליתן חוות דעת שונה מזו שהוגשה, וכי יש לדון את הנאשם על פי מעשיו בהתחשב במכלול החומר שלפני. נראה כי אין מנוס מלהשית על הנאשם עונש מוחשי וממשי בשל חומרת המעשים שביצע הנאשם, במיוחד על רקע עברו הפלילי והערכת המסוכנות הגבוהה לגביו. </w:t>
      </w:r>
    </w:p>
    <w:p w14:paraId="11DE9C50" w14:textId="77777777" w:rsidR="00F65A30" w:rsidRDefault="00F65A30">
      <w:pPr>
        <w:spacing w:line="360" w:lineRule="auto"/>
        <w:jc w:val="both"/>
        <w:rPr>
          <w:rFonts w:hint="cs"/>
          <w:sz w:val="28"/>
          <w:szCs w:val="28"/>
          <w:rtl/>
        </w:rPr>
      </w:pPr>
      <w:r>
        <w:rPr>
          <w:rFonts w:hint="cs"/>
          <w:sz w:val="28"/>
          <w:szCs w:val="28"/>
          <w:rtl/>
        </w:rPr>
        <w:t xml:space="preserve">על העונש במקרה זה לבטא את יחסו המחמיר של בית המשפט לכל סוג של פגיעה בקטינים ובמיוחד פגיעה הכרוכה בעבירות מין. </w:t>
      </w:r>
    </w:p>
    <w:p w14:paraId="241F69F4" w14:textId="77777777" w:rsidR="00F65A30" w:rsidRDefault="00F65A30">
      <w:pPr>
        <w:spacing w:line="360" w:lineRule="auto"/>
        <w:jc w:val="both"/>
        <w:rPr>
          <w:rFonts w:hint="cs"/>
          <w:sz w:val="28"/>
          <w:szCs w:val="28"/>
          <w:rtl/>
        </w:rPr>
      </w:pPr>
    </w:p>
    <w:p w14:paraId="643074A7" w14:textId="77777777" w:rsidR="00F65A30" w:rsidRDefault="00F65A30">
      <w:pPr>
        <w:spacing w:line="360" w:lineRule="auto"/>
        <w:jc w:val="both"/>
        <w:rPr>
          <w:rFonts w:hint="cs"/>
          <w:sz w:val="28"/>
          <w:szCs w:val="28"/>
          <w:rtl/>
        </w:rPr>
      </w:pPr>
      <w:r>
        <w:rPr>
          <w:rFonts w:hint="cs"/>
          <w:sz w:val="28"/>
          <w:szCs w:val="28"/>
          <w:rtl/>
        </w:rPr>
        <w:t xml:space="preserve">יש גם להטיל על הנאשם עונש שיבהיר לו את התוצאה החמורה העלולה להגרם לו אם ייכנע שוב לדחפיו ויבצע מעשה מיני פלילי כלשהו כלפי זולתו. </w:t>
      </w:r>
    </w:p>
    <w:p w14:paraId="31F821A8" w14:textId="77777777" w:rsidR="00F65A30" w:rsidRDefault="00F65A30">
      <w:pPr>
        <w:spacing w:line="360" w:lineRule="auto"/>
        <w:jc w:val="both"/>
        <w:rPr>
          <w:rFonts w:hint="cs"/>
          <w:sz w:val="28"/>
          <w:szCs w:val="28"/>
          <w:rtl/>
        </w:rPr>
      </w:pPr>
    </w:p>
    <w:p w14:paraId="172FEE98" w14:textId="77777777" w:rsidR="00F65A30" w:rsidRDefault="00F65A30">
      <w:pPr>
        <w:spacing w:line="360" w:lineRule="auto"/>
        <w:jc w:val="both"/>
        <w:rPr>
          <w:rFonts w:hint="cs"/>
          <w:sz w:val="28"/>
          <w:szCs w:val="28"/>
          <w:rtl/>
        </w:rPr>
      </w:pPr>
      <w:r>
        <w:rPr>
          <w:rFonts w:hint="cs"/>
          <w:sz w:val="28"/>
          <w:szCs w:val="28"/>
          <w:rtl/>
        </w:rPr>
        <w:t xml:space="preserve">הצורך במוחשיות זו נובע גם מן העובדה שהנאשם לא נמנע מעשות מעשה העבירה במקום ציבורי והתעלם מן העובדה שהוא עלול להתפס בכך. ההרתעה צריכה להיות כה ברורה עד כי הנאשם יראה לנגד עיניו את התוצאה הצפויה לו. </w:t>
      </w:r>
    </w:p>
    <w:p w14:paraId="24E0F86A" w14:textId="77777777" w:rsidR="00F65A30" w:rsidRDefault="00F65A30">
      <w:pPr>
        <w:spacing w:line="360" w:lineRule="auto"/>
        <w:jc w:val="both"/>
        <w:rPr>
          <w:rFonts w:hint="cs"/>
          <w:sz w:val="28"/>
          <w:szCs w:val="28"/>
          <w:rtl/>
        </w:rPr>
      </w:pPr>
      <w:r>
        <w:rPr>
          <w:rFonts w:hint="cs"/>
          <w:sz w:val="28"/>
          <w:szCs w:val="28"/>
          <w:rtl/>
        </w:rPr>
        <w:t xml:space="preserve">לא זו גם זו. הנאשם אינו משתף פעולה עם טיפול שהוא זמין לו ויש בו אולי להפיג, ולו קמעה, מן המסוכנות הצפויה ממנו והוא מציב תנאים כאלה ואחרים לסוג טיפול שלדעתו יתאים לו.  </w:t>
      </w:r>
    </w:p>
    <w:p w14:paraId="65A6C103" w14:textId="77777777" w:rsidR="00F65A30" w:rsidRDefault="00F65A30">
      <w:pPr>
        <w:spacing w:line="360" w:lineRule="auto"/>
        <w:jc w:val="both"/>
        <w:rPr>
          <w:rFonts w:hint="cs"/>
          <w:sz w:val="28"/>
          <w:szCs w:val="28"/>
          <w:rtl/>
        </w:rPr>
      </w:pPr>
    </w:p>
    <w:p w14:paraId="49478D5F" w14:textId="77777777" w:rsidR="00F65A30" w:rsidRDefault="00F65A30">
      <w:pPr>
        <w:spacing w:line="360" w:lineRule="auto"/>
        <w:jc w:val="both"/>
        <w:rPr>
          <w:rFonts w:hint="cs"/>
          <w:sz w:val="28"/>
          <w:szCs w:val="28"/>
          <w:rtl/>
        </w:rPr>
      </w:pPr>
      <w:r>
        <w:rPr>
          <w:rFonts w:hint="cs"/>
          <w:sz w:val="28"/>
          <w:szCs w:val="28"/>
          <w:rtl/>
        </w:rPr>
        <w:t xml:space="preserve">ואחרון – גזר הדין צריך להיות, מיניה וביה, גם קול קורא לציבור והרתעה לרבים. </w:t>
      </w:r>
    </w:p>
    <w:p w14:paraId="590743F6" w14:textId="77777777" w:rsidR="00F65A30" w:rsidRDefault="00F65A30">
      <w:pPr>
        <w:spacing w:line="360" w:lineRule="auto"/>
        <w:jc w:val="both"/>
        <w:rPr>
          <w:rFonts w:hint="cs"/>
          <w:sz w:val="28"/>
          <w:szCs w:val="28"/>
          <w:rtl/>
        </w:rPr>
      </w:pPr>
    </w:p>
    <w:p w14:paraId="06C71507" w14:textId="77777777" w:rsidR="00F65A30" w:rsidRDefault="00F65A30">
      <w:pPr>
        <w:spacing w:line="360" w:lineRule="auto"/>
        <w:jc w:val="both"/>
        <w:rPr>
          <w:rFonts w:hint="cs"/>
          <w:sz w:val="28"/>
          <w:szCs w:val="28"/>
          <w:rtl/>
        </w:rPr>
      </w:pPr>
      <w:r>
        <w:rPr>
          <w:rFonts w:hint="cs"/>
          <w:sz w:val="28"/>
          <w:szCs w:val="28"/>
          <w:rtl/>
        </w:rPr>
        <w:t xml:space="preserve">בהתחשב בכל השיקולים המפורטים אני דנה את הנאשם לאלה: </w:t>
      </w:r>
    </w:p>
    <w:p w14:paraId="1E7E6D29" w14:textId="77777777" w:rsidR="00F65A30" w:rsidRDefault="00F65A30">
      <w:pPr>
        <w:spacing w:line="360" w:lineRule="auto"/>
        <w:jc w:val="both"/>
        <w:rPr>
          <w:rFonts w:hint="cs"/>
          <w:sz w:val="28"/>
          <w:szCs w:val="28"/>
          <w:rtl/>
        </w:rPr>
      </w:pPr>
    </w:p>
    <w:p w14:paraId="732E7989" w14:textId="77777777" w:rsidR="00F65A30" w:rsidRDefault="00F65A30">
      <w:pPr>
        <w:spacing w:line="360" w:lineRule="auto"/>
        <w:jc w:val="both"/>
        <w:rPr>
          <w:rFonts w:hint="cs"/>
          <w:sz w:val="28"/>
          <w:szCs w:val="28"/>
          <w:rtl/>
        </w:rPr>
      </w:pPr>
      <w:r>
        <w:rPr>
          <w:rFonts w:hint="cs"/>
          <w:sz w:val="28"/>
          <w:szCs w:val="28"/>
          <w:rtl/>
        </w:rPr>
        <w:t xml:space="preserve">1. </w:t>
      </w:r>
      <w:r>
        <w:rPr>
          <w:rFonts w:hint="cs"/>
          <w:sz w:val="28"/>
          <w:szCs w:val="28"/>
          <w:rtl/>
        </w:rPr>
        <w:tab/>
        <w:t xml:space="preserve">מאסר 10 חודשים בניכוי תקופת מעצרו מיום 22.2.08 עד 15.4.08. </w:t>
      </w:r>
    </w:p>
    <w:p w14:paraId="58F96D16" w14:textId="77777777" w:rsidR="00F65A30" w:rsidRDefault="00F65A30">
      <w:pPr>
        <w:spacing w:line="360" w:lineRule="auto"/>
        <w:jc w:val="both"/>
        <w:rPr>
          <w:rFonts w:hint="cs"/>
          <w:sz w:val="28"/>
          <w:szCs w:val="28"/>
          <w:rtl/>
        </w:rPr>
      </w:pPr>
    </w:p>
    <w:p w14:paraId="73DAC99E" w14:textId="77777777" w:rsidR="00F65A30" w:rsidRDefault="00F65A30">
      <w:pPr>
        <w:spacing w:line="360" w:lineRule="auto"/>
        <w:ind w:left="720" w:hanging="720"/>
        <w:jc w:val="both"/>
        <w:rPr>
          <w:rFonts w:hint="cs"/>
          <w:sz w:val="28"/>
          <w:szCs w:val="28"/>
          <w:rtl/>
        </w:rPr>
      </w:pPr>
      <w:r>
        <w:rPr>
          <w:rFonts w:hint="cs"/>
          <w:sz w:val="28"/>
          <w:szCs w:val="28"/>
          <w:rtl/>
        </w:rPr>
        <w:t>2.</w:t>
      </w:r>
      <w:r>
        <w:rPr>
          <w:rFonts w:hint="cs"/>
          <w:sz w:val="28"/>
          <w:szCs w:val="28"/>
          <w:rtl/>
        </w:rPr>
        <w:tab/>
        <w:t xml:space="preserve"> מאסר 7 חודשים אותו לא ירצה, אלא אם כן, יעבור תוך 3 שנים מיום שחרורו מן הכלא עבירה על פי </w:t>
      </w:r>
      <w:hyperlink r:id="rId12" w:history="1">
        <w:r w:rsidR="009465A6" w:rsidRPr="009465A6">
          <w:rPr>
            <w:color w:val="0000FF"/>
            <w:sz w:val="28"/>
            <w:szCs w:val="28"/>
            <w:u w:val="single"/>
            <w:rtl/>
          </w:rPr>
          <w:t>סימן ה' לפרק י'</w:t>
        </w:r>
      </w:hyperlink>
      <w:r>
        <w:rPr>
          <w:rFonts w:hint="cs"/>
          <w:sz w:val="28"/>
          <w:szCs w:val="28"/>
          <w:rtl/>
        </w:rPr>
        <w:t xml:space="preserve"> ל</w:t>
      </w:r>
      <w:hyperlink r:id="rId13" w:history="1">
        <w:r w:rsidR="00A65B85" w:rsidRPr="00A65B85">
          <w:rPr>
            <w:rStyle w:val="Hyperlink"/>
            <w:sz w:val="28"/>
            <w:szCs w:val="28"/>
            <w:rtl/>
          </w:rPr>
          <w:t>חוק העונשין</w:t>
        </w:r>
      </w:hyperlink>
      <w:r>
        <w:rPr>
          <w:rFonts w:hint="cs"/>
          <w:sz w:val="28"/>
          <w:szCs w:val="28"/>
          <w:rtl/>
        </w:rPr>
        <w:t xml:space="preserve">, תשל"ז – 1977. </w:t>
      </w:r>
    </w:p>
    <w:p w14:paraId="2B75B06E" w14:textId="77777777" w:rsidR="00F65A30" w:rsidRDefault="00F65A30">
      <w:pPr>
        <w:spacing w:line="360" w:lineRule="auto"/>
        <w:jc w:val="both"/>
        <w:rPr>
          <w:rFonts w:hint="cs"/>
          <w:sz w:val="28"/>
          <w:szCs w:val="28"/>
          <w:rtl/>
        </w:rPr>
      </w:pPr>
    </w:p>
    <w:p w14:paraId="5CFE3384" w14:textId="77777777" w:rsidR="00F65A30" w:rsidRDefault="00F65A30">
      <w:pPr>
        <w:spacing w:line="360" w:lineRule="auto"/>
        <w:jc w:val="both"/>
        <w:rPr>
          <w:rFonts w:hint="cs"/>
          <w:sz w:val="24"/>
          <w:szCs w:val="28"/>
          <w:rtl/>
        </w:rPr>
      </w:pPr>
      <w:r>
        <w:rPr>
          <w:rFonts w:hint="cs"/>
          <w:sz w:val="26"/>
          <w:szCs w:val="28"/>
          <w:rtl/>
        </w:rPr>
        <w:t>זכות ערעור לפני בית המשפט המחוזי בירושלים תוך 45 יום מהיום.</w:t>
      </w:r>
    </w:p>
    <w:p w14:paraId="1F0B3AB4" w14:textId="77777777" w:rsidR="00F65A30" w:rsidRDefault="00F65A30">
      <w:pPr>
        <w:jc w:val="both"/>
        <w:rPr>
          <w:sz w:val="28"/>
          <w:szCs w:val="28"/>
        </w:rPr>
      </w:pPr>
      <w:bookmarkStart w:id="13" w:name="Decision1"/>
      <w:bookmarkEnd w:id="13"/>
    </w:p>
    <w:p w14:paraId="0CD7C683" w14:textId="77777777" w:rsidR="00F65A30" w:rsidRDefault="00F65A30">
      <w:pPr>
        <w:spacing w:line="360" w:lineRule="auto"/>
        <w:jc w:val="both"/>
        <w:rPr>
          <w:rFonts w:cs="David Transparent" w:hint="cs"/>
          <w:szCs w:val="22"/>
          <w:rtl/>
        </w:rPr>
      </w:pPr>
      <w:r>
        <w:rPr>
          <w:rFonts w:hint="cs"/>
          <w:sz w:val="28"/>
          <w:szCs w:val="28"/>
          <w:rtl/>
        </w:rPr>
        <w:t>ניתנה היום י"ג בכסלו, תשס"ט (10 בדצמבר 2008) במעמד הצדדים.</w:t>
      </w:r>
    </w:p>
    <w:p w14:paraId="4CE74F21" w14:textId="77777777" w:rsidR="00F65A30" w:rsidRDefault="00F65A30">
      <w:pPr>
        <w:spacing w:line="360" w:lineRule="auto"/>
        <w:jc w:val="both"/>
        <w:rPr>
          <w:rFonts w:hint="cs"/>
          <w:sz w:val="28"/>
          <w:szCs w:val="28"/>
          <w:rtl/>
        </w:rPr>
      </w:pPr>
      <w:r>
        <w:rPr>
          <w:rFonts w:hint="cs"/>
          <w:sz w:val="28"/>
          <w:szCs w:val="28"/>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69"/>
      </w:tblGrid>
      <w:tr w:rsidR="00F65A30" w14:paraId="2CE35A9F" w14:textId="77777777">
        <w:tc>
          <w:tcPr>
            <w:tcW w:w="2376" w:type="dxa"/>
            <w:tcBorders>
              <w:top w:val="single" w:sz="4" w:space="0" w:color="auto"/>
              <w:left w:val="nil"/>
              <w:bottom w:val="nil"/>
              <w:right w:val="nil"/>
            </w:tcBorders>
          </w:tcPr>
          <w:p w14:paraId="60D38006" w14:textId="77777777" w:rsidR="00F65A30" w:rsidRDefault="00F65A30">
            <w:pPr>
              <w:pStyle w:val="Heading3"/>
              <w:rPr>
                <w:sz w:val="24"/>
                <w:szCs w:val="26"/>
              </w:rPr>
            </w:pPr>
            <w:r>
              <w:rPr>
                <w:rFonts w:hint="cs"/>
                <w:sz w:val="24"/>
                <w:szCs w:val="26"/>
                <w:rtl/>
              </w:rPr>
              <w:t>שולמית דותן, ס.נשיא</w:t>
            </w:r>
          </w:p>
        </w:tc>
      </w:tr>
    </w:tbl>
    <w:p w14:paraId="29184394" w14:textId="77777777" w:rsidR="00F65A30" w:rsidRDefault="00F65A30">
      <w:pPr>
        <w:jc w:val="right"/>
        <w:rPr>
          <w:rFonts w:hint="cs"/>
          <w:b/>
          <w:bCs/>
          <w:color w:val="FF0000"/>
          <w:sz w:val="28"/>
          <w:szCs w:val="28"/>
          <w:rtl/>
        </w:rPr>
      </w:pPr>
    </w:p>
    <w:p w14:paraId="22E558FD" w14:textId="77777777" w:rsidR="00F65A30" w:rsidRDefault="00F65A30">
      <w:pPr>
        <w:spacing w:line="360" w:lineRule="auto"/>
        <w:jc w:val="both"/>
        <w:rPr>
          <w:sz w:val="28"/>
          <w:szCs w:val="28"/>
        </w:rPr>
      </w:pPr>
      <w:r>
        <w:rPr>
          <w:rFonts w:hint="cs"/>
          <w:b/>
          <w:bCs/>
          <w:sz w:val="28"/>
          <w:szCs w:val="28"/>
          <w:rtl/>
        </w:rPr>
        <w:t>ב"כ הנאשם:</w:t>
      </w:r>
      <w:r>
        <w:rPr>
          <w:rFonts w:hint="cs"/>
          <w:sz w:val="28"/>
          <w:szCs w:val="28"/>
          <w:rtl/>
        </w:rPr>
        <w:t xml:space="preserve"> מבקש עיכוב ביצוע לצורך הגשת ערעור.</w:t>
      </w:r>
    </w:p>
    <w:p w14:paraId="53939BAE" w14:textId="77777777" w:rsidR="00F65A30" w:rsidRDefault="00F65A30">
      <w:pPr>
        <w:jc w:val="both"/>
        <w:rPr>
          <w:rFonts w:hint="cs"/>
          <w:sz w:val="28"/>
          <w:szCs w:val="28"/>
          <w:rtl/>
        </w:rPr>
      </w:pPr>
    </w:p>
    <w:p w14:paraId="60C83DC6" w14:textId="77777777" w:rsidR="00F65A30" w:rsidRDefault="00F65A30">
      <w:pPr>
        <w:spacing w:line="360" w:lineRule="auto"/>
        <w:jc w:val="both"/>
        <w:rPr>
          <w:rFonts w:hint="cs"/>
          <w:sz w:val="28"/>
          <w:szCs w:val="28"/>
          <w:rtl/>
        </w:rPr>
      </w:pPr>
      <w:r>
        <w:rPr>
          <w:rFonts w:hint="cs"/>
          <w:b/>
          <w:bCs/>
          <w:sz w:val="28"/>
          <w:szCs w:val="28"/>
          <w:rtl/>
        </w:rPr>
        <w:t>ב"כ המאשימה:</w:t>
      </w:r>
      <w:r>
        <w:rPr>
          <w:rFonts w:hint="cs"/>
          <w:sz w:val="28"/>
          <w:szCs w:val="28"/>
          <w:rtl/>
        </w:rPr>
        <w:t xml:space="preserve"> מסכים.</w:t>
      </w:r>
    </w:p>
    <w:p w14:paraId="7CF6AD6B" w14:textId="77777777" w:rsidR="00382DCD" w:rsidRPr="00382DCD" w:rsidRDefault="00382DCD">
      <w:pPr>
        <w:jc w:val="both"/>
        <w:rPr>
          <w:rFonts w:hint="cs"/>
          <w:color w:val="FFFFFF"/>
          <w:sz w:val="2"/>
          <w:szCs w:val="2"/>
          <w:rtl/>
        </w:rPr>
      </w:pPr>
    </w:p>
    <w:p w14:paraId="1E67CF92" w14:textId="77777777" w:rsidR="00382DCD" w:rsidRPr="00382DCD" w:rsidRDefault="00382DCD">
      <w:pPr>
        <w:jc w:val="both"/>
        <w:rPr>
          <w:rFonts w:hint="cs"/>
          <w:color w:val="FFFFFF"/>
          <w:sz w:val="2"/>
          <w:szCs w:val="2"/>
          <w:rtl/>
        </w:rPr>
      </w:pPr>
      <w:r w:rsidRPr="00382DCD">
        <w:rPr>
          <w:color w:val="FFFFFF"/>
          <w:sz w:val="2"/>
          <w:szCs w:val="2"/>
          <w:rtl/>
        </w:rPr>
        <w:t>5129371</w:t>
      </w:r>
    </w:p>
    <w:p w14:paraId="0F92C485" w14:textId="77777777" w:rsidR="00F65A30" w:rsidRDefault="00382DCD">
      <w:pPr>
        <w:jc w:val="both"/>
        <w:rPr>
          <w:rFonts w:hint="cs"/>
          <w:sz w:val="28"/>
          <w:szCs w:val="28"/>
          <w:rtl/>
        </w:rPr>
      </w:pPr>
      <w:r w:rsidRPr="00382DCD">
        <w:rPr>
          <w:color w:val="FFFFFF"/>
          <w:sz w:val="2"/>
          <w:szCs w:val="2"/>
          <w:rtl/>
        </w:rPr>
        <w:t>54678313</w:t>
      </w:r>
    </w:p>
    <w:p w14:paraId="0C89E9CD" w14:textId="77777777" w:rsidR="00F65A30" w:rsidRDefault="00F65A30">
      <w:pPr>
        <w:pStyle w:val="Title"/>
        <w:spacing w:line="360" w:lineRule="auto"/>
        <w:rPr>
          <w:rFonts w:cs="David" w:hint="cs"/>
          <w:sz w:val="30"/>
          <w:rtl/>
        </w:rPr>
      </w:pPr>
      <w:bookmarkStart w:id="14" w:name="Decision5"/>
      <w:r>
        <w:rPr>
          <w:rFonts w:cs="David" w:hint="cs"/>
          <w:sz w:val="30"/>
          <w:rtl/>
        </w:rPr>
        <w:t>החלטה</w:t>
      </w:r>
      <w:bookmarkEnd w:id="14"/>
    </w:p>
    <w:p w14:paraId="21DB1BE4" w14:textId="77777777" w:rsidR="00F65A30" w:rsidRDefault="00F65A30">
      <w:pPr>
        <w:pStyle w:val="Title"/>
        <w:spacing w:line="240" w:lineRule="auto"/>
        <w:rPr>
          <w:rFonts w:cs="David" w:hint="cs"/>
          <w:sz w:val="22"/>
          <w:szCs w:val="24"/>
          <w:rtl/>
        </w:rPr>
      </w:pPr>
    </w:p>
    <w:p w14:paraId="6DC9B911" w14:textId="77777777" w:rsidR="001015CA" w:rsidRPr="001015CA" w:rsidRDefault="001015CA">
      <w:pPr>
        <w:spacing w:line="360" w:lineRule="auto"/>
        <w:jc w:val="both"/>
        <w:rPr>
          <w:rFonts w:hint="cs"/>
          <w:color w:val="FFFFFF"/>
          <w:sz w:val="2"/>
          <w:szCs w:val="2"/>
          <w:rtl/>
        </w:rPr>
      </w:pPr>
    </w:p>
    <w:p w14:paraId="6ECDA6B3" w14:textId="77777777" w:rsidR="001015CA" w:rsidRPr="001015CA" w:rsidRDefault="001015CA">
      <w:pPr>
        <w:spacing w:line="360" w:lineRule="auto"/>
        <w:jc w:val="both"/>
        <w:rPr>
          <w:color w:val="FFFFFF"/>
          <w:sz w:val="2"/>
          <w:szCs w:val="2"/>
          <w:rtl/>
        </w:rPr>
      </w:pPr>
      <w:r w:rsidRPr="001015CA">
        <w:rPr>
          <w:color w:val="FFFFFF"/>
          <w:sz w:val="2"/>
          <w:szCs w:val="2"/>
          <w:rtl/>
        </w:rPr>
        <w:t>5129371</w:t>
      </w:r>
    </w:p>
    <w:p w14:paraId="62812606" w14:textId="77777777" w:rsidR="00F65A30" w:rsidRDefault="001015CA">
      <w:pPr>
        <w:spacing w:line="360" w:lineRule="auto"/>
        <w:jc w:val="both"/>
        <w:rPr>
          <w:rFonts w:hint="cs"/>
          <w:sz w:val="28"/>
          <w:szCs w:val="28"/>
          <w:rtl/>
        </w:rPr>
      </w:pPr>
      <w:r w:rsidRPr="001015CA">
        <w:rPr>
          <w:color w:val="FFFFFF"/>
          <w:sz w:val="2"/>
          <w:szCs w:val="2"/>
          <w:rtl/>
        </w:rPr>
        <w:t>54678313</w:t>
      </w:r>
      <w:r w:rsidR="00F65A30">
        <w:rPr>
          <w:rFonts w:hint="cs"/>
          <w:sz w:val="28"/>
          <w:szCs w:val="28"/>
          <w:rtl/>
        </w:rPr>
        <w:t>בכפוף לקיומם של כל תנאי השחרור בערובה שנקבעו לנאשם יעוכב ביצוע גזה"ד ל- 45 יום מהיום ואם יוגש ערעור עד למתן פס"ד בערעור.</w:t>
      </w:r>
    </w:p>
    <w:p w14:paraId="0F9C9DE8" w14:textId="77777777" w:rsidR="00F65A30" w:rsidRDefault="00F65A30">
      <w:pPr>
        <w:jc w:val="both"/>
        <w:rPr>
          <w:rFonts w:hint="cs"/>
          <w:sz w:val="28"/>
          <w:szCs w:val="28"/>
          <w:rtl/>
        </w:rPr>
      </w:pPr>
    </w:p>
    <w:p w14:paraId="06628C13" w14:textId="77777777" w:rsidR="00382DCD" w:rsidRPr="00382DCD" w:rsidRDefault="00382DCD" w:rsidP="00382DCD">
      <w:pPr>
        <w:keepNext/>
        <w:rPr>
          <w:rFonts w:ascii="David" w:hAnsi="David"/>
          <w:color w:val="000000"/>
          <w:sz w:val="22"/>
          <w:szCs w:val="22"/>
          <w:rtl/>
        </w:rPr>
      </w:pPr>
    </w:p>
    <w:p w14:paraId="0DA470A0" w14:textId="77777777" w:rsidR="001015CA" w:rsidRPr="001015CA" w:rsidRDefault="001015CA" w:rsidP="001015CA">
      <w:pPr>
        <w:keepNext/>
        <w:rPr>
          <w:rFonts w:ascii="David" w:hAnsi="David"/>
          <w:color w:val="000000"/>
          <w:sz w:val="22"/>
          <w:szCs w:val="22"/>
          <w:rtl/>
        </w:rPr>
      </w:pPr>
    </w:p>
    <w:p w14:paraId="788154AE" w14:textId="77777777" w:rsidR="001015CA" w:rsidRPr="001015CA" w:rsidRDefault="001015CA" w:rsidP="001015CA">
      <w:pPr>
        <w:keepNext/>
        <w:rPr>
          <w:rFonts w:ascii="David" w:hAnsi="David"/>
          <w:color w:val="000000"/>
          <w:sz w:val="22"/>
          <w:szCs w:val="22"/>
          <w:rtl/>
        </w:rPr>
      </w:pPr>
      <w:r w:rsidRPr="001015CA">
        <w:rPr>
          <w:rFonts w:ascii="David" w:hAnsi="David"/>
          <w:color w:val="000000"/>
          <w:sz w:val="22"/>
          <w:szCs w:val="22"/>
          <w:rtl/>
        </w:rPr>
        <w:t>שולמית דותן 54678313-5726/08</w:t>
      </w:r>
    </w:p>
    <w:p w14:paraId="149A9E03" w14:textId="77777777" w:rsidR="00F65A30" w:rsidRDefault="00382DCD">
      <w:pPr>
        <w:jc w:val="both"/>
        <w:rPr>
          <w:rFonts w:hint="cs"/>
          <w:sz w:val="28"/>
          <w:szCs w:val="28"/>
          <w:rtl/>
        </w:rPr>
      </w:pPr>
      <w:r>
        <w:rPr>
          <w:sz w:val="28"/>
          <w:szCs w:val="28"/>
          <w:rtl/>
        </w:rPr>
        <w:t xml:space="preserve">ניתנה היום י"ג בכסלו, תשס"ט (10 בדצמבר 2008) במעמד הצדדים. </w:t>
      </w:r>
      <w:r w:rsidR="00F65A30">
        <w:rPr>
          <w:rFonts w:hint="cs"/>
          <w:sz w:val="28"/>
          <w:szCs w:val="28"/>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69"/>
      </w:tblGrid>
      <w:tr w:rsidR="00F65A30" w14:paraId="174BF75A" w14:textId="77777777">
        <w:tc>
          <w:tcPr>
            <w:tcW w:w="2376" w:type="dxa"/>
            <w:tcBorders>
              <w:top w:val="single" w:sz="4" w:space="0" w:color="auto"/>
              <w:left w:val="nil"/>
              <w:bottom w:val="nil"/>
              <w:right w:val="nil"/>
            </w:tcBorders>
          </w:tcPr>
          <w:p w14:paraId="0AAC83E1" w14:textId="77777777" w:rsidR="00F65A30" w:rsidRDefault="00F65A30">
            <w:pPr>
              <w:pStyle w:val="Heading3"/>
              <w:rPr>
                <w:sz w:val="24"/>
                <w:szCs w:val="26"/>
              </w:rPr>
            </w:pPr>
            <w:r>
              <w:rPr>
                <w:rFonts w:hint="cs"/>
                <w:sz w:val="24"/>
                <w:szCs w:val="26"/>
                <w:rtl/>
              </w:rPr>
              <w:t>שולמית דותן, ס.נשיא</w:t>
            </w:r>
          </w:p>
        </w:tc>
      </w:tr>
    </w:tbl>
    <w:p w14:paraId="585CFC67" w14:textId="77777777" w:rsidR="001015CA" w:rsidRPr="001015CA" w:rsidRDefault="00382DCD" w:rsidP="001015CA">
      <w:pPr>
        <w:spacing w:line="480" w:lineRule="auto"/>
        <w:rPr>
          <w:color w:val="000000"/>
          <w:sz w:val="28"/>
          <w:szCs w:val="28"/>
          <w:rtl/>
        </w:rPr>
      </w:pPr>
      <w:r w:rsidRPr="00382DCD">
        <w:rPr>
          <w:color w:val="000000"/>
          <w:sz w:val="28"/>
          <w:szCs w:val="28"/>
          <w:rtl/>
        </w:rPr>
        <w:t>נוסח מסמך זה כפוף לשינויי ניסוח ועריכה</w:t>
      </w:r>
    </w:p>
    <w:sectPr w:rsidR="001015CA" w:rsidRPr="001015CA" w:rsidSect="001015CA">
      <w:headerReference w:type="even" r:id="rId14"/>
      <w:headerReference w:type="default" r:id="rId15"/>
      <w:footerReference w:type="even" r:id="rId16"/>
      <w:footerReference w:type="default" r:id="rId1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9184" w14:textId="77777777" w:rsidR="00676C57" w:rsidRDefault="00676C57">
      <w:r>
        <w:separator/>
      </w:r>
    </w:p>
  </w:endnote>
  <w:endnote w:type="continuationSeparator" w:id="0">
    <w:p w14:paraId="4CBB96BA" w14:textId="77777777" w:rsidR="00676C57" w:rsidRDefault="0067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David Transparent">
    <w:panose1 w:val="020E0502060401010101"/>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6B38" w14:textId="77777777" w:rsidR="00AE11EA" w:rsidRDefault="00AE11EA" w:rsidP="001015CA">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312120DB" w14:textId="77777777" w:rsidR="00AE11EA" w:rsidRDefault="00AE11EA" w:rsidP="001015CA">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EF63F68" w14:textId="77777777" w:rsidR="00AE11EA" w:rsidRPr="001015CA" w:rsidRDefault="00AE11EA" w:rsidP="001015CA">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C:\nevo\nevo\xml</w:t>
    </w:r>
    <w:r>
      <w:rPr>
        <w:rFonts w:cs="Times New Roman"/>
        <w:noProof/>
        <w:color w:val="000000"/>
        <w:sz w:val="14"/>
        <w:szCs w:val="14"/>
        <w:rtl/>
      </w:rPr>
      <w:t xml:space="preserve"> - סינון\</w:t>
    </w:r>
    <w:r>
      <w:rPr>
        <w:rFonts w:cs="Times New Roman"/>
        <w:noProof/>
        <w:color w:val="000000"/>
        <w:sz w:val="14"/>
        <w:szCs w:val="14"/>
      </w:rPr>
      <w:t>final=03\s08005726-155.doc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DF75" w14:textId="77777777" w:rsidR="00AE11EA" w:rsidRDefault="00AE11EA" w:rsidP="001015CA">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A33013">
      <w:rPr>
        <w:rFonts w:ascii="FrankRuehl" w:hAnsi="FrankRuehl" w:cs="FrankRuehl"/>
        <w:noProof/>
        <w:sz w:val="24"/>
        <w:rtl/>
      </w:rPr>
      <w:t>1</w:t>
    </w:r>
    <w:r>
      <w:rPr>
        <w:rFonts w:ascii="FrankRuehl" w:hAnsi="FrankRuehl" w:cs="FrankRuehl"/>
        <w:sz w:val="24"/>
        <w:rtl/>
      </w:rPr>
      <w:fldChar w:fldCharType="end"/>
    </w:r>
  </w:p>
  <w:p w14:paraId="79444426" w14:textId="77777777" w:rsidR="00AE11EA" w:rsidRDefault="00AE11EA" w:rsidP="001015CA">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AF74BEE" w14:textId="77777777" w:rsidR="00AE11EA" w:rsidRPr="001015CA" w:rsidRDefault="00AE11EA" w:rsidP="001015CA">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C:\nevo\nevo\xml</w:t>
    </w:r>
    <w:r>
      <w:rPr>
        <w:rFonts w:cs="Times New Roman"/>
        <w:noProof/>
        <w:color w:val="000000"/>
        <w:sz w:val="14"/>
        <w:szCs w:val="14"/>
        <w:rtl/>
      </w:rPr>
      <w:t xml:space="preserve"> - סינון\</w:t>
    </w:r>
    <w:r>
      <w:rPr>
        <w:rFonts w:cs="Times New Roman"/>
        <w:noProof/>
        <w:color w:val="000000"/>
        <w:sz w:val="14"/>
        <w:szCs w:val="14"/>
      </w:rPr>
      <w:t>final=03\s08005726-155.doc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EAEA" w14:textId="77777777" w:rsidR="00676C57" w:rsidRDefault="00676C57">
      <w:r>
        <w:separator/>
      </w:r>
    </w:p>
  </w:footnote>
  <w:footnote w:type="continuationSeparator" w:id="0">
    <w:p w14:paraId="038C421A" w14:textId="77777777" w:rsidR="00676C57" w:rsidRDefault="00676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0E91" w14:textId="77777777" w:rsidR="00AE11EA" w:rsidRPr="001015CA" w:rsidRDefault="00AE11EA" w:rsidP="001015C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(י-ם) 5726/08 </w:t>
    </w:r>
    <w:r>
      <w:rPr>
        <w:rFonts w:ascii="David" w:hAnsi="David"/>
        <w:color w:val="000000"/>
        <w:sz w:val="22"/>
        <w:szCs w:val="22"/>
        <w:rtl/>
      </w:rPr>
      <w:tab/>
      <w:t xml:space="preserve"> מדינת ישראל נ' אלונסו צקרה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F1CF" w14:textId="77777777" w:rsidR="00AE11EA" w:rsidRPr="001015CA" w:rsidRDefault="00AE11EA" w:rsidP="001015C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(י-ם) 5726/08 </w:t>
    </w:r>
    <w:r>
      <w:rPr>
        <w:rFonts w:ascii="David" w:hAnsi="David"/>
        <w:color w:val="000000"/>
        <w:sz w:val="22"/>
        <w:szCs w:val="22"/>
        <w:rtl/>
      </w:rPr>
      <w:tab/>
      <w:t xml:space="preserve"> מדינת ישראל נ' אלונסו צקרה אברהם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F65A30"/>
    <w:rsid w:val="001015CA"/>
    <w:rsid w:val="00382DCD"/>
    <w:rsid w:val="004B6D84"/>
    <w:rsid w:val="00674905"/>
    <w:rsid w:val="00676C57"/>
    <w:rsid w:val="008965D0"/>
    <w:rsid w:val="008C79DA"/>
    <w:rsid w:val="009465A6"/>
    <w:rsid w:val="00972EEE"/>
    <w:rsid w:val="00A33013"/>
    <w:rsid w:val="00A65B85"/>
    <w:rsid w:val="00AE11EA"/>
    <w:rsid w:val="00B81B47"/>
    <w:rsid w:val="00F65A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40F01F"/>
  <w15:chartTrackingRefBased/>
  <w15:docId w15:val="{BB642D1A-CAD0-4C30-89E6-3F20E6CF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pPr>
    <w:rPr>
      <w:rFonts w:cs="David"/>
      <w:szCs w:val="24"/>
    </w:rPr>
  </w:style>
  <w:style w:type="paragraph" w:styleId="Heading1">
    <w:name w:val="heading 1"/>
    <w:basedOn w:val="Normal"/>
    <w:next w:val="Normal1"/>
    <w:qFormat/>
    <w:pPr>
      <w:keepNext/>
      <w:jc w:val="center"/>
      <w:outlineLvl w:val="0"/>
    </w:pPr>
    <w:rPr>
      <w:b/>
      <w:bCs/>
      <w:sz w:val="32"/>
      <w:szCs w:val="32"/>
      <w:u w:val="single"/>
    </w:rPr>
  </w:style>
  <w:style w:type="paragraph" w:styleId="Heading2">
    <w:name w:val="heading 2"/>
    <w:basedOn w:val="Normal"/>
    <w:next w:val="Normal1"/>
    <w:qFormat/>
    <w:pPr>
      <w:keepNext/>
      <w:spacing w:before="240" w:after="60"/>
      <w:jc w:val="center"/>
      <w:outlineLvl w:val="1"/>
    </w:pPr>
    <w:rPr>
      <w:rFonts w:ascii="Arial"/>
      <w:b/>
      <w:bCs/>
      <w:sz w:val="24"/>
      <w:u w:val="single"/>
    </w:rPr>
  </w:style>
  <w:style w:type="paragraph" w:styleId="Heading3">
    <w:name w:val="heading 3"/>
    <w:basedOn w:val="Normal"/>
    <w:next w:val="Normal1"/>
    <w:qFormat/>
    <w:pPr>
      <w:keepNext/>
      <w:jc w:val="center"/>
      <w:outlineLvl w:val="2"/>
    </w:pPr>
    <w:rPr>
      <w:b/>
      <w:bCs/>
    </w:rPr>
  </w:style>
  <w:style w:type="paragraph" w:styleId="Heading4">
    <w:name w:val="heading 4"/>
    <w:basedOn w:val="Normal"/>
    <w:next w:val="Normal1"/>
    <w:qFormat/>
    <w:pPr>
      <w:keepNext/>
      <w:outlineLvl w:val="3"/>
    </w:pPr>
    <w:rPr>
      <w:b/>
      <w:bCs/>
      <w:u w:val="single"/>
    </w:rPr>
  </w:style>
  <w:style w:type="paragraph" w:styleId="Heading5">
    <w:name w:val="heading 5"/>
    <w:basedOn w:val="Normal"/>
    <w:next w:val="Normal1"/>
    <w:qFormat/>
    <w:pPr>
      <w:keepNext/>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paragraph" w:styleId="Title">
    <w:name w:val="Title"/>
    <w:basedOn w:val="Normal"/>
    <w:qFormat/>
    <w:pPr>
      <w:spacing w:line="480" w:lineRule="auto"/>
      <w:jc w:val="center"/>
    </w:pPr>
    <w:rPr>
      <w:rFonts w:cs="Narkisim"/>
      <w:b/>
      <w:bCs/>
      <w:sz w:val="32"/>
      <w:szCs w:val="32"/>
      <w:u w:val="single"/>
    </w:rPr>
  </w:style>
  <w:style w:type="paragraph" w:customStyle="1" w:styleId="a">
    <w:name w:val="שמות"/>
    <w:basedOn w:val="Normal"/>
    <w:pPr>
      <w:suppressLineNumbers/>
      <w:spacing w:line="360" w:lineRule="auto"/>
      <w:jc w:val="both"/>
    </w:pPr>
    <w:rPr>
      <w:b/>
      <w:bCs/>
      <w:sz w:val="22"/>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character" w:styleId="PageNumber">
    <w:name w:val="page number"/>
    <w:rPr>
      <w:rFonts w:cs="David"/>
    </w:rPr>
  </w:style>
  <w:style w:type="paragraph" w:customStyle="1" w:styleId="Heading21">
    <w:name w:val="Heading 21"/>
    <w:basedOn w:val="Normal"/>
    <w:pPr>
      <w:bidi w:val="0"/>
      <w:snapToGrid/>
      <w:spacing w:before="100" w:beforeAutospacing="1" w:after="100" w:afterAutospacing="1"/>
    </w:pPr>
    <w:rPr>
      <w:rFonts w:cs="Times New Roman"/>
      <w:sz w:val="24"/>
    </w:rPr>
  </w:style>
  <w:style w:type="paragraph" w:styleId="Signature">
    <w:name w:val="Signature"/>
    <w:basedOn w:val="Heading21"/>
    <w:pPr>
      <w:keepNext/>
      <w:suppressLineNumbers/>
      <w:bidi/>
      <w:snapToGrid w:val="0"/>
      <w:spacing w:before="240" w:beforeAutospacing="0" w:after="60" w:afterAutospacing="0" w:line="360" w:lineRule="auto"/>
      <w:jc w:val="center"/>
      <w:outlineLvl w:val="1"/>
    </w:pPr>
    <w:rPr>
      <w:rFonts w:ascii="Arial" w:hAnsi="Arial" w:cs="David"/>
      <w:b/>
      <w:u w:val="single"/>
    </w:rPr>
  </w:style>
  <w:style w:type="character" w:styleId="Hyperlink">
    <w:name w:val="Hyperlink"/>
    <w:rsid w:val="00382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52"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jCe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48.c.;45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jC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6048</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7095</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4522074</vt:i4>
      </vt:variant>
      <vt:variant>
        <vt:i4>18</vt:i4>
      </vt:variant>
      <vt:variant>
        <vt:i4>0</vt:i4>
      </vt:variant>
      <vt:variant>
        <vt:i4>5</vt:i4>
      </vt:variant>
      <vt:variant>
        <vt:lpwstr>http://www.nevo.co.il/law/70301/jCeS</vt:lpwstr>
      </vt:variant>
      <vt:variant>
        <vt:lpwstr/>
      </vt:variant>
      <vt:variant>
        <vt:i4>7995492</vt:i4>
      </vt:variant>
      <vt:variant>
        <vt:i4>15</vt:i4>
      </vt:variant>
      <vt:variant>
        <vt:i4>0</vt:i4>
      </vt:variant>
      <vt:variant>
        <vt:i4>5</vt:i4>
      </vt:variant>
      <vt:variant>
        <vt:lpwstr>http://www.nevo.co.il/law/70301</vt:lpwstr>
      </vt:variant>
      <vt:variant>
        <vt:lpwstr/>
      </vt:variant>
      <vt:variant>
        <vt:i4>6750259</vt:i4>
      </vt:variant>
      <vt:variant>
        <vt:i4>12</vt:i4>
      </vt:variant>
      <vt:variant>
        <vt:i4>0</vt:i4>
      </vt:variant>
      <vt:variant>
        <vt:i4>5</vt:i4>
      </vt:variant>
      <vt:variant>
        <vt:lpwstr>http://www.nevo.co.il/law/70301/348.c.;452</vt:lpwstr>
      </vt:variant>
      <vt:variant>
        <vt:lpwstr/>
      </vt:variant>
      <vt:variant>
        <vt:i4>4522074</vt:i4>
      </vt:variant>
      <vt:variant>
        <vt:i4>9</vt:i4>
      </vt:variant>
      <vt:variant>
        <vt:i4>0</vt:i4>
      </vt:variant>
      <vt:variant>
        <vt:i4>5</vt:i4>
      </vt:variant>
      <vt:variant>
        <vt:lpwstr>http://www.nevo.co.il/law/70301/jCeS</vt:lpwstr>
      </vt:variant>
      <vt:variant>
        <vt:lpwstr/>
      </vt:variant>
      <vt:variant>
        <vt:i4>6291553</vt:i4>
      </vt:variant>
      <vt:variant>
        <vt:i4>6</vt:i4>
      </vt:variant>
      <vt:variant>
        <vt:i4>0</vt:i4>
      </vt:variant>
      <vt:variant>
        <vt:i4>5</vt:i4>
      </vt:variant>
      <vt:variant>
        <vt:lpwstr>http://www.nevo.co.il/law/70301/452</vt:lpwstr>
      </vt:variant>
      <vt:variant>
        <vt:lpwstr/>
      </vt:variant>
      <vt:variant>
        <vt:i4>6357053</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2008-01-03T09:00:00Z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5726</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אלונסו צקרה אברהם</vt:lpwstr>
  </property>
  <property fmtid="{D5CDD505-2E9C-101B-9397-08002B2CF9AE}" pid="9" name="LAWYER">
    <vt:lpwstr>עוז קליין;הרמן </vt:lpwstr>
  </property>
  <property fmtid="{D5CDD505-2E9C-101B-9397-08002B2CF9AE}" pid="10" name="JUDGE">
    <vt:lpwstr>שולמית דותן</vt:lpwstr>
  </property>
  <property fmtid="{D5CDD505-2E9C-101B-9397-08002B2CF9AE}" pid="11" name="CITY">
    <vt:lpwstr>י-ם</vt:lpwstr>
  </property>
  <property fmtid="{D5CDD505-2E9C-101B-9397-08002B2CF9AE}" pid="12" name="DATE">
    <vt:lpwstr>20081210</vt:lpwstr>
  </property>
  <property fmtid="{D5CDD505-2E9C-101B-9397-08002B2CF9AE}" pid="13" name="TYPE_N_DATE">
    <vt:lpwstr>38020081210</vt:lpwstr>
  </property>
  <property fmtid="{D5CDD505-2E9C-101B-9397-08002B2CF9AE}" pid="14" name="WORDNUMPAGES">
    <vt:lpwstr>5</vt:lpwstr>
  </property>
  <property fmtid="{D5CDD505-2E9C-101B-9397-08002B2CF9AE}" pid="15" name="TYPE_ABS_DATE">
    <vt:lpwstr>380020081210</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LAWLISTTMP1">
    <vt:lpwstr>70301/348.c;452;jCeS</vt:lpwstr>
  </property>
</Properties>
</file>