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530BD" w14:textId="77777777" w:rsidR="00024933" w:rsidRDefault="00024933">
      <w:pPr>
        <w:spacing w:after="80" w:line="320" w:lineRule="exact"/>
        <w:ind w:firstLine="283"/>
        <w:rPr>
          <w:sz w:val="22"/>
          <w:szCs w:val="24"/>
          <w:rtl/>
        </w:rPr>
      </w:pPr>
      <w:bookmarkStart w:id="0" w:name="LawTable"/>
      <w:bookmarkEnd w:id="0"/>
    </w:p>
    <w:p w14:paraId="2FFB7503" w14:textId="77777777" w:rsidR="00024933" w:rsidRPr="00024933" w:rsidRDefault="00024933" w:rsidP="00024933">
      <w:pPr>
        <w:spacing w:after="120" w:line="240" w:lineRule="exact"/>
        <w:ind w:left="283" w:hanging="283"/>
        <w:rPr>
          <w:rFonts w:ascii="FrankRuehl" w:hAnsi="FrankRuehl" w:cs="FrankRuehl"/>
          <w:sz w:val="24"/>
          <w:szCs w:val="24"/>
          <w:rtl/>
        </w:rPr>
      </w:pPr>
    </w:p>
    <w:p w14:paraId="5CC4D053" w14:textId="77777777" w:rsidR="00024933" w:rsidRPr="00024933" w:rsidRDefault="00024933" w:rsidP="00024933">
      <w:pPr>
        <w:spacing w:after="120" w:line="240" w:lineRule="exact"/>
        <w:ind w:left="283" w:hanging="283"/>
        <w:rPr>
          <w:rFonts w:ascii="FrankRuehl" w:hAnsi="FrankRuehl" w:cs="FrankRuehl"/>
          <w:sz w:val="24"/>
          <w:szCs w:val="24"/>
          <w:rtl/>
        </w:rPr>
      </w:pPr>
      <w:r w:rsidRPr="00024933">
        <w:rPr>
          <w:rFonts w:ascii="FrankRuehl" w:hAnsi="FrankRuehl" w:cs="FrankRuehl"/>
          <w:sz w:val="24"/>
          <w:szCs w:val="24"/>
          <w:rtl/>
        </w:rPr>
        <w:t xml:space="preserve">חקיקה שאוזכרה: </w:t>
      </w:r>
    </w:p>
    <w:p w14:paraId="0578F100" w14:textId="77777777" w:rsidR="00024933" w:rsidRPr="00024933" w:rsidRDefault="00024933" w:rsidP="00024933">
      <w:pPr>
        <w:spacing w:after="120" w:line="240" w:lineRule="exact"/>
        <w:ind w:left="283" w:hanging="283"/>
        <w:rPr>
          <w:rFonts w:ascii="FrankRuehl" w:hAnsi="FrankRuehl" w:cs="FrankRuehl"/>
          <w:color w:val="0000FF"/>
          <w:sz w:val="24"/>
          <w:szCs w:val="24"/>
          <w:u w:val="single"/>
          <w:rtl/>
        </w:rPr>
      </w:pPr>
      <w:hyperlink r:id="rId6" w:history="1">
        <w:r w:rsidRPr="00024933">
          <w:rPr>
            <w:rStyle w:val="Hyperlink"/>
            <w:rFonts w:ascii="FrankRuehl" w:hAnsi="FrankRuehl" w:cs="FrankRuehl"/>
            <w:sz w:val="24"/>
            <w:szCs w:val="24"/>
            <w:rtl/>
          </w:rPr>
          <w:t>חוק העונשין, תשל"ז-1977</w:t>
        </w:r>
      </w:hyperlink>
      <w:r w:rsidRPr="00024933">
        <w:rPr>
          <w:rFonts w:ascii="FrankRuehl" w:hAnsi="FrankRuehl" w:cs="FrankRuehl"/>
          <w:color w:val="0000FF"/>
          <w:sz w:val="24"/>
          <w:szCs w:val="24"/>
          <w:u w:val="single"/>
          <w:rtl/>
        </w:rPr>
        <w:t xml:space="preserve">: סע'  </w:t>
      </w:r>
      <w:hyperlink r:id="rId7" w:history="1">
        <w:r w:rsidRPr="00024933">
          <w:rPr>
            <w:rStyle w:val="Hyperlink"/>
            <w:rFonts w:ascii="FrankRuehl" w:hAnsi="FrankRuehl" w:cs="FrankRuehl"/>
            <w:sz w:val="24"/>
            <w:szCs w:val="24"/>
          </w:rPr>
          <w:t>345</w:t>
        </w:r>
        <w:r w:rsidRPr="00024933">
          <w:rPr>
            <w:rStyle w:val="Hyperlink"/>
            <w:rFonts w:ascii="FrankRuehl" w:hAnsi="FrankRuehl" w:cs="FrankRuehl"/>
            <w:sz w:val="24"/>
            <w:szCs w:val="24"/>
            <w:rtl/>
          </w:rPr>
          <w:t>(א)</w:t>
        </w:r>
        <w:r w:rsidRPr="00024933">
          <w:rPr>
            <w:rStyle w:val="Hyperlink"/>
            <w:rFonts w:ascii="FrankRuehl" w:hAnsi="FrankRuehl" w:cs="FrankRuehl"/>
            <w:sz w:val="24"/>
            <w:szCs w:val="24"/>
          </w:rPr>
          <w:t>(1)</w:t>
        </w:r>
      </w:hyperlink>
      <w:r w:rsidRPr="00024933">
        <w:rPr>
          <w:rFonts w:ascii="FrankRuehl" w:hAnsi="FrankRuehl" w:cs="FrankRuehl"/>
          <w:color w:val="0000FF"/>
          <w:sz w:val="24"/>
          <w:szCs w:val="24"/>
          <w:u w:val="single"/>
          <w:rtl/>
        </w:rPr>
        <w:t xml:space="preserve">, </w:t>
      </w:r>
      <w:hyperlink r:id="rId8" w:history="1">
        <w:r w:rsidRPr="00024933">
          <w:rPr>
            <w:rStyle w:val="Hyperlink"/>
            <w:rFonts w:ascii="FrankRuehl" w:hAnsi="FrankRuehl" w:cs="FrankRuehl"/>
            <w:sz w:val="24"/>
            <w:szCs w:val="24"/>
          </w:rPr>
          <w:t>345</w:t>
        </w:r>
        <w:r w:rsidRPr="00024933">
          <w:rPr>
            <w:rStyle w:val="Hyperlink"/>
            <w:rFonts w:ascii="FrankRuehl" w:hAnsi="FrankRuehl" w:cs="FrankRuehl"/>
            <w:sz w:val="24"/>
            <w:szCs w:val="24"/>
            <w:rtl/>
          </w:rPr>
          <w:t>(א)(3).נ</w:t>
        </w:r>
      </w:hyperlink>
      <w:r w:rsidRPr="00024933">
        <w:rPr>
          <w:rFonts w:ascii="FrankRuehl" w:hAnsi="FrankRuehl" w:cs="FrankRuehl"/>
          <w:color w:val="0000FF"/>
          <w:sz w:val="24"/>
          <w:szCs w:val="24"/>
          <w:u w:val="single"/>
          <w:rtl/>
        </w:rPr>
        <w:t xml:space="preserve">, </w:t>
      </w:r>
      <w:hyperlink r:id="rId9" w:history="1">
        <w:r w:rsidRPr="00024933">
          <w:rPr>
            <w:rStyle w:val="Hyperlink"/>
            <w:rFonts w:ascii="FrankRuehl" w:hAnsi="FrankRuehl" w:cs="FrankRuehl"/>
            <w:sz w:val="24"/>
            <w:szCs w:val="24"/>
          </w:rPr>
          <w:t>(5)</w:t>
        </w:r>
      </w:hyperlink>
      <w:r w:rsidRPr="00024933">
        <w:rPr>
          <w:rFonts w:ascii="FrankRuehl" w:hAnsi="FrankRuehl" w:cs="FrankRuehl"/>
          <w:color w:val="0000FF"/>
          <w:sz w:val="24"/>
          <w:szCs w:val="24"/>
          <w:u w:val="single"/>
          <w:rtl/>
        </w:rPr>
        <w:t xml:space="preserve">, </w:t>
      </w:r>
      <w:hyperlink r:id="rId10" w:history="1">
        <w:r w:rsidRPr="00024933">
          <w:rPr>
            <w:rStyle w:val="Hyperlink"/>
            <w:rFonts w:ascii="FrankRuehl" w:hAnsi="FrankRuehl" w:cs="FrankRuehl"/>
            <w:sz w:val="24"/>
            <w:szCs w:val="24"/>
          </w:rPr>
          <w:t>348(</w:t>
        </w:r>
        <w:r w:rsidRPr="00024933">
          <w:rPr>
            <w:rStyle w:val="Hyperlink"/>
            <w:rFonts w:ascii="FrankRuehl" w:hAnsi="FrankRuehl" w:cs="FrankRuehl"/>
            <w:sz w:val="24"/>
            <w:szCs w:val="24"/>
            <w:rtl/>
          </w:rPr>
          <w:t>א</w:t>
        </w:r>
        <w:r w:rsidRPr="00024933">
          <w:rPr>
            <w:rStyle w:val="Hyperlink"/>
            <w:rFonts w:ascii="FrankRuehl" w:hAnsi="FrankRuehl" w:cs="FrankRuehl"/>
            <w:sz w:val="24"/>
            <w:szCs w:val="24"/>
          </w:rPr>
          <w:t>)</w:t>
        </w:r>
      </w:hyperlink>
      <w:r w:rsidRPr="00024933">
        <w:rPr>
          <w:rFonts w:ascii="FrankRuehl" w:hAnsi="FrankRuehl" w:cs="FrankRuehl"/>
          <w:color w:val="0000FF"/>
          <w:sz w:val="24"/>
          <w:szCs w:val="24"/>
          <w:u w:val="single"/>
          <w:rtl/>
        </w:rPr>
        <w:t xml:space="preserve">, </w:t>
      </w:r>
      <w:hyperlink r:id="rId11" w:history="1">
        <w:r w:rsidRPr="00024933">
          <w:rPr>
            <w:rStyle w:val="Hyperlink"/>
            <w:rFonts w:ascii="FrankRuehl" w:hAnsi="FrankRuehl" w:cs="FrankRuehl"/>
            <w:sz w:val="24"/>
            <w:szCs w:val="24"/>
          </w:rPr>
          <w:t>368</w:t>
        </w:r>
        <w:r w:rsidRPr="00024933">
          <w:rPr>
            <w:rStyle w:val="Hyperlink"/>
            <w:rFonts w:ascii="FrankRuehl" w:hAnsi="FrankRuehl" w:cs="FrankRuehl"/>
            <w:sz w:val="24"/>
            <w:szCs w:val="24"/>
            <w:rtl/>
          </w:rPr>
          <w:t>ד'(ד)</w:t>
        </w:r>
      </w:hyperlink>
    </w:p>
    <w:p w14:paraId="0BC22F3F" w14:textId="77777777" w:rsidR="00024933" w:rsidRPr="00024933" w:rsidRDefault="00024933" w:rsidP="00024933">
      <w:pPr>
        <w:spacing w:after="120" w:line="240" w:lineRule="exact"/>
        <w:ind w:left="283" w:hanging="283"/>
        <w:rPr>
          <w:rFonts w:ascii="FrankRuehl" w:hAnsi="FrankRuehl" w:cs="FrankRuehl"/>
          <w:color w:val="0000FF"/>
          <w:sz w:val="24"/>
          <w:szCs w:val="24"/>
          <w:u w:val="single"/>
          <w:rtl/>
        </w:rPr>
      </w:pPr>
      <w:hyperlink r:id="rId12" w:history="1">
        <w:r w:rsidRPr="00024933">
          <w:rPr>
            <w:rStyle w:val="Hyperlink"/>
            <w:rFonts w:ascii="FrankRuehl" w:hAnsi="FrankRuehl" w:cs="FrankRuehl"/>
            <w:sz w:val="24"/>
            <w:szCs w:val="24"/>
            <w:rtl/>
          </w:rPr>
          <w:t>פקודת הראיות [נוסח חדש], תשל"א-1971</w:t>
        </w:r>
      </w:hyperlink>
      <w:r w:rsidRPr="00024933">
        <w:rPr>
          <w:rFonts w:ascii="FrankRuehl" w:hAnsi="FrankRuehl" w:cs="FrankRuehl"/>
          <w:color w:val="0000FF"/>
          <w:sz w:val="24"/>
          <w:szCs w:val="24"/>
          <w:u w:val="single"/>
          <w:rtl/>
        </w:rPr>
        <w:t xml:space="preserve">: סע'  </w:t>
      </w:r>
      <w:hyperlink r:id="rId13" w:history="1">
        <w:r w:rsidRPr="00024933">
          <w:rPr>
            <w:rStyle w:val="Hyperlink"/>
            <w:rFonts w:ascii="FrankRuehl" w:hAnsi="FrankRuehl" w:cs="FrankRuehl"/>
            <w:sz w:val="24"/>
            <w:szCs w:val="24"/>
          </w:rPr>
          <w:t>54</w:t>
        </w:r>
      </w:hyperlink>
      <w:r w:rsidRPr="00024933">
        <w:rPr>
          <w:rFonts w:ascii="FrankRuehl" w:hAnsi="FrankRuehl" w:cs="FrankRuehl"/>
          <w:color w:val="0000FF"/>
          <w:sz w:val="24"/>
          <w:szCs w:val="24"/>
          <w:u w:val="single"/>
          <w:rtl/>
        </w:rPr>
        <w:t xml:space="preserve">, </w:t>
      </w:r>
      <w:hyperlink r:id="rId14" w:history="1">
        <w:r w:rsidRPr="00024933">
          <w:rPr>
            <w:rStyle w:val="Hyperlink"/>
            <w:rFonts w:ascii="FrankRuehl" w:hAnsi="FrankRuehl" w:cs="FrankRuehl"/>
            <w:sz w:val="24"/>
            <w:szCs w:val="24"/>
          </w:rPr>
          <w:t>54</w:t>
        </w:r>
        <w:r w:rsidRPr="00024933">
          <w:rPr>
            <w:rStyle w:val="Hyperlink"/>
            <w:rFonts w:ascii="FrankRuehl" w:hAnsi="FrankRuehl" w:cs="FrankRuehl"/>
            <w:sz w:val="24"/>
            <w:szCs w:val="24"/>
            <w:rtl/>
          </w:rPr>
          <w:t>א</w:t>
        </w:r>
        <w:r w:rsidRPr="00024933">
          <w:rPr>
            <w:rStyle w:val="Hyperlink"/>
            <w:rFonts w:ascii="FrankRuehl" w:hAnsi="FrankRuehl" w:cs="FrankRuehl"/>
            <w:sz w:val="24"/>
            <w:szCs w:val="24"/>
          </w:rPr>
          <w:t>'</w:t>
        </w:r>
      </w:hyperlink>
      <w:r w:rsidRPr="00024933">
        <w:rPr>
          <w:rFonts w:ascii="FrankRuehl" w:hAnsi="FrankRuehl" w:cs="FrankRuehl"/>
          <w:color w:val="0000FF"/>
          <w:sz w:val="24"/>
          <w:szCs w:val="24"/>
          <w:u w:val="single"/>
          <w:rtl/>
        </w:rPr>
        <w:t xml:space="preserve">, </w:t>
      </w:r>
      <w:hyperlink r:id="rId15" w:history="1">
        <w:r w:rsidRPr="00024933">
          <w:rPr>
            <w:rStyle w:val="Hyperlink"/>
            <w:rFonts w:ascii="FrankRuehl" w:hAnsi="FrankRuehl" w:cs="FrankRuehl"/>
            <w:sz w:val="24"/>
            <w:szCs w:val="24"/>
          </w:rPr>
          <w:t>54</w:t>
        </w:r>
        <w:r w:rsidRPr="00024933">
          <w:rPr>
            <w:rStyle w:val="Hyperlink"/>
            <w:rFonts w:ascii="FrankRuehl" w:hAnsi="FrankRuehl" w:cs="FrankRuehl"/>
            <w:sz w:val="24"/>
            <w:szCs w:val="24"/>
            <w:rtl/>
          </w:rPr>
          <w:t>א'(ב)</w:t>
        </w:r>
      </w:hyperlink>
    </w:p>
    <w:p w14:paraId="339B37BD" w14:textId="77777777" w:rsidR="00024933" w:rsidRPr="00024933" w:rsidRDefault="00024933" w:rsidP="00024933">
      <w:pPr>
        <w:spacing w:after="120" w:line="240" w:lineRule="exact"/>
        <w:ind w:left="283" w:hanging="283"/>
        <w:rPr>
          <w:rFonts w:ascii="FrankRuehl" w:hAnsi="FrankRuehl" w:cs="FrankRuehl"/>
          <w:sz w:val="24"/>
          <w:szCs w:val="24"/>
          <w:rtl/>
        </w:rPr>
      </w:pPr>
    </w:p>
    <w:p w14:paraId="64B61BCF" w14:textId="77777777" w:rsidR="00A55500" w:rsidRDefault="00A55500">
      <w:pPr>
        <w:spacing w:after="80" w:line="320" w:lineRule="exact"/>
        <w:ind w:firstLine="283"/>
        <w:rPr>
          <w:sz w:val="22"/>
          <w:szCs w:val="24"/>
          <w:rtl/>
        </w:rPr>
      </w:pPr>
      <w:bookmarkStart w:id="1" w:name="LawTable_End"/>
      <w:bookmarkEnd w:id="1"/>
    </w:p>
    <w:p w14:paraId="3955BF59" w14:textId="77777777" w:rsidR="00A55500" w:rsidRDefault="00A55500">
      <w:pPr>
        <w:pStyle w:val="Heading7"/>
        <w:rPr>
          <w:rtl/>
        </w:rPr>
      </w:pPr>
      <w:r>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8"/>
        <w:gridCol w:w="850"/>
        <w:gridCol w:w="2235"/>
      </w:tblGrid>
      <w:tr w:rsidR="001947D7" w14:paraId="48EBD0A2"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299A896F" w14:textId="77777777" w:rsidR="001947D7" w:rsidRDefault="001947D7">
            <w:pPr>
              <w:spacing w:after="80" w:line="320" w:lineRule="exact"/>
              <w:rPr>
                <w:b/>
                <w:bCs/>
                <w:sz w:val="22"/>
                <w:szCs w:val="24"/>
              </w:rPr>
            </w:pPr>
            <w:r>
              <w:rPr>
                <w:rFonts w:hint="cs"/>
                <w:b/>
                <w:bCs/>
                <w:sz w:val="22"/>
                <w:szCs w:val="24"/>
                <w:rtl/>
              </w:rPr>
              <w:t>בית משפט השלום ירושלים</w:t>
            </w:r>
          </w:p>
        </w:tc>
        <w:tc>
          <w:tcPr>
            <w:tcW w:w="3085" w:type="dxa"/>
            <w:gridSpan w:val="2"/>
            <w:tcBorders>
              <w:top w:val="single" w:sz="4" w:space="0" w:color="auto"/>
              <w:left w:val="single" w:sz="4" w:space="0" w:color="auto"/>
              <w:bottom w:val="single" w:sz="4" w:space="0" w:color="auto"/>
              <w:right w:val="single" w:sz="4" w:space="0" w:color="auto"/>
            </w:tcBorders>
          </w:tcPr>
          <w:p w14:paraId="28972178" w14:textId="77777777" w:rsidR="001947D7" w:rsidRDefault="001947D7">
            <w:pPr>
              <w:spacing w:after="80" w:line="320" w:lineRule="exact"/>
              <w:rPr>
                <w:b/>
                <w:bCs/>
                <w:sz w:val="22"/>
                <w:szCs w:val="24"/>
              </w:rPr>
            </w:pPr>
            <w:r>
              <w:rPr>
                <w:rFonts w:hint="cs"/>
                <w:b/>
                <w:bCs/>
                <w:sz w:val="22"/>
                <w:szCs w:val="24"/>
                <w:rtl/>
              </w:rPr>
              <w:t>פ  002328/97</w:t>
            </w:r>
          </w:p>
        </w:tc>
      </w:tr>
      <w:tr w:rsidR="001947D7" w14:paraId="55848AE7"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9AFC11A" w14:textId="77777777" w:rsidR="001947D7" w:rsidRDefault="001947D7">
            <w:pPr>
              <w:spacing w:after="80" w:line="320" w:lineRule="exact"/>
              <w:rPr>
                <w:b/>
                <w:bCs/>
                <w:sz w:val="22"/>
                <w:szCs w:val="24"/>
              </w:rPr>
            </w:pPr>
          </w:p>
        </w:tc>
        <w:tc>
          <w:tcPr>
            <w:tcW w:w="3085" w:type="dxa"/>
            <w:gridSpan w:val="2"/>
            <w:tcBorders>
              <w:top w:val="single" w:sz="4" w:space="0" w:color="auto"/>
              <w:left w:val="single" w:sz="4" w:space="0" w:color="auto"/>
              <w:bottom w:val="single" w:sz="4" w:space="0" w:color="auto"/>
              <w:right w:val="single" w:sz="4" w:space="0" w:color="auto"/>
            </w:tcBorders>
          </w:tcPr>
          <w:p w14:paraId="068FCBA7" w14:textId="77777777" w:rsidR="001947D7" w:rsidRDefault="001947D7">
            <w:pPr>
              <w:spacing w:after="80" w:line="320" w:lineRule="exact"/>
              <w:rPr>
                <w:b/>
                <w:bCs/>
                <w:sz w:val="22"/>
                <w:szCs w:val="24"/>
              </w:rPr>
            </w:pPr>
          </w:p>
        </w:tc>
      </w:tr>
      <w:tr w:rsidR="001947D7" w14:paraId="14CC18F5"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58D19376" w14:textId="77777777" w:rsidR="001947D7" w:rsidRDefault="001947D7">
            <w:pPr>
              <w:spacing w:after="80" w:line="320" w:lineRule="exact"/>
              <w:rPr>
                <w:b/>
                <w:bCs/>
                <w:sz w:val="22"/>
                <w:szCs w:val="24"/>
              </w:rPr>
            </w:pPr>
            <w:bookmarkStart w:id="2" w:name="LastJudge"/>
            <w:r>
              <w:rPr>
                <w:rFonts w:hint="cs"/>
                <w:b/>
                <w:bCs/>
                <w:sz w:val="22"/>
                <w:szCs w:val="24"/>
                <w:rtl/>
              </w:rPr>
              <w:t>לפני:</w:t>
            </w:r>
          </w:p>
        </w:tc>
        <w:tc>
          <w:tcPr>
            <w:tcW w:w="4678" w:type="dxa"/>
            <w:tcBorders>
              <w:top w:val="single" w:sz="4" w:space="0" w:color="auto"/>
              <w:left w:val="single" w:sz="4" w:space="0" w:color="auto"/>
              <w:bottom w:val="single" w:sz="4" w:space="0" w:color="auto"/>
              <w:right w:val="single" w:sz="4" w:space="0" w:color="auto"/>
            </w:tcBorders>
          </w:tcPr>
          <w:p w14:paraId="7B130402" w14:textId="77777777" w:rsidR="001947D7" w:rsidRDefault="001947D7">
            <w:pPr>
              <w:spacing w:after="80" w:line="320" w:lineRule="exact"/>
              <w:rPr>
                <w:b/>
                <w:bCs/>
                <w:sz w:val="22"/>
                <w:szCs w:val="24"/>
              </w:rPr>
            </w:pPr>
            <w:r>
              <w:rPr>
                <w:rFonts w:hint="cs"/>
                <w:b/>
                <w:bCs/>
                <w:sz w:val="22"/>
                <w:szCs w:val="24"/>
                <w:rtl/>
              </w:rPr>
              <w:t>כבוד השופטת שולמית דותן ס.נשיא</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38DC161" w14:textId="77777777" w:rsidR="001947D7" w:rsidRDefault="001947D7">
            <w:pPr>
              <w:spacing w:after="80" w:line="320" w:lineRule="exact"/>
              <w:rPr>
                <w:b/>
                <w:bCs/>
                <w:sz w:val="22"/>
                <w:szCs w:val="24"/>
              </w:rPr>
            </w:pPr>
            <w:r>
              <w:rPr>
                <w:rFonts w:hint="cs"/>
                <w:b/>
                <w:bCs/>
                <w:sz w:val="22"/>
                <w:szCs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10407B6F" w14:textId="77777777" w:rsidR="001947D7" w:rsidRDefault="001947D7">
            <w:pPr>
              <w:spacing w:after="80" w:line="320" w:lineRule="exact"/>
              <w:rPr>
                <w:b/>
                <w:bCs/>
                <w:sz w:val="22"/>
                <w:szCs w:val="24"/>
              </w:rPr>
            </w:pPr>
            <w:r>
              <w:rPr>
                <w:rFonts w:hint="cs"/>
                <w:b/>
                <w:bCs/>
                <w:sz w:val="22"/>
                <w:szCs w:val="24"/>
                <w:rtl/>
              </w:rPr>
              <w:t>03/11/2003</w:t>
            </w:r>
          </w:p>
        </w:tc>
      </w:tr>
      <w:bookmarkEnd w:id="2"/>
    </w:tbl>
    <w:p w14:paraId="74E63B5A" w14:textId="77777777" w:rsidR="00A55500" w:rsidRDefault="00A55500">
      <w:pPr>
        <w:pStyle w:val="Header"/>
        <w:spacing w:after="80" w:line="320" w:lineRule="exact"/>
        <w:ind w:firstLine="283"/>
        <w:rPr>
          <w:rFonts w:hint="cs"/>
          <w:sz w:val="22"/>
          <w:rtl/>
        </w:rPr>
      </w:pPr>
    </w:p>
    <w:p w14:paraId="3F7FEF6B" w14:textId="77777777" w:rsidR="00A55500" w:rsidRDefault="00A55500">
      <w:pPr>
        <w:spacing w:after="80" w:line="320" w:lineRule="exact"/>
        <w:ind w:firstLine="283"/>
        <w:rPr>
          <w:rFonts w:hint="cs"/>
          <w:sz w:val="22"/>
          <w:szCs w:val="24"/>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1947D7" w14:paraId="2D8D9A39" w14:textId="77777777">
        <w:tc>
          <w:tcPr>
            <w:tcW w:w="1418" w:type="dxa"/>
          </w:tcPr>
          <w:p w14:paraId="2A10C24D" w14:textId="77777777" w:rsidR="001947D7" w:rsidRDefault="001947D7">
            <w:pPr>
              <w:spacing w:after="80" w:line="320" w:lineRule="exact"/>
              <w:rPr>
                <w:sz w:val="22"/>
                <w:szCs w:val="24"/>
              </w:rPr>
            </w:pPr>
            <w:bookmarkStart w:id="3" w:name="שם_א" w:colFirst="1" w:colLast="1"/>
            <w:bookmarkStart w:id="4" w:name="FirstAppellant"/>
            <w:r>
              <w:rPr>
                <w:rFonts w:hint="cs"/>
                <w:sz w:val="22"/>
                <w:szCs w:val="24"/>
                <w:rtl/>
              </w:rPr>
              <w:t>בעניין:</w:t>
            </w:r>
          </w:p>
        </w:tc>
        <w:tc>
          <w:tcPr>
            <w:tcW w:w="4820" w:type="dxa"/>
            <w:gridSpan w:val="2"/>
          </w:tcPr>
          <w:p w14:paraId="5FFAC310" w14:textId="77777777" w:rsidR="001947D7" w:rsidRDefault="001947D7">
            <w:pPr>
              <w:spacing w:after="80" w:line="320" w:lineRule="exact"/>
              <w:rPr>
                <w:b/>
                <w:bCs/>
                <w:sz w:val="22"/>
                <w:szCs w:val="24"/>
              </w:rPr>
            </w:pPr>
            <w:r>
              <w:rPr>
                <w:rFonts w:hint="cs"/>
                <w:b/>
                <w:bCs/>
                <w:sz w:val="22"/>
                <w:szCs w:val="24"/>
                <w:rtl/>
              </w:rPr>
              <w:t>תביעות מחוז ש"י</w:t>
            </w:r>
          </w:p>
        </w:tc>
        <w:tc>
          <w:tcPr>
            <w:tcW w:w="2409" w:type="dxa"/>
          </w:tcPr>
          <w:p w14:paraId="321A1468" w14:textId="77777777" w:rsidR="001947D7" w:rsidRDefault="001947D7">
            <w:pPr>
              <w:spacing w:after="80" w:line="320" w:lineRule="exact"/>
              <w:rPr>
                <w:b/>
                <w:bCs/>
                <w:sz w:val="22"/>
                <w:szCs w:val="24"/>
              </w:rPr>
            </w:pPr>
          </w:p>
        </w:tc>
      </w:tr>
      <w:tr w:rsidR="001947D7" w14:paraId="2F1B69EC" w14:textId="77777777">
        <w:tc>
          <w:tcPr>
            <w:tcW w:w="1418" w:type="dxa"/>
          </w:tcPr>
          <w:p w14:paraId="2C623847" w14:textId="77777777" w:rsidR="001947D7" w:rsidRDefault="001947D7">
            <w:pPr>
              <w:spacing w:after="80" w:line="320" w:lineRule="exact"/>
              <w:rPr>
                <w:b/>
                <w:bCs/>
                <w:sz w:val="22"/>
                <w:szCs w:val="24"/>
              </w:rPr>
            </w:pPr>
            <w:bookmarkStart w:id="5" w:name="בא_כוח_א" w:colFirst="2" w:colLast="2"/>
            <w:bookmarkEnd w:id="3"/>
            <w:bookmarkEnd w:id="4"/>
          </w:p>
        </w:tc>
        <w:tc>
          <w:tcPr>
            <w:tcW w:w="1757" w:type="dxa"/>
          </w:tcPr>
          <w:p w14:paraId="4F15BEC7" w14:textId="77777777" w:rsidR="001947D7" w:rsidRDefault="001947D7">
            <w:pPr>
              <w:spacing w:after="80" w:line="320" w:lineRule="exact"/>
              <w:rPr>
                <w:b/>
                <w:bCs/>
                <w:sz w:val="22"/>
                <w:szCs w:val="24"/>
              </w:rPr>
            </w:pPr>
          </w:p>
        </w:tc>
        <w:tc>
          <w:tcPr>
            <w:tcW w:w="3063" w:type="dxa"/>
          </w:tcPr>
          <w:p w14:paraId="1044C0F9" w14:textId="77777777" w:rsidR="001947D7" w:rsidRDefault="001947D7">
            <w:pPr>
              <w:spacing w:after="80" w:line="320" w:lineRule="exact"/>
              <w:rPr>
                <w:b/>
                <w:bCs/>
                <w:sz w:val="22"/>
                <w:szCs w:val="24"/>
              </w:rPr>
            </w:pPr>
          </w:p>
        </w:tc>
        <w:tc>
          <w:tcPr>
            <w:tcW w:w="2409" w:type="dxa"/>
          </w:tcPr>
          <w:p w14:paraId="38ABBA6B" w14:textId="77777777" w:rsidR="001947D7" w:rsidRDefault="001947D7">
            <w:pPr>
              <w:pStyle w:val="Heading4"/>
              <w:keepNext w:val="0"/>
              <w:spacing w:after="80" w:line="320" w:lineRule="exact"/>
              <w:rPr>
                <w:sz w:val="22"/>
                <w:szCs w:val="24"/>
                <w:u w:val="none"/>
              </w:rPr>
            </w:pPr>
            <w:r>
              <w:rPr>
                <w:rFonts w:hint="cs"/>
                <w:sz w:val="22"/>
                <w:szCs w:val="24"/>
                <w:u w:val="none"/>
                <w:rtl/>
              </w:rPr>
              <w:t>המאשימה</w:t>
            </w:r>
          </w:p>
        </w:tc>
      </w:tr>
      <w:bookmarkEnd w:id="5"/>
      <w:tr w:rsidR="001947D7" w14:paraId="73AB06F7" w14:textId="77777777">
        <w:tc>
          <w:tcPr>
            <w:tcW w:w="1418" w:type="dxa"/>
          </w:tcPr>
          <w:p w14:paraId="49BB4E69" w14:textId="77777777" w:rsidR="001947D7" w:rsidRDefault="001947D7">
            <w:pPr>
              <w:spacing w:after="80" w:line="320" w:lineRule="exact"/>
              <w:rPr>
                <w:b/>
                <w:bCs/>
                <w:sz w:val="22"/>
                <w:szCs w:val="24"/>
              </w:rPr>
            </w:pPr>
          </w:p>
        </w:tc>
        <w:tc>
          <w:tcPr>
            <w:tcW w:w="4820" w:type="dxa"/>
            <w:gridSpan w:val="2"/>
          </w:tcPr>
          <w:p w14:paraId="31BBFD85" w14:textId="77777777" w:rsidR="001947D7" w:rsidRDefault="001947D7">
            <w:pPr>
              <w:pStyle w:val="Heading3"/>
              <w:keepNext w:val="0"/>
              <w:spacing w:after="80" w:line="320" w:lineRule="exact"/>
              <w:jc w:val="both"/>
              <w:rPr>
                <w:sz w:val="22"/>
                <w:szCs w:val="24"/>
              </w:rPr>
            </w:pPr>
            <w:r>
              <w:rPr>
                <w:rFonts w:hint="cs"/>
                <w:sz w:val="22"/>
                <w:szCs w:val="24"/>
                <w:rtl/>
              </w:rPr>
              <w:t>נגד</w:t>
            </w:r>
          </w:p>
          <w:p w14:paraId="13F995F6" w14:textId="77777777" w:rsidR="001947D7" w:rsidRDefault="001947D7">
            <w:pPr>
              <w:spacing w:after="80" w:line="320" w:lineRule="exact"/>
              <w:rPr>
                <w:b/>
                <w:bCs/>
                <w:sz w:val="22"/>
                <w:szCs w:val="24"/>
              </w:rPr>
            </w:pPr>
          </w:p>
        </w:tc>
        <w:tc>
          <w:tcPr>
            <w:tcW w:w="2409" w:type="dxa"/>
          </w:tcPr>
          <w:p w14:paraId="68FAAC25" w14:textId="77777777" w:rsidR="001947D7" w:rsidRDefault="001947D7">
            <w:pPr>
              <w:spacing w:after="80" w:line="320" w:lineRule="exact"/>
              <w:rPr>
                <w:b/>
                <w:bCs/>
                <w:sz w:val="22"/>
                <w:szCs w:val="24"/>
              </w:rPr>
            </w:pPr>
          </w:p>
        </w:tc>
      </w:tr>
      <w:tr w:rsidR="001947D7" w14:paraId="50C7DE0D" w14:textId="77777777">
        <w:tc>
          <w:tcPr>
            <w:tcW w:w="1418" w:type="dxa"/>
          </w:tcPr>
          <w:p w14:paraId="033737C8" w14:textId="77777777" w:rsidR="001947D7" w:rsidRDefault="001947D7">
            <w:pPr>
              <w:spacing w:after="80" w:line="320" w:lineRule="exact"/>
              <w:rPr>
                <w:b/>
                <w:bCs/>
                <w:sz w:val="22"/>
                <w:szCs w:val="24"/>
              </w:rPr>
            </w:pPr>
            <w:bookmarkStart w:id="6" w:name="שם_ב" w:colFirst="1" w:colLast="1"/>
          </w:p>
        </w:tc>
        <w:tc>
          <w:tcPr>
            <w:tcW w:w="4820" w:type="dxa"/>
            <w:gridSpan w:val="2"/>
          </w:tcPr>
          <w:p w14:paraId="7863A57B" w14:textId="77777777" w:rsidR="001947D7" w:rsidRDefault="001947D7">
            <w:pPr>
              <w:spacing w:after="80" w:line="320" w:lineRule="exact"/>
              <w:rPr>
                <w:b/>
                <w:bCs/>
                <w:sz w:val="22"/>
                <w:szCs w:val="24"/>
              </w:rPr>
            </w:pPr>
            <w:r>
              <w:rPr>
                <w:rFonts w:hint="cs"/>
                <w:b/>
                <w:bCs/>
                <w:sz w:val="22"/>
                <w:szCs w:val="24"/>
                <w:rtl/>
              </w:rPr>
              <w:t>פלוני</w:t>
            </w:r>
          </w:p>
        </w:tc>
        <w:tc>
          <w:tcPr>
            <w:tcW w:w="2409" w:type="dxa"/>
          </w:tcPr>
          <w:p w14:paraId="21D057E0" w14:textId="77777777" w:rsidR="001947D7" w:rsidRDefault="001947D7">
            <w:pPr>
              <w:spacing w:after="80" w:line="320" w:lineRule="exact"/>
              <w:rPr>
                <w:b/>
                <w:bCs/>
                <w:sz w:val="22"/>
                <w:szCs w:val="24"/>
              </w:rPr>
            </w:pPr>
          </w:p>
        </w:tc>
      </w:tr>
      <w:tr w:rsidR="001947D7" w14:paraId="25600426" w14:textId="77777777">
        <w:tc>
          <w:tcPr>
            <w:tcW w:w="1418" w:type="dxa"/>
          </w:tcPr>
          <w:p w14:paraId="1E9E82F9" w14:textId="77777777" w:rsidR="001947D7" w:rsidRDefault="001947D7">
            <w:pPr>
              <w:spacing w:after="80" w:line="320" w:lineRule="exact"/>
              <w:rPr>
                <w:b/>
                <w:bCs/>
                <w:sz w:val="22"/>
                <w:szCs w:val="24"/>
              </w:rPr>
            </w:pPr>
            <w:bookmarkStart w:id="7" w:name="בא_כוח_ב" w:colFirst="2" w:colLast="2"/>
            <w:bookmarkEnd w:id="6"/>
          </w:p>
        </w:tc>
        <w:tc>
          <w:tcPr>
            <w:tcW w:w="1757" w:type="dxa"/>
          </w:tcPr>
          <w:p w14:paraId="421353AA" w14:textId="77777777" w:rsidR="001947D7" w:rsidRDefault="001947D7">
            <w:pPr>
              <w:spacing w:after="80" w:line="320" w:lineRule="exact"/>
              <w:rPr>
                <w:b/>
                <w:bCs/>
                <w:sz w:val="22"/>
                <w:szCs w:val="24"/>
              </w:rPr>
            </w:pPr>
          </w:p>
        </w:tc>
        <w:tc>
          <w:tcPr>
            <w:tcW w:w="3063" w:type="dxa"/>
          </w:tcPr>
          <w:p w14:paraId="7A7D65FD" w14:textId="77777777" w:rsidR="001947D7" w:rsidRDefault="001947D7">
            <w:pPr>
              <w:spacing w:after="80" w:line="320" w:lineRule="exact"/>
              <w:rPr>
                <w:b/>
                <w:bCs/>
                <w:sz w:val="22"/>
                <w:szCs w:val="24"/>
              </w:rPr>
            </w:pPr>
          </w:p>
        </w:tc>
        <w:tc>
          <w:tcPr>
            <w:tcW w:w="2409" w:type="dxa"/>
          </w:tcPr>
          <w:p w14:paraId="37BE94D2" w14:textId="77777777" w:rsidR="001947D7" w:rsidRDefault="001947D7">
            <w:pPr>
              <w:pStyle w:val="Heading5"/>
              <w:keepNext w:val="0"/>
              <w:spacing w:after="80" w:line="320" w:lineRule="exact"/>
              <w:rPr>
                <w:sz w:val="22"/>
                <w:szCs w:val="24"/>
                <w:u w:val="none"/>
              </w:rPr>
            </w:pPr>
            <w:r>
              <w:rPr>
                <w:rFonts w:hint="cs"/>
                <w:sz w:val="22"/>
                <w:szCs w:val="24"/>
                <w:u w:val="none"/>
                <w:rtl/>
              </w:rPr>
              <w:t>הנאשם</w:t>
            </w:r>
          </w:p>
        </w:tc>
      </w:tr>
      <w:bookmarkEnd w:id="7"/>
    </w:tbl>
    <w:p w14:paraId="6F8BE0B2" w14:textId="77777777" w:rsidR="00A55500" w:rsidRDefault="00A55500">
      <w:pPr>
        <w:spacing w:after="80" w:line="320" w:lineRule="exact"/>
        <w:ind w:firstLine="283"/>
        <w:rPr>
          <w:rFonts w:hint="cs"/>
          <w:sz w:val="22"/>
          <w:szCs w:val="24"/>
          <w:rtl/>
        </w:rPr>
      </w:pPr>
    </w:p>
    <w:p w14:paraId="64380406" w14:textId="77777777" w:rsidR="00A55500" w:rsidRDefault="00A55500">
      <w:pPr>
        <w:pStyle w:val="Heading8"/>
        <w:rPr>
          <w:rFonts w:hint="cs"/>
          <w:rtl/>
        </w:rPr>
      </w:pPr>
      <w:r>
        <w:rPr>
          <w:rFonts w:hint="cs"/>
          <w:rtl/>
        </w:rPr>
        <w:t>נימוקי הכרעת הדין</w:t>
      </w:r>
    </w:p>
    <w:p w14:paraId="53FF41A8" w14:textId="77777777" w:rsidR="00A55500" w:rsidRDefault="00A55500">
      <w:pPr>
        <w:spacing w:after="80" w:line="320" w:lineRule="exact"/>
        <w:ind w:firstLine="283"/>
        <w:rPr>
          <w:rFonts w:hint="cs"/>
          <w:b/>
          <w:bCs/>
          <w:sz w:val="22"/>
          <w:szCs w:val="24"/>
          <w:rtl/>
        </w:rPr>
      </w:pPr>
    </w:p>
    <w:p w14:paraId="02869DF4" w14:textId="77777777" w:rsidR="00A55500" w:rsidRDefault="00A55500">
      <w:pPr>
        <w:spacing w:after="80" w:line="320" w:lineRule="exact"/>
        <w:ind w:firstLine="283"/>
        <w:rPr>
          <w:rFonts w:hint="cs"/>
          <w:b/>
          <w:bCs/>
          <w:sz w:val="22"/>
          <w:szCs w:val="24"/>
          <w:rtl/>
        </w:rPr>
      </w:pPr>
      <w:r>
        <w:rPr>
          <w:rFonts w:hint="cs"/>
          <w:b/>
          <w:bCs/>
          <w:sz w:val="22"/>
          <w:szCs w:val="24"/>
          <w:rtl/>
        </w:rPr>
        <w:t>בי</w:t>
      </w:r>
      <w:bookmarkStart w:id="8" w:name="ABSTRACT_START"/>
      <w:bookmarkEnd w:id="8"/>
      <w:r>
        <w:rPr>
          <w:rFonts w:hint="cs"/>
          <w:b/>
          <w:bCs/>
          <w:sz w:val="22"/>
          <w:szCs w:val="24"/>
          <w:rtl/>
        </w:rPr>
        <w:t>ום 18.12.2000 הודעתי על זיכויו של הנאשם מחמת הספק.</w:t>
      </w:r>
      <w:r>
        <w:rPr>
          <w:b/>
          <w:bCs/>
          <w:color w:val="FFFFFF"/>
          <w:sz w:val="4"/>
          <w:szCs w:val="4"/>
          <w:rtl/>
        </w:rPr>
        <w:t>נ</w:t>
      </w:r>
      <w:bookmarkStart w:id="9" w:name="ABSTRACT_END"/>
      <w:bookmarkEnd w:id="9"/>
    </w:p>
    <w:p w14:paraId="01665DE8" w14:textId="77777777" w:rsidR="00A55500" w:rsidRDefault="00A55500">
      <w:pPr>
        <w:spacing w:after="80" w:line="320" w:lineRule="exact"/>
        <w:ind w:firstLine="283"/>
        <w:rPr>
          <w:rFonts w:hint="cs"/>
          <w:sz w:val="22"/>
          <w:szCs w:val="24"/>
          <w:rtl/>
        </w:rPr>
      </w:pPr>
    </w:p>
    <w:p w14:paraId="4F2D2C9A" w14:textId="77777777" w:rsidR="00A55500" w:rsidRDefault="00A55500">
      <w:pPr>
        <w:spacing w:after="80" w:line="320" w:lineRule="exact"/>
        <w:ind w:firstLine="283"/>
        <w:rPr>
          <w:rFonts w:hint="cs"/>
          <w:b/>
          <w:bCs/>
          <w:sz w:val="22"/>
          <w:szCs w:val="24"/>
          <w:rtl/>
        </w:rPr>
      </w:pPr>
      <w:r>
        <w:rPr>
          <w:rFonts w:hint="cs"/>
          <w:b/>
          <w:bCs/>
          <w:sz w:val="22"/>
          <w:szCs w:val="24"/>
          <w:rtl/>
        </w:rPr>
        <w:t>להלן נימוקי:</w:t>
      </w:r>
    </w:p>
    <w:p w14:paraId="1314FDF0" w14:textId="77777777" w:rsidR="00A55500" w:rsidRDefault="00A55500">
      <w:pPr>
        <w:spacing w:after="80" w:line="320" w:lineRule="exact"/>
        <w:ind w:firstLine="283"/>
        <w:rPr>
          <w:rFonts w:hint="cs"/>
          <w:sz w:val="22"/>
          <w:szCs w:val="24"/>
          <w:rtl/>
        </w:rPr>
      </w:pPr>
    </w:p>
    <w:p w14:paraId="275E996F" w14:textId="77777777" w:rsidR="00A55500" w:rsidRDefault="00A55500">
      <w:pPr>
        <w:spacing w:after="80" w:line="320" w:lineRule="exact"/>
        <w:ind w:firstLine="283"/>
        <w:rPr>
          <w:rFonts w:hint="cs"/>
          <w:sz w:val="22"/>
          <w:szCs w:val="24"/>
          <w:rtl/>
        </w:rPr>
      </w:pPr>
      <w:r>
        <w:rPr>
          <w:rFonts w:hint="cs"/>
          <w:sz w:val="22"/>
          <w:szCs w:val="24"/>
          <w:rtl/>
        </w:rPr>
        <w:t xml:space="preserve">כתב האישום מייחס לנאשם עבירה של מעשה מגונה לפי </w:t>
      </w:r>
      <w:hyperlink r:id="rId16" w:history="1">
        <w:r w:rsidR="00024933" w:rsidRPr="00024933">
          <w:rPr>
            <w:rStyle w:val="Hyperlink"/>
            <w:rFonts w:hint="eastAsia"/>
            <w:sz w:val="22"/>
            <w:szCs w:val="24"/>
            <w:rtl/>
          </w:rPr>
          <w:t>סעיף</w:t>
        </w:r>
        <w:r w:rsidR="00024933" w:rsidRPr="00024933">
          <w:rPr>
            <w:rStyle w:val="Hyperlink"/>
            <w:sz w:val="22"/>
            <w:szCs w:val="24"/>
            <w:rtl/>
          </w:rPr>
          <w:t xml:space="preserve"> 348(א)</w:t>
        </w:r>
      </w:hyperlink>
      <w:r>
        <w:rPr>
          <w:rFonts w:hint="cs"/>
          <w:sz w:val="22"/>
          <w:szCs w:val="24"/>
          <w:rtl/>
        </w:rPr>
        <w:t xml:space="preserve"> ל</w:t>
      </w:r>
      <w:hyperlink r:id="rId17" w:history="1">
        <w:r w:rsidR="00B93D94" w:rsidRPr="00B93D94">
          <w:rPr>
            <w:rStyle w:val="Hyperlink"/>
            <w:rFonts w:hint="eastAsia"/>
            <w:sz w:val="22"/>
            <w:szCs w:val="24"/>
            <w:rtl/>
          </w:rPr>
          <w:t>חוק</w:t>
        </w:r>
        <w:r w:rsidR="00B93D94" w:rsidRPr="00B93D94">
          <w:rPr>
            <w:rStyle w:val="Hyperlink"/>
            <w:sz w:val="22"/>
            <w:szCs w:val="24"/>
            <w:rtl/>
          </w:rPr>
          <w:t xml:space="preserve"> העונשין</w:t>
        </w:r>
      </w:hyperlink>
      <w:r>
        <w:rPr>
          <w:rFonts w:hint="cs"/>
          <w:sz w:val="22"/>
          <w:szCs w:val="24"/>
          <w:rtl/>
        </w:rPr>
        <w:t>, תשל"ז - 1977 (להלן: החוק).</w:t>
      </w:r>
      <w:r>
        <w:rPr>
          <w:color w:val="FFFFFF"/>
          <w:sz w:val="4"/>
          <w:szCs w:val="4"/>
          <w:rtl/>
        </w:rPr>
        <w:t>ב</w:t>
      </w:r>
    </w:p>
    <w:p w14:paraId="73310878" w14:textId="77777777" w:rsidR="00A55500" w:rsidRDefault="00A55500">
      <w:pPr>
        <w:spacing w:after="80" w:line="320" w:lineRule="exact"/>
        <w:ind w:firstLine="283"/>
        <w:rPr>
          <w:rFonts w:hint="cs"/>
          <w:sz w:val="22"/>
          <w:szCs w:val="24"/>
          <w:rtl/>
        </w:rPr>
      </w:pPr>
    </w:p>
    <w:p w14:paraId="3B1ED8EF" w14:textId="77777777" w:rsidR="00A55500" w:rsidRDefault="00A55500">
      <w:pPr>
        <w:spacing w:after="80" w:line="320" w:lineRule="exact"/>
        <w:ind w:firstLine="283"/>
        <w:rPr>
          <w:rFonts w:hint="cs"/>
          <w:sz w:val="22"/>
          <w:szCs w:val="24"/>
          <w:rtl/>
        </w:rPr>
      </w:pPr>
      <w:r>
        <w:rPr>
          <w:rFonts w:hint="cs"/>
          <w:sz w:val="22"/>
          <w:szCs w:val="24"/>
          <w:rtl/>
        </w:rPr>
        <w:t>על-פי הנטען בכתב האישום, במועד שאינו ידוע במדוייק למאשימה, במהלך שנת 1994, בביתו של הנאשם ב....................., ביקש הנאשם מהמתלוננת, קטינה שטרם מלאו לה 14 שנים, להניח את ראשה על רגליו, וכשעשתה זאת, ליטף את רגילה של המתלוננת, מישש את איבר מינה וניסה להרים את חולצתה, ללא הסכמתה של המתלוננת ולשם גירוי, סיפוק או ביזוי מיניים.</w:t>
      </w:r>
      <w:r>
        <w:rPr>
          <w:color w:val="FFFFFF"/>
          <w:sz w:val="4"/>
          <w:szCs w:val="4"/>
          <w:rtl/>
        </w:rPr>
        <w:t>ו</w:t>
      </w:r>
    </w:p>
    <w:p w14:paraId="29750DAF" w14:textId="77777777" w:rsidR="00A55500" w:rsidRDefault="00A55500">
      <w:pPr>
        <w:spacing w:after="80" w:line="320" w:lineRule="exact"/>
        <w:ind w:firstLine="283"/>
        <w:rPr>
          <w:rFonts w:hint="cs"/>
          <w:sz w:val="22"/>
          <w:szCs w:val="24"/>
          <w:rtl/>
        </w:rPr>
      </w:pPr>
    </w:p>
    <w:p w14:paraId="0A9AC9A5" w14:textId="77777777" w:rsidR="00A55500" w:rsidRDefault="00A55500">
      <w:pPr>
        <w:spacing w:after="80" w:line="320" w:lineRule="exact"/>
        <w:ind w:firstLine="283"/>
        <w:rPr>
          <w:rFonts w:hint="cs"/>
          <w:sz w:val="22"/>
          <w:szCs w:val="24"/>
          <w:rtl/>
        </w:rPr>
      </w:pPr>
      <w:r>
        <w:rPr>
          <w:rFonts w:hint="cs"/>
          <w:sz w:val="22"/>
          <w:szCs w:val="24"/>
          <w:rtl/>
        </w:rPr>
        <w:t xml:space="preserve">על אף שלא נטען בכתב האישום באיזו נסיבה מהנסיבות המנויות </w:t>
      </w:r>
      <w:hyperlink r:id="rId18" w:history="1">
        <w:r w:rsidR="00024933" w:rsidRPr="00024933">
          <w:rPr>
            <w:rStyle w:val="Hyperlink"/>
            <w:rFonts w:hint="eastAsia"/>
            <w:sz w:val="22"/>
            <w:szCs w:val="24"/>
            <w:rtl/>
          </w:rPr>
          <w:t>בסעיף</w:t>
        </w:r>
        <w:r w:rsidR="00024933" w:rsidRPr="00024933">
          <w:rPr>
            <w:rStyle w:val="Hyperlink"/>
            <w:sz w:val="22"/>
            <w:szCs w:val="24"/>
            <w:rtl/>
          </w:rPr>
          <w:t xml:space="preserve"> 345(א)(1)</w:t>
        </w:r>
      </w:hyperlink>
      <w:r>
        <w:rPr>
          <w:rFonts w:hint="cs"/>
          <w:sz w:val="22"/>
          <w:szCs w:val="24"/>
          <w:rtl/>
        </w:rPr>
        <w:t xml:space="preserve"> - </w:t>
      </w:r>
      <w:hyperlink r:id="rId19" w:history="1">
        <w:r w:rsidR="00024933" w:rsidRPr="00024933">
          <w:rPr>
            <w:rStyle w:val="Hyperlink"/>
            <w:sz w:val="22"/>
            <w:szCs w:val="24"/>
            <w:rtl/>
          </w:rPr>
          <w:t>(5)</w:t>
        </w:r>
      </w:hyperlink>
      <w:r>
        <w:rPr>
          <w:rFonts w:hint="cs"/>
          <w:sz w:val="22"/>
          <w:szCs w:val="24"/>
          <w:rtl/>
        </w:rPr>
        <w:t xml:space="preserve"> נעשה המעשה המוגנה הנטען, כנדרש על-פי </w:t>
      </w:r>
      <w:hyperlink r:id="rId20" w:history="1">
        <w:r w:rsidR="00024933" w:rsidRPr="00024933">
          <w:rPr>
            <w:rStyle w:val="Hyperlink"/>
            <w:rFonts w:hint="eastAsia"/>
            <w:sz w:val="22"/>
            <w:szCs w:val="24"/>
            <w:rtl/>
          </w:rPr>
          <w:t>סעיף</w:t>
        </w:r>
        <w:r w:rsidR="00024933" w:rsidRPr="00024933">
          <w:rPr>
            <w:rStyle w:val="Hyperlink"/>
            <w:sz w:val="22"/>
            <w:szCs w:val="24"/>
            <w:rtl/>
          </w:rPr>
          <w:t xml:space="preserve"> 348(א)</w:t>
        </w:r>
      </w:hyperlink>
      <w:r>
        <w:rPr>
          <w:rFonts w:hint="cs"/>
          <w:sz w:val="22"/>
          <w:szCs w:val="24"/>
          <w:rtl/>
        </w:rPr>
        <w:t xml:space="preserve"> לחוק, נראה ע"פ האמור בכתב האישום שהכוונה היא שהמעשה הנטען נעשה בנסיבות המנויות </w:t>
      </w:r>
      <w:hyperlink r:id="rId21" w:history="1">
        <w:r w:rsidR="00024933" w:rsidRPr="00024933">
          <w:rPr>
            <w:rStyle w:val="Hyperlink"/>
            <w:sz w:val="4"/>
            <w:szCs w:val="4"/>
            <w:rtl/>
          </w:rPr>
          <w:t>בסעיף 345(א)(3).נ</w:t>
        </w:r>
      </w:hyperlink>
    </w:p>
    <w:p w14:paraId="6F3674F6" w14:textId="77777777" w:rsidR="00A55500" w:rsidRDefault="00A55500">
      <w:pPr>
        <w:spacing w:after="80" w:line="320" w:lineRule="exact"/>
        <w:ind w:firstLine="283"/>
        <w:rPr>
          <w:rFonts w:hint="cs"/>
          <w:sz w:val="22"/>
          <w:szCs w:val="24"/>
          <w:rtl/>
        </w:rPr>
      </w:pPr>
    </w:p>
    <w:p w14:paraId="17320026" w14:textId="77777777" w:rsidR="00A55500" w:rsidRDefault="00A55500">
      <w:pPr>
        <w:spacing w:after="80" w:line="320" w:lineRule="exact"/>
        <w:ind w:firstLine="283"/>
        <w:rPr>
          <w:rFonts w:hint="cs"/>
          <w:sz w:val="22"/>
          <w:szCs w:val="24"/>
          <w:rtl/>
        </w:rPr>
      </w:pPr>
      <w:r>
        <w:rPr>
          <w:rFonts w:hint="cs"/>
          <w:sz w:val="22"/>
          <w:szCs w:val="24"/>
          <w:rtl/>
        </w:rPr>
        <w:t>גירסת המאשימה מתבססת על עדויותיהם בבית המשפט של המתלוננת ושל חוקר הנוער שחקר את המתלוננת, מיכה הרן (להלן - חוקר הנוער) מיום 2.1.97 (ת/2) ועל דו"ח התרשמותו של חוקר הנוער מהמתלוננת (ת/3).</w:t>
      </w:r>
      <w:r>
        <w:rPr>
          <w:color w:val="FFFFFF"/>
          <w:sz w:val="4"/>
          <w:szCs w:val="4"/>
          <w:rtl/>
        </w:rPr>
        <w:t>ב</w:t>
      </w:r>
    </w:p>
    <w:p w14:paraId="743C722A" w14:textId="77777777" w:rsidR="00A55500" w:rsidRDefault="00A55500">
      <w:pPr>
        <w:spacing w:after="80" w:line="320" w:lineRule="exact"/>
        <w:ind w:firstLine="283"/>
        <w:rPr>
          <w:rFonts w:hint="cs"/>
          <w:sz w:val="22"/>
          <w:szCs w:val="24"/>
          <w:rtl/>
        </w:rPr>
      </w:pPr>
    </w:p>
    <w:p w14:paraId="4DF4B695" w14:textId="77777777" w:rsidR="00A55500" w:rsidRDefault="00A55500">
      <w:pPr>
        <w:spacing w:after="80" w:line="320" w:lineRule="exact"/>
        <w:ind w:firstLine="283"/>
        <w:rPr>
          <w:rFonts w:hint="cs"/>
          <w:sz w:val="22"/>
          <w:szCs w:val="24"/>
          <w:rtl/>
        </w:rPr>
      </w:pPr>
      <w:r>
        <w:rPr>
          <w:rFonts w:hint="cs"/>
          <w:sz w:val="22"/>
          <w:szCs w:val="24"/>
          <w:rtl/>
        </w:rPr>
        <w:t>לענין ה"כפילות" לכאורה בעדות המתלוננת לפני בית המשפט ולפני חוקר הנוער פסק כדלקמן:</w:t>
      </w:r>
    </w:p>
    <w:p w14:paraId="400D5FC0" w14:textId="77777777" w:rsidR="00A55500" w:rsidRDefault="00A55500">
      <w:pPr>
        <w:spacing w:after="80" w:line="320" w:lineRule="exact"/>
        <w:ind w:firstLine="283"/>
        <w:rPr>
          <w:rFonts w:hint="cs"/>
          <w:sz w:val="22"/>
          <w:szCs w:val="24"/>
          <w:rtl/>
        </w:rPr>
      </w:pPr>
    </w:p>
    <w:p w14:paraId="5C1F189F" w14:textId="77777777" w:rsidR="00A55500" w:rsidRDefault="00A55500">
      <w:pPr>
        <w:pStyle w:val="a1"/>
        <w:spacing w:after="80" w:line="320" w:lineRule="exact"/>
        <w:ind w:left="0" w:right="0" w:firstLine="283"/>
        <w:rPr>
          <w:rFonts w:cs="David" w:hint="cs"/>
          <w:b w:val="0"/>
          <w:bCs w:val="0"/>
          <w:sz w:val="22"/>
          <w:szCs w:val="24"/>
          <w:rtl/>
        </w:rPr>
      </w:pPr>
      <w:r>
        <w:rPr>
          <w:rFonts w:cs="David" w:hint="cs"/>
          <w:sz w:val="22"/>
          <w:szCs w:val="24"/>
          <w:rtl/>
        </w:rPr>
        <w:t>”"נמצא, כי בפסיקתו אישר בית המשפט את קבילותה של עדות בפני חוקר נוער גם כשהילד העיד בבית המשפט. אכן, פסיקה זו דנה בעדותו של ילד, שהעיד בבית המשפט לאחר שהגיע לגיל 14, ויצא מההגנה שמעניק החוק. אולם יש להחילה גם על מצב שבו העיד הילד באישורו של חוקר הנוער, בכפוף להוראת סעיף 2(ג) [</w:t>
      </w:r>
      <w:r>
        <w:rPr>
          <w:rFonts w:cs="David" w:hint="cs"/>
          <w:b w:val="0"/>
          <w:bCs w:val="0"/>
          <w:sz w:val="22"/>
          <w:szCs w:val="24"/>
          <w:rtl/>
        </w:rPr>
        <w:t>החוק לתיקון דיני הראיות(הגנת ילדים), תשט"ו - 1955-ש.ד]...</w:t>
      </w:r>
      <w:r>
        <w:rPr>
          <w:rFonts w:cs="David"/>
          <w:b w:val="0"/>
          <w:bCs w:val="0"/>
          <w:color w:val="FFFFFF"/>
          <w:sz w:val="4"/>
          <w:szCs w:val="4"/>
          <w:rtl/>
        </w:rPr>
        <w:t>ו</w:t>
      </w:r>
    </w:p>
    <w:p w14:paraId="30007DBB" w14:textId="77777777" w:rsidR="00A55500" w:rsidRDefault="00A55500">
      <w:pPr>
        <w:pStyle w:val="a1"/>
        <w:spacing w:after="80" w:line="320" w:lineRule="exact"/>
        <w:ind w:left="0" w:right="0" w:firstLine="283"/>
        <w:rPr>
          <w:rFonts w:cs="David" w:hint="cs"/>
          <w:sz w:val="22"/>
          <w:szCs w:val="24"/>
          <w:rtl/>
        </w:rPr>
      </w:pPr>
      <w:r>
        <w:rPr>
          <w:rFonts w:cs="David" w:hint="cs"/>
          <w:sz w:val="22"/>
          <w:szCs w:val="24"/>
          <w:rtl/>
        </w:rPr>
        <w:t>---</w:t>
      </w:r>
    </w:p>
    <w:p w14:paraId="1DE42CFA" w14:textId="77777777" w:rsidR="00A55500" w:rsidRDefault="00A55500">
      <w:pPr>
        <w:pStyle w:val="a1"/>
        <w:spacing w:after="80" w:line="320" w:lineRule="exact"/>
        <w:ind w:left="0" w:right="0" w:firstLine="283"/>
        <w:rPr>
          <w:rFonts w:cs="David" w:hint="cs"/>
          <w:sz w:val="22"/>
          <w:szCs w:val="24"/>
          <w:rtl/>
        </w:rPr>
      </w:pPr>
      <w:r>
        <w:rPr>
          <w:rFonts w:cs="David" w:hint="cs"/>
          <w:sz w:val="22"/>
          <w:szCs w:val="24"/>
          <w:rtl/>
        </w:rPr>
        <w:t>בית המשפט רשאי לקבל את העדות בפני חוקר הנוער, אך את משקלה יקבע בהתאם למידת השלמתה של עדות הילד בפניו. משמע, מדובר במעין 'כפות מאזניים' שעליהן מונחות שתי העדויות: ככל שהעדות בפני בית המשפט שלמה יותר, ניתן יהא לייחס פחות משקל לעדות בפני חוקר הנוער, ולהפך...</w:t>
      </w:r>
      <w:r>
        <w:rPr>
          <w:rFonts w:cs="David"/>
          <w:color w:val="FFFFFF"/>
          <w:sz w:val="4"/>
          <w:szCs w:val="4"/>
          <w:rtl/>
        </w:rPr>
        <w:t>נ</w:t>
      </w:r>
    </w:p>
    <w:p w14:paraId="559E3595" w14:textId="77777777" w:rsidR="00A55500" w:rsidRDefault="00A55500">
      <w:pPr>
        <w:pStyle w:val="a1"/>
        <w:spacing w:after="80" w:line="320" w:lineRule="exact"/>
        <w:ind w:left="0" w:right="0" w:firstLine="283"/>
        <w:rPr>
          <w:rFonts w:cs="David" w:hint="cs"/>
          <w:sz w:val="22"/>
          <w:szCs w:val="24"/>
          <w:rtl/>
        </w:rPr>
      </w:pPr>
      <w:r>
        <w:rPr>
          <w:rFonts w:cs="David" w:hint="cs"/>
          <w:sz w:val="22"/>
          <w:szCs w:val="24"/>
          <w:rtl/>
        </w:rPr>
        <w:t>---</w:t>
      </w:r>
    </w:p>
    <w:p w14:paraId="317A68E6" w14:textId="77777777" w:rsidR="00A55500" w:rsidRDefault="00A55500">
      <w:pPr>
        <w:pStyle w:val="a1"/>
        <w:spacing w:after="80" w:line="320" w:lineRule="exact"/>
        <w:ind w:left="0" w:right="0" w:firstLine="283"/>
        <w:rPr>
          <w:rFonts w:cs="David" w:hint="cs"/>
          <w:b w:val="0"/>
          <w:bCs w:val="0"/>
          <w:sz w:val="22"/>
          <w:szCs w:val="24"/>
          <w:rtl/>
        </w:rPr>
      </w:pPr>
      <w:r>
        <w:rPr>
          <w:rFonts w:cs="David" w:hint="cs"/>
          <w:sz w:val="22"/>
          <w:szCs w:val="24"/>
          <w:rtl/>
        </w:rPr>
        <w:t>גם כאן, כבעניין העדות בבית המשפט מול העדות בפני חוקר הנוער, נכון יהיה לראות את הראיות משלימות זו את זו, ולא כחלופיות זו לזו. ככל שמספקת עדות הילד בבית המשפט להעריך את מהימנותה, כך יקטן הצורך של בית המשפט להיעזר בחוות דעתו של חוקר הנוער, ויפחת משקלה בהתאם, וככל שיימנע מבית המשפט, עקב הפסקת העדות, להעריך כראוי את מהימנותה, כן יגדל משקלה של חוות הדעת."</w:t>
      </w:r>
      <w:r>
        <w:rPr>
          <w:rFonts w:cs="David" w:hint="cs"/>
          <w:b w:val="0"/>
          <w:bCs w:val="0"/>
          <w:sz w:val="22"/>
          <w:szCs w:val="24"/>
          <w:rtl/>
        </w:rPr>
        <w:t>[</w:t>
      </w:r>
      <w:hyperlink r:id="rId22" w:history="1">
        <w:r w:rsidR="00B93D94" w:rsidRPr="00B93D94">
          <w:rPr>
            <w:rStyle w:val="Hyperlink"/>
            <w:rFonts w:cs="David" w:hint="eastAsia"/>
            <w:b w:val="0"/>
            <w:bCs w:val="0"/>
            <w:sz w:val="22"/>
            <w:szCs w:val="24"/>
            <w:rtl/>
          </w:rPr>
          <w:t>רע</w:t>
        </w:r>
        <w:r w:rsidR="00B93D94" w:rsidRPr="00B93D94">
          <w:rPr>
            <w:rStyle w:val="Hyperlink"/>
            <w:rFonts w:cs="David"/>
            <w:b w:val="0"/>
            <w:bCs w:val="0"/>
            <w:sz w:val="22"/>
            <w:szCs w:val="24"/>
            <w:rtl/>
          </w:rPr>
          <w:t>"פ 3904/96 מזרחי נ' מ"י, פ"ד נא</w:t>
        </w:r>
      </w:hyperlink>
      <w:r>
        <w:rPr>
          <w:rFonts w:cs="David" w:hint="cs"/>
          <w:b w:val="0"/>
          <w:bCs w:val="0"/>
          <w:sz w:val="22"/>
          <w:szCs w:val="24"/>
          <w:rtl/>
        </w:rPr>
        <w:t>' (1) 385 400-402].</w:t>
      </w:r>
      <w:r>
        <w:rPr>
          <w:rFonts w:cs="David"/>
          <w:b w:val="0"/>
          <w:bCs w:val="0"/>
          <w:color w:val="FFFFFF"/>
          <w:sz w:val="4"/>
          <w:szCs w:val="4"/>
          <w:rtl/>
        </w:rPr>
        <w:t>ב</w:t>
      </w:r>
    </w:p>
    <w:p w14:paraId="40171C3E" w14:textId="77777777" w:rsidR="00A55500" w:rsidRDefault="00A55500">
      <w:pPr>
        <w:pStyle w:val="a1"/>
        <w:spacing w:after="80" w:line="320" w:lineRule="exact"/>
        <w:ind w:left="0" w:right="0" w:firstLine="283"/>
        <w:rPr>
          <w:rFonts w:cs="David" w:hint="cs"/>
          <w:b w:val="0"/>
          <w:bCs w:val="0"/>
          <w:sz w:val="22"/>
          <w:szCs w:val="24"/>
          <w:rtl/>
        </w:rPr>
      </w:pPr>
    </w:p>
    <w:p w14:paraId="51A34473" w14:textId="77777777" w:rsidR="00A55500" w:rsidRDefault="00A55500">
      <w:pPr>
        <w:pStyle w:val="a1"/>
        <w:spacing w:after="80" w:line="320" w:lineRule="exact"/>
        <w:ind w:left="0" w:right="0" w:firstLine="283"/>
        <w:rPr>
          <w:rFonts w:cs="David" w:hint="cs"/>
          <w:sz w:val="22"/>
          <w:szCs w:val="24"/>
          <w:rtl/>
        </w:rPr>
      </w:pPr>
      <w:r>
        <w:rPr>
          <w:rFonts w:cs="David" w:hint="cs"/>
          <w:sz w:val="22"/>
          <w:szCs w:val="24"/>
          <w:rtl/>
        </w:rPr>
        <w:t>"ניתן לסכם ולקבוע לענין קבילות העדות בפני חוקר הנוער, לרבות חוות דעת ודין וחשבון שערך החוקר, כי אין כל הבחנה או הבדל בין ילד, המעיד בבית המשפט בטרם מלאו לו ארבע עשרה שנה (באישור חוקר נוער), לבין קטין, המעיד לאחר שמלאו לו ארבע עשרה שנה. בשני המקרים הראיות, שנגבו או נערכו על ידי חוקר הנוער, קבילות הן, כאשר בית המשפט ייתן דעתו למשקלן של הראיות כולן - הן אלה שנשמעו על ידו מכלי ראשון באולם בית המשפט והן אלה שנגבו על ידי חוקר הנוער מחוץ לכותלי בית המשפט, והוא מתרשם מהן אך מכלי שני.</w:t>
      </w:r>
      <w:r>
        <w:rPr>
          <w:rFonts w:cs="David"/>
          <w:color w:val="FFFFFF"/>
          <w:sz w:val="4"/>
          <w:szCs w:val="4"/>
          <w:rtl/>
        </w:rPr>
        <w:t>ו</w:t>
      </w:r>
    </w:p>
    <w:p w14:paraId="7F85C604" w14:textId="77777777" w:rsidR="00A55500" w:rsidRDefault="00A55500">
      <w:pPr>
        <w:pStyle w:val="a1"/>
        <w:spacing w:after="80" w:line="320" w:lineRule="exact"/>
        <w:ind w:left="0" w:right="0" w:firstLine="283"/>
        <w:rPr>
          <w:rFonts w:cs="David" w:hint="cs"/>
          <w:b w:val="0"/>
          <w:bCs w:val="0"/>
          <w:sz w:val="22"/>
          <w:szCs w:val="24"/>
          <w:rtl/>
        </w:rPr>
      </w:pPr>
      <w:r>
        <w:rPr>
          <w:rFonts w:cs="David" w:hint="cs"/>
          <w:sz w:val="22"/>
          <w:szCs w:val="24"/>
          <w:u w:val="single"/>
          <w:rtl/>
        </w:rPr>
        <w:t xml:space="preserve">בפנינו איפוא שני מסלולי קבלת עדויות וראיות מקבילים, ולא חלופיים </w:t>
      </w:r>
      <w:r>
        <w:rPr>
          <w:rFonts w:cs="David" w:hint="cs"/>
          <w:b w:val="0"/>
          <w:bCs w:val="0"/>
          <w:sz w:val="22"/>
          <w:szCs w:val="24"/>
          <w:rtl/>
        </w:rPr>
        <w:t>(ההדגשה שלי-ש.ד.)</w:t>
      </w:r>
      <w:r>
        <w:rPr>
          <w:rFonts w:cs="David" w:hint="cs"/>
          <w:sz w:val="22"/>
          <w:szCs w:val="24"/>
          <w:rtl/>
        </w:rPr>
        <w:t>"</w:t>
      </w:r>
      <w:r>
        <w:rPr>
          <w:rFonts w:cs="David" w:hint="cs"/>
          <w:b w:val="0"/>
          <w:bCs w:val="0"/>
          <w:sz w:val="22"/>
          <w:szCs w:val="24"/>
          <w:rtl/>
        </w:rPr>
        <w:t xml:space="preserve"> [א' סטרשנוב, </w:t>
      </w:r>
      <w:r>
        <w:rPr>
          <w:rFonts w:cs="David" w:hint="cs"/>
          <w:sz w:val="22"/>
          <w:szCs w:val="24"/>
          <w:rtl/>
        </w:rPr>
        <w:t>"ילדים ונוער בראי המשפט"</w:t>
      </w:r>
      <w:r>
        <w:rPr>
          <w:rFonts w:cs="David" w:hint="cs"/>
          <w:b w:val="0"/>
          <w:bCs w:val="0"/>
          <w:sz w:val="22"/>
          <w:szCs w:val="24"/>
          <w:rtl/>
        </w:rPr>
        <w:t xml:space="preserve"> (ההוצאה לאור של לשכת עורכי הדין, תש"ס - 2000) 76].</w:t>
      </w:r>
      <w:r>
        <w:rPr>
          <w:rFonts w:cs="David"/>
          <w:b w:val="0"/>
          <w:bCs w:val="0"/>
          <w:color w:val="FFFFFF"/>
          <w:sz w:val="4"/>
          <w:szCs w:val="4"/>
          <w:rtl/>
        </w:rPr>
        <w:t>נ</w:t>
      </w:r>
    </w:p>
    <w:p w14:paraId="4A0A8A47" w14:textId="77777777" w:rsidR="00A55500" w:rsidRDefault="00A55500">
      <w:pPr>
        <w:pStyle w:val="a1"/>
        <w:spacing w:after="80" w:line="320" w:lineRule="exact"/>
        <w:ind w:left="0" w:right="0" w:firstLine="283"/>
        <w:rPr>
          <w:rFonts w:cs="David" w:hint="cs"/>
          <w:b w:val="0"/>
          <w:bCs w:val="0"/>
          <w:sz w:val="22"/>
          <w:szCs w:val="24"/>
          <w:rtl/>
        </w:rPr>
      </w:pPr>
    </w:p>
    <w:p w14:paraId="1167A554" w14:textId="77777777" w:rsidR="00A55500" w:rsidRDefault="00A55500">
      <w:pPr>
        <w:spacing w:after="80" w:line="320" w:lineRule="exact"/>
        <w:ind w:firstLine="283"/>
        <w:rPr>
          <w:rFonts w:hint="cs"/>
          <w:sz w:val="22"/>
          <w:szCs w:val="24"/>
          <w:rtl/>
        </w:rPr>
      </w:pPr>
      <w:r>
        <w:rPr>
          <w:rFonts w:hint="cs"/>
          <w:sz w:val="22"/>
          <w:szCs w:val="24"/>
          <w:rtl/>
        </w:rPr>
        <w:t>המתלוננת סיפרה בעדותה הראשית בבית המשפט,כי באחד מהערבים של שנת 1994 היא הלכה לישון בבית חברתה, פלונית, שהינה בתו של הנאשם (להלן:פלונית). היא ופלונית צפו בטלויזיה בסלון, כל אחת מהן ישבה על ספה אחרת. לאחר שפלונית נרדמה, הנאשם התיישב לידה, אמר לה לשים את ראשה על רגליו, ומשעשתה זאת, מישש בידו את איבר מינה ולאחר מכן ניסה להרים את חולצתה (עמ' 4 ש' 28-19). בתגובה למעשה המתואר לעיל, היא קמה, אמרה לנאשם שיניח לה והמשיכה לשבת על הספה ולצפות בטלויזיה (עמ' 4 שורות 32-30).</w:t>
      </w:r>
      <w:r>
        <w:rPr>
          <w:color w:val="FFFFFF"/>
          <w:sz w:val="4"/>
          <w:szCs w:val="4"/>
          <w:rtl/>
        </w:rPr>
        <w:t>ב</w:t>
      </w:r>
    </w:p>
    <w:p w14:paraId="503E51B2" w14:textId="77777777" w:rsidR="00A55500" w:rsidRDefault="00A55500">
      <w:pPr>
        <w:spacing w:after="80" w:line="320" w:lineRule="exact"/>
        <w:ind w:firstLine="283"/>
        <w:rPr>
          <w:rFonts w:hint="cs"/>
          <w:sz w:val="22"/>
          <w:szCs w:val="24"/>
          <w:rtl/>
        </w:rPr>
      </w:pPr>
    </w:p>
    <w:p w14:paraId="01D0ECC3" w14:textId="77777777" w:rsidR="00A55500" w:rsidRDefault="00A55500">
      <w:pPr>
        <w:spacing w:after="80" w:line="320" w:lineRule="exact"/>
        <w:ind w:firstLine="283"/>
        <w:rPr>
          <w:rFonts w:hint="cs"/>
          <w:sz w:val="22"/>
          <w:szCs w:val="24"/>
          <w:rtl/>
        </w:rPr>
      </w:pPr>
      <w:r>
        <w:rPr>
          <w:rFonts w:hint="cs"/>
          <w:sz w:val="22"/>
          <w:szCs w:val="24"/>
          <w:rtl/>
        </w:rPr>
        <w:lastRenderedPageBreak/>
        <w:t>התיאור שמסרה המתלוננת בעדותה הראשית תואם, בעיקרו, לתיאור שהיא מסרה בת/2 (עמ' 9 שורות 19-8, עמ' 12 ש' 14-3 ועמ' 13 ש' 12-2) ובחקירתה הנגדית (עמ' 10 שורות 6-7 ושורות 19-20 עמ' 11 שורה 11).</w:t>
      </w:r>
      <w:r>
        <w:rPr>
          <w:color w:val="FFFFFF"/>
          <w:sz w:val="4"/>
          <w:szCs w:val="4"/>
          <w:rtl/>
        </w:rPr>
        <w:t>ו</w:t>
      </w:r>
    </w:p>
    <w:p w14:paraId="4717B92D" w14:textId="77777777" w:rsidR="00A55500" w:rsidRDefault="00A55500">
      <w:pPr>
        <w:spacing w:after="80" w:line="320" w:lineRule="exact"/>
        <w:ind w:firstLine="283"/>
        <w:rPr>
          <w:rFonts w:hint="cs"/>
          <w:sz w:val="22"/>
          <w:szCs w:val="24"/>
          <w:rtl/>
        </w:rPr>
      </w:pPr>
    </w:p>
    <w:p w14:paraId="7427C000" w14:textId="77777777" w:rsidR="00A55500" w:rsidRDefault="00A55500">
      <w:pPr>
        <w:spacing w:after="80" w:line="320" w:lineRule="exact"/>
        <w:ind w:firstLine="283"/>
        <w:rPr>
          <w:rFonts w:hint="cs"/>
          <w:sz w:val="22"/>
          <w:szCs w:val="24"/>
          <w:rtl/>
        </w:rPr>
      </w:pPr>
      <w:r>
        <w:rPr>
          <w:rFonts w:hint="cs"/>
          <w:sz w:val="22"/>
          <w:szCs w:val="24"/>
          <w:rtl/>
        </w:rPr>
        <w:t>הן בת/2 והן בחקירתה הנגדית ציינה המתלוננת, כי לפני שהנאשם מישש את איבר מינה הוא נגע לה בברך (עמ' 11 שורות 7-9 וכן ת/2 עמ' 12 שורות 9-10) ובת/2 אף ציינה המתלוננת, כי הנאשם מישש את איבר מינה מעל בגדיה (עמ' 12 שורות 17-19 ועמ' 16 שורות 6-7).</w:t>
      </w:r>
      <w:r>
        <w:rPr>
          <w:color w:val="FFFFFF"/>
          <w:sz w:val="4"/>
          <w:szCs w:val="4"/>
          <w:rtl/>
        </w:rPr>
        <w:t>נ</w:t>
      </w:r>
    </w:p>
    <w:p w14:paraId="33FDA9E0" w14:textId="77777777" w:rsidR="00A55500" w:rsidRDefault="00A55500">
      <w:pPr>
        <w:spacing w:after="80" w:line="320" w:lineRule="exact"/>
        <w:ind w:firstLine="283"/>
        <w:rPr>
          <w:rFonts w:hint="cs"/>
          <w:sz w:val="22"/>
          <w:szCs w:val="24"/>
          <w:rtl/>
        </w:rPr>
      </w:pPr>
    </w:p>
    <w:p w14:paraId="256AC32E" w14:textId="77777777" w:rsidR="00A55500" w:rsidRDefault="00A55500">
      <w:pPr>
        <w:spacing w:after="80" w:line="320" w:lineRule="exact"/>
        <w:ind w:firstLine="283"/>
        <w:rPr>
          <w:rFonts w:hint="cs"/>
          <w:sz w:val="22"/>
          <w:szCs w:val="24"/>
          <w:rtl/>
        </w:rPr>
      </w:pPr>
      <w:r>
        <w:rPr>
          <w:rFonts w:hint="cs"/>
          <w:sz w:val="22"/>
          <w:szCs w:val="24"/>
          <w:rtl/>
        </w:rPr>
        <w:t>הנאשם, לעומת זאת, הכחיש, בהודעתו במשטרה מיום 13.1.97, אשר הוגשה כראיה בהסכמת הצדדים (ת/4), וגם בעדותו בבית המשפט, כי הוא ליטף את רגלה של המתלוננת, מישש את איבר מינה וניסה להרים את חולצתה (ראה עמ' 21 שורות 11-12 וכן ת/4 עמ' 1 שורות 24 ו- 28).</w:t>
      </w:r>
      <w:r>
        <w:rPr>
          <w:color w:val="FFFFFF"/>
          <w:sz w:val="4"/>
          <w:szCs w:val="4"/>
          <w:rtl/>
        </w:rPr>
        <w:t>ב</w:t>
      </w:r>
    </w:p>
    <w:p w14:paraId="0BCE7629" w14:textId="77777777" w:rsidR="00A55500" w:rsidRDefault="00A55500">
      <w:pPr>
        <w:spacing w:after="80" w:line="320" w:lineRule="exact"/>
        <w:ind w:firstLine="283"/>
        <w:rPr>
          <w:rFonts w:hint="cs"/>
          <w:sz w:val="22"/>
          <w:szCs w:val="24"/>
          <w:rtl/>
        </w:rPr>
      </w:pPr>
      <w:r>
        <w:rPr>
          <w:rFonts w:hint="cs"/>
          <w:sz w:val="22"/>
          <w:szCs w:val="24"/>
          <w:rtl/>
        </w:rPr>
        <w:t>בת/4 סיפר הנאשם, כי ייתכן שכאשר הוא ביקש מהמתלוננת לקום מהספה וללכת לישון בחדר, הוא נגע, בטעות, ברגלה נגיעה אבהית שלא היתה מלווה בכל כוונה מינית (עמ' 1 שורות 22-28 ועמ' 3 שורות 18-20).</w:t>
      </w:r>
      <w:r>
        <w:rPr>
          <w:color w:val="FFFFFF"/>
          <w:sz w:val="4"/>
          <w:szCs w:val="4"/>
          <w:rtl/>
        </w:rPr>
        <w:t>ו</w:t>
      </w:r>
    </w:p>
    <w:p w14:paraId="0A97AA16" w14:textId="77777777" w:rsidR="00A55500" w:rsidRDefault="00A55500">
      <w:pPr>
        <w:spacing w:after="80" w:line="320" w:lineRule="exact"/>
        <w:ind w:firstLine="283"/>
        <w:rPr>
          <w:rFonts w:hint="cs"/>
          <w:sz w:val="22"/>
          <w:szCs w:val="24"/>
          <w:rtl/>
        </w:rPr>
      </w:pPr>
    </w:p>
    <w:p w14:paraId="7764C164" w14:textId="77777777" w:rsidR="00A55500" w:rsidRDefault="00A55500">
      <w:pPr>
        <w:spacing w:after="80" w:line="320" w:lineRule="exact"/>
        <w:ind w:firstLine="283"/>
        <w:rPr>
          <w:rFonts w:hint="cs"/>
          <w:sz w:val="22"/>
          <w:szCs w:val="24"/>
          <w:rtl/>
        </w:rPr>
      </w:pPr>
      <w:r>
        <w:rPr>
          <w:rFonts w:hint="cs"/>
          <w:sz w:val="22"/>
          <w:szCs w:val="24"/>
          <w:rtl/>
        </w:rPr>
        <w:t>כשנתבקשה המתלוננת להתייחס לגירסת הנאשם, היא השיבה, כי היא בטוחה במאה אחוז שהנאשם לא נגע בה נגיעה מקרית, היות והוא ממש מישש את איבר מינה ולאחר מכן אף ניסה להרים את חולצתה (עמ' 5 שרות 4-7, עמ' 6 שורות 5-6, עמ' 12 שורות 4-9 ות/2 עמ' 15 שורה 25 עמ' 16 שורה 5).</w:t>
      </w:r>
      <w:r>
        <w:rPr>
          <w:color w:val="FFFFFF"/>
          <w:sz w:val="4"/>
          <w:szCs w:val="4"/>
          <w:rtl/>
        </w:rPr>
        <w:t>נ</w:t>
      </w:r>
    </w:p>
    <w:p w14:paraId="6F5C0A64" w14:textId="77777777" w:rsidR="00A55500" w:rsidRDefault="00A55500">
      <w:pPr>
        <w:spacing w:after="80" w:line="320" w:lineRule="exact"/>
        <w:ind w:firstLine="283"/>
        <w:rPr>
          <w:rFonts w:hint="cs"/>
          <w:sz w:val="22"/>
          <w:szCs w:val="24"/>
          <w:rtl/>
        </w:rPr>
      </w:pPr>
    </w:p>
    <w:p w14:paraId="3907A247" w14:textId="77777777" w:rsidR="00A55500" w:rsidRDefault="00A55500">
      <w:pPr>
        <w:spacing w:after="80" w:line="320" w:lineRule="exact"/>
        <w:ind w:firstLine="283"/>
        <w:rPr>
          <w:rFonts w:hint="cs"/>
          <w:sz w:val="22"/>
          <w:szCs w:val="24"/>
          <w:rtl/>
        </w:rPr>
      </w:pPr>
      <w:r>
        <w:rPr>
          <w:rFonts w:hint="cs"/>
          <w:sz w:val="22"/>
          <w:szCs w:val="24"/>
          <w:rtl/>
        </w:rPr>
        <w:t>עם זאת, גם בת/2 וגם בעדותה בבית המשפט לא זכרה המתלוננת פרטים מהותיים מהארוע נושא כתב האישום.</w:t>
      </w:r>
      <w:r>
        <w:rPr>
          <w:color w:val="FFFFFF"/>
          <w:sz w:val="4"/>
          <w:szCs w:val="4"/>
          <w:rtl/>
        </w:rPr>
        <w:t>ב</w:t>
      </w:r>
    </w:p>
    <w:p w14:paraId="74E952AF" w14:textId="77777777" w:rsidR="00A55500" w:rsidRDefault="00A55500">
      <w:pPr>
        <w:spacing w:after="80" w:line="320" w:lineRule="exact"/>
        <w:ind w:firstLine="283"/>
        <w:rPr>
          <w:rFonts w:hint="cs"/>
          <w:sz w:val="22"/>
          <w:szCs w:val="24"/>
          <w:rtl/>
        </w:rPr>
      </w:pPr>
    </w:p>
    <w:p w14:paraId="3615FC0F" w14:textId="77777777" w:rsidR="00A55500" w:rsidRDefault="00A55500">
      <w:pPr>
        <w:spacing w:after="80" w:line="320" w:lineRule="exact"/>
        <w:ind w:firstLine="283"/>
        <w:rPr>
          <w:rFonts w:hint="cs"/>
          <w:sz w:val="22"/>
          <w:szCs w:val="24"/>
          <w:rtl/>
        </w:rPr>
      </w:pPr>
      <w:r>
        <w:rPr>
          <w:rFonts w:hint="cs"/>
          <w:sz w:val="22"/>
          <w:szCs w:val="24"/>
          <w:rtl/>
        </w:rPr>
        <w:t>המתלוננת לא זכרה אם הארוע ארע בחורף או בקיץ (עמ' 8 שורות 28-31). היא לא זכרה כיצד הגיב הנאשם לאחר הארוע (עמ' 4 שורות 33-34, עמ' 11 שורה 37, עמ' 12 שורה 1 וכן ת/2 שורות 12-15). כמו כן, לא זכרה מי קם ראשון מהספה עליה ארע הארוע - היא או הנאשם (עמ' 10 שורות 27-28 ועמ' 11 שורות 24-27). היא גם לא זכרה מה היא לבשה בעת הארוע (עמ' 5 שורות 2-3, עמ' 9 שורה 37, עמ' 10 שורה 1 ו- ת/2 עמ' 12 שורות 20-25), אף לא זכרה אם הנאשם היה לבוש בעת הארוע (עמ' 10 שורות 26-37 ות/2 עמ' 18 שורות 3-4), ואם כן, מה הוא לבש (עמ' 11 שורות 1-2).</w:t>
      </w:r>
      <w:r>
        <w:rPr>
          <w:color w:val="FFFFFF"/>
          <w:sz w:val="4"/>
          <w:szCs w:val="4"/>
          <w:rtl/>
        </w:rPr>
        <w:t>ו</w:t>
      </w:r>
    </w:p>
    <w:p w14:paraId="0473A84A" w14:textId="77777777" w:rsidR="00A55500" w:rsidRDefault="00A55500">
      <w:pPr>
        <w:spacing w:after="80" w:line="320" w:lineRule="exact"/>
        <w:ind w:firstLine="283"/>
        <w:rPr>
          <w:rFonts w:hint="cs"/>
          <w:sz w:val="22"/>
          <w:szCs w:val="24"/>
          <w:rtl/>
        </w:rPr>
      </w:pPr>
    </w:p>
    <w:p w14:paraId="640BD461" w14:textId="77777777" w:rsidR="00A55500" w:rsidRDefault="00A55500">
      <w:pPr>
        <w:spacing w:after="80" w:line="320" w:lineRule="exact"/>
        <w:ind w:firstLine="283"/>
        <w:rPr>
          <w:rFonts w:hint="cs"/>
          <w:sz w:val="22"/>
          <w:szCs w:val="24"/>
          <w:rtl/>
        </w:rPr>
      </w:pPr>
      <w:r>
        <w:rPr>
          <w:rFonts w:hint="cs"/>
          <w:sz w:val="22"/>
          <w:szCs w:val="24"/>
          <w:rtl/>
        </w:rPr>
        <w:t>בחקירתו הנגדית אישר חוקר הנוער, כי חוקרי הנוער משתדלים להגיע למירב הפרטים בעת חקירת הקטין ועדיף שהסיפור יהיה עם הרבה פרטים, שכן אחת מהאינדיקציות ל"אמיתות" הסיפור שמספר הקטין היא ריבוי פרטים של הארוע (עמ' 5 לפר' מיום 22.2.99 שורות 16-17). על כן, לכאורה, חסרונם של פרטים כה מהותיים של הארוע בגירסת המתלוננת, מחליש את מהימנות גירסתה. במיוחד תמוה הוא שהמתלוננת לא זכרה אם הארוע ארע בחורף או בקיץ.</w:t>
      </w:r>
      <w:r>
        <w:rPr>
          <w:color w:val="FFFFFF"/>
          <w:sz w:val="4"/>
          <w:szCs w:val="4"/>
          <w:rtl/>
        </w:rPr>
        <w:t>נ</w:t>
      </w:r>
    </w:p>
    <w:p w14:paraId="34DF819A" w14:textId="77777777" w:rsidR="00A55500" w:rsidRDefault="00A55500">
      <w:pPr>
        <w:spacing w:after="80" w:line="320" w:lineRule="exact"/>
        <w:ind w:firstLine="283"/>
        <w:rPr>
          <w:rFonts w:hint="cs"/>
          <w:sz w:val="22"/>
          <w:szCs w:val="24"/>
          <w:rtl/>
        </w:rPr>
      </w:pPr>
    </w:p>
    <w:p w14:paraId="7D7BCE27" w14:textId="77777777" w:rsidR="00A55500" w:rsidRDefault="00A55500">
      <w:pPr>
        <w:spacing w:after="80" w:line="320" w:lineRule="exact"/>
        <w:ind w:firstLine="283"/>
        <w:rPr>
          <w:rFonts w:hint="cs"/>
          <w:sz w:val="22"/>
          <w:szCs w:val="24"/>
          <w:rtl/>
        </w:rPr>
      </w:pPr>
      <w:r>
        <w:rPr>
          <w:rFonts w:hint="cs"/>
          <w:sz w:val="22"/>
          <w:szCs w:val="24"/>
          <w:rtl/>
        </w:rPr>
        <w:t>עם זאת, לטענת המתלוננת, הארוע נושא כתב האישום ארע כשנתיים לפני חקירתה בידי חוקר הנוער ולמעלה משלוש שנים לפני עדותה בבית המשפט. על כן, לא ניתן לשלול את האפשרות שמפאת הזמן הרב שחלף היא שכחה חלק מפרטי הארוע ובכלל זה פרטים מהותיים שבו.</w:t>
      </w:r>
      <w:r>
        <w:rPr>
          <w:color w:val="FFFFFF"/>
          <w:sz w:val="4"/>
          <w:szCs w:val="4"/>
          <w:rtl/>
        </w:rPr>
        <w:t>ב</w:t>
      </w:r>
    </w:p>
    <w:p w14:paraId="11A0ACE0" w14:textId="77777777" w:rsidR="00A55500" w:rsidRDefault="00A55500">
      <w:pPr>
        <w:spacing w:after="80" w:line="320" w:lineRule="exact"/>
        <w:ind w:firstLine="283"/>
        <w:rPr>
          <w:rFonts w:hint="cs"/>
          <w:sz w:val="22"/>
          <w:szCs w:val="24"/>
          <w:rtl/>
        </w:rPr>
      </w:pPr>
    </w:p>
    <w:p w14:paraId="5C14C6D8" w14:textId="77777777" w:rsidR="00A55500" w:rsidRDefault="00A55500">
      <w:pPr>
        <w:spacing w:after="80" w:line="320" w:lineRule="exact"/>
        <w:ind w:firstLine="283"/>
        <w:rPr>
          <w:rFonts w:hint="cs"/>
          <w:sz w:val="22"/>
          <w:szCs w:val="24"/>
          <w:rtl/>
        </w:rPr>
      </w:pPr>
      <w:r>
        <w:rPr>
          <w:rFonts w:hint="cs"/>
          <w:sz w:val="22"/>
          <w:szCs w:val="24"/>
          <w:rtl/>
        </w:rPr>
        <w:lastRenderedPageBreak/>
        <w:t>כשנשאל חוקר הנוער בחקירתו הנגדית, האם הוא הרגיש בחסרונם של פרטים בגירסת המתלוננת בת/2 הוא השיב כי (עמ' 5 לפר' מיום 22.2.99 שורות 24-25):</w:t>
      </w:r>
    </w:p>
    <w:p w14:paraId="241D3286" w14:textId="77777777" w:rsidR="00A55500" w:rsidRDefault="00A55500">
      <w:pPr>
        <w:spacing w:after="80" w:line="320" w:lineRule="exact"/>
        <w:ind w:firstLine="283"/>
        <w:rPr>
          <w:rFonts w:hint="cs"/>
          <w:sz w:val="22"/>
          <w:szCs w:val="24"/>
          <w:rtl/>
        </w:rPr>
      </w:pPr>
      <w:r>
        <w:rPr>
          <w:rFonts w:hint="cs"/>
          <w:b/>
          <w:bCs/>
          <w:sz w:val="22"/>
          <w:szCs w:val="24"/>
          <w:rtl/>
        </w:rPr>
        <w:t xml:space="preserve">"אני לא יודע אם היה חסר. </w:t>
      </w:r>
      <w:r>
        <w:rPr>
          <w:rFonts w:hint="cs"/>
          <w:b/>
          <w:bCs/>
          <w:sz w:val="22"/>
          <w:szCs w:val="24"/>
          <w:u w:val="single"/>
          <w:rtl/>
        </w:rPr>
        <w:t xml:space="preserve">על אירוע שסיפרה לאחר שנתיים </w:t>
      </w:r>
      <w:r>
        <w:rPr>
          <w:rFonts w:hint="cs"/>
          <w:b/>
          <w:bCs/>
          <w:sz w:val="22"/>
          <w:szCs w:val="24"/>
          <w:rtl/>
        </w:rPr>
        <w:t>(</w:t>
      </w:r>
      <w:r>
        <w:rPr>
          <w:rFonts w:hint="cs"/>
          <w:sz w:val="22"/>
          <w:szCs w:val="24"/>
          <w:rtl/>
        </w:rPr>
        <w:t>ההדגשה שלי-ש.ד.)".</w:t>
      </w:r>
      <w:r>
        <w:rPr>
          <w:color w:val="FFFFFF"/>
          <w:sz w:val="4"/>
          <w:szCs w:val="4"/>
          <w:rtl/>
        </w:rPr>
        <w:t>ו</w:t>
      </w:r>
    </w:p>
    <w:p w14:paraId="0F28014B" w14:textId="77777777" w:rsidR="00A55500" w:rsidRDefault="00A55500">
      <w:pPr>
        <w:spacing w:after="80" w:line="320" w:lineRule="exact"/>
        <w:ind w:firstLine="283"/>
        <w:rPr>
          <w:rFonts w:hint="cs"/>
          <w:sz w:val="22"/>
          <w:szCs w:val="24"/>
          <w:rtl/>
        </w:rPr>
      </w:pPr>
    </w:p>
    <w:p w14:paraId="0CC66015" w14:textId="77777777" w:rsidR="00A55500" w:rsidRDefault="00A55500">
      <w:pPr>
        <w:spacing w:after="80" w:line="320" w:lineRule="exact"/>
        <w:ind w:firstLine="283"/>
        <w:rPr>
          <w:rFonts w:hint="cs"/>
          <w:sz w:val="22"/>
          <w:szCs w:val="24"/>
          <w:rtl/>
        </w:rPr>
      </w:pPr>
      <w:r>
        <w:rPr>
          <w:rFonts w:hint="cs"/>
          <w:sz w:val="22"/>
          <w:szCs w:val="24"/>
          <w:rtl/>
        </w:rPr>
        <w:t xml:space="preserve">כמו כן, לא ניתן לשלול את האפשרות שדווקא משום שהארוע, אם הוא התרחש, הוא ארוע טראומטי מבחינת המתלוננת היא עשתה כל ניסיון להדחיק את הארוע </w:t>
      </w:r>
    </w:p>
    <w:p w14:paraId="3160C432" w14:textId="77777777" w:rsidR="00A55500" w:rsidRDefault="00A55500">
      <w:pPr>
        <w:spacing w:after="80" w:line="320" w:lineRule="exact"/>
        <w:ind w:firstLine="283"/>
        <w:rPr>
          <w:rFonts w:hint="cs"/>
          <w:sz w:val="22"/>
          <w:szCs w:val="24"/>
          <w:rtl/>
        </w:rPr>
      </w:pPr>
      <w:r>
        <w:rPr>
          <w:rFonts w:hint="cs"/>
          <w:sz w:val="22"/>
          <w:szCs w:val="24"/>
          <w:rtl/>
        </w:rPr>
        <w:t>מזכרונה וזו הסיבה לכך שהיא אינה זוכרת פרטים כאלה ואחרים מן הארוע.</w:t>
      </w:r>
      <w:r>
        <w:rPr>
          <w:color w:val="FFFFFF"/>
          <w:sz w:val="4"/>
          <w:szCs w:val="4"/>
          <w:rtl/>
        </w:rPr>
        <w:t>נ</w:t>
      </w:r>
    </w:p>
    <w:p w14:paraId="68537F57" w14:textId="77777777" w:rsidR="00A55500" w:rsidRDefault="00A55500">
      <w:pPr>
        <w:spacing w:after="80" w:line="320" w:lineRule="exact"/>
        <w:ind w:firstLine="283"/>
        <w:rPr>
          <w:rFonts w:hint="cs"/>
          <w:sz w:val="22"/>
          <w:szCs w:val="24"/>
          <w:rtl/>
        </w:rPr>
      </w:pPr>
    </w:p>
    <w:p w14:paraId="664909E4" w14:textId="77777777" w:rsidR="00A55500" w:rsidRDefault="00A55500">
      <w:pPr>
        <w:spacing w:after="80" w:line="320" w:lineRule="exact"/>
        <w:ind w:firstLine="283"/>
        <w:rPr>
          <w:rFonts w:hint="cs"/>
          <w:sz w:val="22"/>
          <w:szCs w:val="24"/>
          <w:rtl/>
        </w:rPr>
      </w:pPr>
      <w:r>
        <w:rPr>
          <w:rFonts w:hint="cs"/>
          <w:sz w:val="22"/>
          <w:szCs w:val="24"/>
          <w:rtl/>
        </w:rPr>
        <w:t>בין גירסתה של המתלוננת בעדותה בבית המשפט לבין גירסתה בת/2 קיימות מספר סתירות.</w:t>
      </w:r>
      <w:r>
        <w:rPr>
          <w:color w:val="FFFFFF"/>
          <w:sz w:val="4"/>
          <w:szCs w:val="4"/>
          <w:rtl/>
        </w:rPr>
        <w:t>ב</w:t>
      </w:r>
    </w:p>
    <w:p w14:paraId="1B0D4F24" w14:textId="77777777" w:rsidR="00A55500" w:rsidRDefault="00A55500">
      <w:pPr>
        <w:spacing w:after="80" w:line="320" w:lineRule="exact"/>
        <w:ind w:firstLine="283"/>
        <w:rPr>
          <w:rFonts w:hint="cs"/>
          <w:sz w:val="22"/>
          <w:szCs w:val="24"/>
          <w:rtl/>
        </w:rPr>
      </w:pPr>
    </w:p>
    <w:p w14:paraId="68A1CD5A" w14:textId="77777777" w:rsidR="00A55500" w:rsidRDefault="00A55500">
      <w:pPr>
        <w:spacing w:after="80" w:line="320" w:lineRule="exact"/>
        <w:ind w:firstLine="283"/>
        <w:rPr>
          <w:rFonts w:hint="cs"/>
          <w:sz w:val="22"/>
          <w:szCs w:val="24"/>
          <w:rtl/>
        </w:rPr>
      </w:pPr>
      <w:r>
        <w:rPr>
          <w:rFonts w:hint="cs"/>
          <w:sz w:val="22"/>
          <w:szCs w:val="24"/>
          <w:rtl/>
        </w:rPr>
        <w:t xml:space="preserve">בת/2 סיפרה המתלוננת, כי במהלך הארוע נושא כתב האישום שאל אותה הנאשם שאלה בנוסח </w:t>
      </w:r>
      <w:r>
        <w:rPr>
          <w:rFonts w:hint="cs"/>
          <w:b/>
          <w:bCs/>
          <w:sz w:val="22"/>
          <w:szCs w:val="24"/>
          <w:rtl/>
        </w:rPr>
        <w:t xml:space="preserve">"מה שלומך מיה" </w:t>
      </w:r>
      <w:r>
        <w:rPr>
          <w:rFonts w:hint="cs"/>
          <w:sz w:val="22"/>
          <w:szCs w:val="24"/>
          <w:rtl/>
        </w:rPr>
        <w:t>כדי להסיח את דעתה (עמ' 14 ש' 10-13). לעומת זאת, בחקירתה הנגדית השיבה, תחילה, בשלילה לשאלה האם הנאשם שוחח עימה במהלך הארוע (עמ' 15 ש' 10-11) ובהמשך השיבה, כי אינה זוכרת אם הנאשם שוחח עימה במהלך הארוע (עמ' 15 ש' 14-15).</w:t>
      </w:r>
      <w:r>
        <w:rPr>
          <w:color w:val="FFFFFF"/>
          <w:sz w:val="4"/>
          <w:szCs w:val="4"/>
          <w:rtl/>
        </w:rPr>
        <w:t>ו</w:t>
      </w:r>
    </w:p>
    <w:p w14:paraId="224FD528" w14:textId="77777777" w:rsidR="00A55500" w:rsidRDefault="00A55500">
      <w:pPr>
        <w:spacing w:after="80" w:line="320" w:lineRule="exact"/>
        <w:ind w:firstLine="283"/>
        <w:rPr>
          <w:rFonts w:hint="cs"/>
          <w:sz w:val="22"/>
          <w:szCs w:val="24"/>
          <w:rtl/>
        </w:rPr>
      </w:pPr>
    </w:p>
    <w:p w14:paraId="6BB122BD" w14:textId="77777777" w:rsidR="00A55500" w:rsidRDefault="00A55500">
      <w:pPr>
        <w:spacing w:after="80" w:line="320" w:lineRule="exact"/>
        <w:ind w:firstLine="283"/>
        <w:rPr>
          <w:rFonts w:hint="cs"/>
          <w:sz w:val="22"/>
          <w:szCs w:val="24"/>
          <w:rtl/>
        </w:rPr>
      </w:pPr>
      <w:r>
        <w:rPr>
          <w:rFonts w:hint="cs"/>
          <w:sz w:val="22"/>
          <w:szCs w:val="24"/>
          <w:rtl/>
        </w:rPr>
        <w:t>בת/2 סיפרה המתלוננת, כי לאחר הארוע נושא כתב האישום, קם הנאשם מהספה עליה היא ישבה והלך לחדר (עמ' 13 ש' 14-15) ואילו בעדותה בבית המשפט לא זכרה המתלוננת לומר אם לאחר הארוע נשאר הנאשם בסלון אם לאו (עמ' 10 ש' 23-24).</w:t>
      </w:r>
      <w:r>
        <w:rPr>
          <w:color w:val="FFFFFF"/>
          <w:sz w:val="4"/>
          <w:szCs w:val="4"/>
          <w:rtl/>
        </w:rPr>
        <w:t>נ</w:t>
      </w:r>
    </w:p>
    <w:p w14:paraId="058EAA3E" w14:textId="77777777" w:rsidR="00A55500" w:rsidRDefault="00A55500">
      <w:pPr>
        <w:spacing w:after="80" w:line="320" w:lineRule="exact"/>
        <w:ind w:firstLine="283"/>
        <w:rPr>
          <w:rFonts w:hint="cs"/>
          <w:sz w:val="22"/>
          <w:szCs w:val="24"/>
          <w:rtl/>
        </w:rPr>
      </w:pPr>
    </w:p>
    <w:p w14:paraId="4D25D07C" w14:textId="77777777" w:rsidR="00A55500" w:rsidRDefault="00A55500">
      <w:pPr>
        <w:spacing w:after="80" w:line="320" w:lineRule="exact"/>
        <w:ind w:firstLine="283"/>
        <w:rPr>
          <w:rFonts w:hint="cs"/>
          <w:sz w:val="22"/>
          <w:szCs w:val="24"/>
          <w:rtl/>
        </w:rPr>
      </w:pPr>
      <w:r>
        <w:rPr>
          <w:rFonts w:hint="cs"/>
          <w:sz w:val="22"/>
          <w:szCs w:val="24"/>
          <w:rtl/>
        </w:rPr>
        <w:t>בת/2 סיפרה המתלוננת, כי בתגובה למעשהו של הנאשם היא אמרה לו שזה לא נוח לה (עמ' 9 ש' 17 עמ' 15 ש' 6-7) ואילו בעדותה הראשית סיפרה המתלוננת, לאחר שנשאלה בעניין זה על ידי ב"כ המאשימה, כי בתגובה למעשהו של הנאשם היא אמרה לו שיניח לה (עמ' 4 ש' 32).</w:t>
      </w:r>
      <w:r>
        <w:rPr>
          <w:color w:val="FFFFFF"/>
          <w:sz w:val="4"/>
          <w:szCs w:val="4"/>
          <w:rtl/>
        </w:rPr>
        <w:t>ב</w:t>
      </w:r>
    </w:p>
    <w:p w14:paraId="3EBBF538" w14:textId="77777777" w:rsidR="00A55500" w:rsidRDefault="00A55500">
      <w:pPr>
        <w:spacing w:after="80" w:line="320" w:lineRule="exact"/>
        <w:ind w:firstLine="283"/>
        <w:rPr>
          <w:rFonts w:hint="cs"/>
          <w:sz w:val="22"/>
          <w:szCs w:val="24"/>
          <w:rtl/>
        </w:rPr>
      </w:pPr>
    </w:p>
    <w:p w14:paraId="4BBB4CD2" w14:textId="77777777" w:rsidR="00A55500" w:rsidRDefault="00A55500">
      <w:pPr>
        <w:spacing w:after="80" w:line="320" w:lineRule="exact"/>
        <w:ind w:firstLine="283"/>
        <w:rPr>
          <w:rFonts w:hint="cs"/>
          <w:sz w:val="22"/>
          <w:szCs w:val="24"/>
          <w:rtl/>
        </w:rPr>
      </w:pPr>
      <w:r>
        <w:rPr>
          <w:rFonts w:hint="cs"/>
          <w:sz w:val="22"/>
          <w:szCs w:val="24"/>
          <w:rtl/>
        </w:rPr>
        <w:t>כשנשאלה המתלוננת בת/2 אם בעת הארוע היא לבשה כותונת לילה, היא השיבה, תחילה, בחיוב ולאחר מכן השיבה כי אינה זוכרת במדויק (עמ' 12 ש' 22-27). לעומת זאת, בעדותה בבית המשפט שללה את האפשרות שהיא היתה לבושה בכתונת לילה, שכן אף פעם לא היתה לה כתונת לילה (עמ' 10 ש' 2-5).</w:t>
      </w:r>
      <w:r>
        <w:rPr>
          <w:color w:val="FFFFFF"/>
          <w:sz w:val="4"/>
          <w:szCs w:val="4"/>
          <w:rtl/>
        </w:rPr>
        <w:t>ו</w:t>
      </w:r>
    </w:p>
    <w:p w14:paraId="6B7EE835" w14:textId="77777777" w:rsidR="00A55500" w:rsidRDefault="00A55500">
      <w:pPr>
        <w:spacing w:after="80" w:line="320" w:lineRule="exact"/>
        <w:ind w:firstLine="283"/>
        <w:rPr>
          <w:rFonts w:hint="cs"/>
          <w:sz w:val="22"/>
          <w:szCs w:val="24"/>
          <w:rtl/>
        </w:rPr>
      </w:pPr>
    </w:p>
    <w:p w14:paraId="7E9F23E0" w14:textId="77777777" w:rsidR="00A55500" w:rsidRDefault="00A55500">
      <w:pPr>
        <w:spacing w:after="80" w:line="320" w:lineRule="exact"/>
        <w:ind w:firstLine="283"/>
        <w:rPr>
          <w:rFonts w:hint="cs"/>
          <w:sz w:val="22"/>
          <w:szCs w:val="24"/>
          <w:rtl/>
        </w:rPr>
      </w:pPr>
      <w:r>
        <w:rPr>
          <w:rFonts w:hint="cs"/>
          <w:sz w:val="22"/>
          <w:szCs w:val="24"/>
          <w:rtl/>
        </w:rPr>
        <w:t>בת/2 התקשתה המתלוננת להשיב האם הארוע היה קצר או ארוך (ת/2 עמ' 15 ש' 23-24) ואילו בעדותה בבית המשפט השיבה המתלוננת כי הארוע היה מהיר (עמ' 11 ש' 14-15).</w:t>
      </w:r>
      <w:r>
        <w:rPr>
          <w:color w:val="FFFFFF"/>
          <w:sz w:val="4"/>
          <w:szCs w:val="4"/>
          <w:rtl/>
        </w:rPr>
        <w:t>נ</w:t>
      </w:r>
    </w:p>
    <w:p w14:paraId="3A30347F" w14:textId="77777777" w:rsidR="00A55500" w:rsidRDefault="00A55500">
      <w:pPr>
        <w:spacing w:after="80" w:line="320" w:lineRule="exact"/>
        <w:ind w:firstLine="283"/>
        <w:rPr>
          <w:rFonts w:hint="cs"/>
          <w:sz w:val="22"/>
          <w:szCs w:val="24"/>
          <w:rtl/>
        </w:rPr>
      </w:pPr>
    </w:p>
    <w:p w14:paraId="665ACA2B" w14:textId="77777777" w:rsidR="00A55500" w:rsidRDefault="00A55500">
      <w:pPr>
        <w:spacing w:after="80" w:line="320" w:lineRule="exact"/>
        <w:ind w:firstLine="283"/>
        <w:rPr>
          <w:rFonts w:hint="cs"/>
          <w:sz w:val="22"/>
          <w:szCs w:val="24"/>
          <w:rtl/>
        </w:rPr>
      </w:pPr>
      <w:r>
        <w:rPr>
          <w:rFonts w:hint="cs"/>
          <w:sz w:val="22"/>
          <w:szCs w:val="24"/>
          <w:rtl/>
        </w:rPr>
        <w:t>בעדותה בבית המשפט סיפרה המתלוננת,כי כאשר היא שוחחה עם אחותה על המקרה של הדס פאר, אחותה ראתה כי לא נוח לה לדבר על כך והחלה "להוציא ממנה" את מה שארע לה עצמה, קרי את הארוע נושא כתב האישום שלפני (עמ' 5 ש' 15-16). לעומת זאת, בת/2 אין כל זכר לכך שאחותה של המתלוננת ניסתה "להוציא מהמתלוננת" את מה שארע לה לטענתה.</w:t>
      </w:r>
      <w:r>
        <w:rPr>
          <w:color w:val="FFFFFF"/>
          <w:sz w:val="4"/>
          <w:szCs w:val="4"/>
          <w:rtl/>
        </w:rPr>
        <w:t>ב</w:t>
      </w:r>
    </w:p>
    <w:p w14:paraId="440AD240" w14:textId="77777777" w:rsidR="00A55500" w:rsidRDefault="00A55500">
      <w:pPr>
        <w:spacing w:after="80" w:line="320" w:lineRule="exact"/>
        <w:ind w:firstLine="283"/>
        <w:rPr>
          <w:rFonts w:hint="cs"/>
          <w:sz w:val="22"/>
          <w:szCs w:val="24"/>
          <w:rtl/>
        </w:rPr>
      </w:pPr>
    </w:p>
    <w:p w14:paraId="6E30BA0A" w14:textId="77777777" w:rsidR="00A55500" w:rsidRDefault="00A55500">
      <w:pPr>
        <w:spacing w:after="80" w:line="320" w:lineRule="exact"/>
        <w:ind w:firstLine="283"/>
        <w:rPr>
          <w:rFonts w:hint="cs"/>
          <w:sz w:val="22"/>
          <w:szCs w:val="24"/>
          <w:rtl/>
        </w:rPr>
      </w:pPr>
      <w:r>
        <w:rPr>
          <w:rFonts w:hint="cs"/>
          <w:sz w:val="22"/>
          <w:szCs w:val="24"/>
          <w:rtl/>
        </w:rPr>
        <w:t>בת/2 סיפרה המתלוננת, כי לאחר הארוע נושא כתב האישום היא לא ביקרה עוד בביתו של הנאשם (עמ' 22 ש' 22). לעומת זאת, בעדותה הראשית סיפרה המתלוננת כי היא ביקרה בביתו של הנאשם גם לאחר המועד בו ארע הארוע האמור וזאת במסגרת משימה חברתית במהלך חגיגת יום הולדת של אחת משכנותיה(עמ' 5 ש' 26-27).</w:t>
      </w:r>
      <w:r>
        <w:rPr>
          <w:color w:val="FFFFFF"/>
          <w:sz w:val="4"/>
          <w:szCs w:val="4"/>
          <w:rtl/>
        </w:rPr>
        <w:t>ו</w:t>
      </w:r>
    </w:p>
    <w:p w14:paraId="5E5DF4D6" w14:textId="77777777" w:rsidR="00A55500" w:rsidRDefault="00A55500">
      <w:pPr>
        <w:spacing w:after="80" w:line="320" w:lineRule="exact"/>
        <w:ind w:firstLine="283"/>
        <w:rPr>
          <w:rFonts w:hint="cs"/>
          <w:sz w:val="22"/>
          <w:szCs w:val="24"/>
          <w:rtl/>
        </w:rPr>
      </w:pPr>
    </w:p>
    <w:p w14:paraId="5586A276" w14:textId="77777777" w:rsidR="00A55500" w:rsidRDefault="00A55500">
      <w:pPr>
        <w:spacing w:after="80" w:line="320" w:lineRule="exact"/>
        <w:ind w:firstLine="283"/>
        <w:rPr>
          <w:rFonts w:hint="cs"/>
          <w:sz w:val="22"/>
          <w:szCs w:val="24"/>
          <w:rtl/>
        </w:rPr>
      </w:pPr>
      <w:r>
        <w:rPr>
          <w:rFonts w:hint="cs"/>
          <w:sz w:val="22"/>
          <w:szCs w:val="24"/>
          <w:rtl/>
        </w:rPr>
        <w:t>ב"כ הנאשם הצביע על סתירה נוספת, כביכול, בגירסת המתלוננת, לפיה בת/2 סיפרה המתלוננת כי בתגובה למעשהו של הנאשם היא המשיכה לשבת על הספה ולראות טלויזיה, ואילו בעדותה בבית המשפט היא סיפרה כי בתגובה למעשהו של הנאשם היא קמה מיד מהספה (ר' עמ' 13 לסיכומי הנאשם). לטעמי, אין המדובר, כלל, בסתירה, שכן גם בעדותה בבית המשפט וגם בת/2 סיפרה המתלוננת כי בתגובה למעשהו של הנאשם היא קמה והמשיכה לשבת על הספה ולראות טלויזיה (עמ' 4 ש' 30-32 ות/2 עמ' 12 ש' 14 ועמ' 13 ש' 12). ייתכן וטעותו של ב"כ הנאשם בענין זה נובעת מפרשנות לא נכונה של המילה "קמה" אותה אמרה המתלוננת. מעיון בעדותה של המתלוננת ובת/2 ניתן להסיק, כי כאשר אמרה המתלוננת שבתגובה למשהו של הנאשם היא קמה והמשיכה לשבת על הספה, היא התכוונה לומר שהיא התרוממה ממצב של שכיבה למצב ישיבה ולא שהיא קמה לעמוד על רגליה.</w:t>
      </w:r>
      <w:r>
        <w:rPr>
          <w:color w:val="FFFFFF"/>
          <w:sz w:val="4"/>
          <w:szCs w:val="4"/>
          <w:rtl/>
        </w:rPr>
        <w:t>נ</w:t>
      </w:r>
    </w:p>
    <w:p w14:paraId="29137836" w14:textId="77777777" w:rsidR="00A55500" w:rsidRDefault="00A55500">
      <w:pPr>
        <w:spacing w:after="80" w:line="320" w:lineRule="exact"/>
        <w:ind w:firstLine="283"/>
        <w:rPr>
          <w:rFonts w:hint="cs"/>
          <w:sz w:val="22"/>
          <w:szCs w:val="24"/>
          <w:rtl/>
        </w:rPr>
      </w:pPr>
    </w:p>
    <w:p w14:paraId="6AF7864F" w14:textId="77777777" w:rsidR="00A55500" w:rsidRDefault="00A55500">
      <w:pPr>
        <w:spacing w:after="80" w:line="320" w:lineRule="exact"/>
        <w:ind w:firstLine="283"/>
        <w:rPr>
          <w:rFonts w:hint="cs"/>
          <w:sz w:val="22"/>
          <w:szCs w:val="24"/>
          <w:rtl/>
        </w:rPr>
      </w:pPr>
      <w:r>
        <w:rPr>
          <w:rFonts w:hint="cs"/>
          <w:sz w:val="22"/>
          <w:szCs w:val="24"/>
          <w:rtl/>
        </w:rPr>
        <w:t>הסתירות המתוארות לעיל בין גירסתה של המתלוננת בת/2 לבין גירסתה בעדותה בביה"מ מחלישות את מהימנות גירסתה.</w:t>
      </w:r>
      <w:r>
        <w:rPr>
          <w:color w:val="FFFFFF"/>
          <w:sz w:val="4"/>
          <w:szCs w:val="4"/>
          <w:rtl/>
        </w:rPr>
        <w:t>ב</w:t>
      </w:r>
    </w:p>
    <w:p w14:paraId="34E8649C" w14:textId="77777777" w:rsidR="00A55500" w:rsidRDefault="00A55500">
      <w:pPr>
        <w:spacing w:after="80" w:line="320" w:lineRule="exact"/>
        <w:ind w:firstLine="283"/>
        <w:rPr>
          <w:rFonts w:hint="cs"/>
          <w:sz w:val="22"/>
          <w:szCs w:val="24"/>
          <w:rtl/>
        </w:rPr>
      </w:pPr>
    </w:p>
    <w:p w14:paraId="52687B54" w14:textId="77777777" w:rsidR="00A55500" w:rsidRDefault="00A55500">
      <w:pPr>
        <w:spacing w:after="80" w:line="320" w:lineRule="exact"/>
        <w:ind w:firstLine="283"/>
        <w:rPr>
          <w:rFonts w:hint="cs"/>
          <w:sz w:val="22"/>
          <w:szCs w:val="24"/>
          <w:rtl/>
        </w:rPr>
      </w:pPr>
      <w:r>
        <w:rPr>
          <w:rFonts w:hint="cs"/>
          <w:sz w:val="22"/>
          <w:szCs w:val="24"/>
          <w:rtl/>
        </w:rPr>
        <w:t>גירסתה של המתלוננת אף מעוררת מספר תמיהות.</w:t>
      </w:r>
      <w:r>
        <w:rPr>
          <w:color w:val="FFFFFF"/>
          <w:sz w:val="4"/>
          <w:szCs w:val="4"/>
          <w:rtl/>
        </w:rPr>
        <w:t>ו</w:t>
      </w:r>
    </w:p>
    <w:p w14:paraId="0D502A5F" w14:textId="77777777" w:rsidR="00A55500" w:rsidRDefault="00A55500">
      <w:pPr>
        <w:spacing w:after="80" w:line="320" w:lineRule="exact"/>
        <w:ind w:firstLine="283"/>
        <w:rPr>
          <w:rFonts w:hint="cs"/>
          <w:sz w:val="22"/>
          <w:szCs w:val="24"/>
          <w:rtl/>
        </w:rPr>
      </w:pPr>
    </w:p>
    <w:p w14:paraId="577644B8" w14:textId="77777777" w:rsidR="00A55500" w:rsidRDefault="00A55500">
      <w:pPr>
        <w:spacing w:after="80" w:line="320" w:lineRule="exact"/>
        <w:ind w:firstLine="283"/>
        <w:rPr>
          <w:rFonts w:hint="cs"/>
          <w:sz w:val="22"/>
          <w:szCs w:val="24"/>
          <w:rtl/>
        </w:rPr>
      </w:pPr>
      <w:r>
        <w:rPr>
          <w:rFonts w:hint="cs"/>
          <w:sz w:val="22"/>
          <w:szCs w:val="24"/>
          <w:rtl/>
        </w:rPr>
        <w:t>המתלוננת סיפרה בעדותה הראשית, כי הנאשם מישש את איבר מינה ולאחר מכן ניסה להרים את חולצתה, אולם רק לאחר שהוא ניסה להרים את חולצתה היא קמה ואמרה לו שיניח לה (עמ' 4 ש' 30-32).</w:t>
      </w:r>
      <w:r>
        <w:rPr>
          <w:color w:val="FFFFFF"/>
          <w:sz w:val="4"/>
          <w:szCs w:val="4"/>
          <w:rtl/>
        </w:rPr>
        <w:t>נ</w:t>
      </w:r>
    </w:p>
    <w:p w14:paraId="6F37283F" w14:textId="77777777" w:rsidR="00A55500" w:rsidRDefault="00A55500">
      <w:pPr>
        <w:spacing w:after="80" w:line="320" w:lineRule="exact"/>
        <w:ind w:firstLine="283"/>
        <w:rPr>
          <w:rFonts w:hint="cs"/>
          <w:sz w:val="22"/>
          <w:szCs w:val="24"/>
          <w:rtl/>
        </w:rPr>
      </w:pPr>
    </w:p>
    <w:p w14:paraId="320FFE2F" w14:textId="77777777" w:rsidR="00A55500" w:rsidRDefault="00A55500">
      <w:pPr>
        <w:spacing w:after="80" w:line="320" w:lineRule="exact"/>
        <w:ind w:firstLine="283"/>
        <w:rPr>
          <w:rFonts w:hint="cs"/>
          <w:sz w:val="22"/>
          <w:szCs w:val="24"/>
          <w:rtl/>
        </w:rPr>
      </w:pPr>
      <w:r>
        <w:rPr>
          <w:rFonts w:hint="cs"/>
          <w:sz w:val="22"/>
          <w:szCs w:val="24"/>
          <w:rtl/>
        </w:rPr>
        <w:t>בחקירתה הנגדית אף אישרה המתלוננת כי מעשיו של הנאשם הפריעו לה רק לאחר שהנאשם ניסה להרים את חולצתה ולא כאשר הוא מישש את איבר מינה (עמ' 11 ש' 22-23).</w:t>
      </w:r>
      <w:r>
        <w:rPr>
          <w:color w:val="FFFFFF"/>
          <w:sz w:val="4"/>
          <w:szCs w:val="4"/>
          <w:rtl/>
        </w:rPr>
        <w:t>ב</w:t>
      </w:r>
    </w:p>
    <w:p w14:paraId="2A97304F" w14:textId="77777777" w:rsidR="00A55500" w:rsidRDefault="00A55500">
      <w:pPr>
        <w:spacing w:after="80" w:line="320" w:lineRule="exact"/>
        <w:ind w:firstLine="283"/>
        <w:rPr>
          <w:rFonts w:hint="cs"/>
          <w:sz w:val="22"/>
          <w:szCs w:val="24"/>
          <w:rtl/>
        </w:rPr>
      </w:pPr>
    </w:p>
    <w:p w14:paraId="05251B5F" w14:textId="77777777" w:rsidR="00A55500" w:rsidRDefault="00A55500">
      <w:pPr>
        <w:spacing w:after="80" w:line="320" w:lineRule="exact"/>
        <w:ind w:firstLine="283"/>
        <w:rPr>
          <w:rFonts w:hint="cs"/>
          <w:sz w:val="22"/>
          <w:szCs w:val="24"/>
          <w:rtl/>
        </w:rPr>
      </w:pPr>
      <w:r>
        <w:rPr>
          <w:rFonts w:hint="cs"/>
          <w:sz w:val="22"/>
          <w:szCs w:val="24"/>
          <w:rtl/>
        </w:rPr>
        <w:t>תמוה בעיני, שדווקא החלק החמור יותר של הארוע נושא כתב האישום - מישוש איבר המין, לא הפריע למתלוננת ולא גרם לה לומר לנאשם שלא נוח לה והדברים מתחדדים נוכח עדותה של המתלוננת,לפיה הנאשם לא נגע בה נגיעה מקרית אלא ממש מישש את איבר מינה (עמ' 5).</w:t>
      </w:r>
      <w:r>
        <w:rPr>
          <w:color w:val="FFFFFF"/>
          <w:sz w:val="4"/>
          <w:szCs w:val="4"/>
          <w:rtl/>
        </w:rPr>
        <w:t>ו</w:t>
      </w:r>
    </w:p>
    <w:p w14:paraId="7B97C8BA" w14:textId="77777777" w:rsidR="00A55500" w:rsidRDefault="00A55500">
      <w:pPr>
        <w:spacing w:after="80" w:line="320" w:lineRule="exact"/>
        <w:ind w:firstLine="283"/>
        <w:rPr>
          <w:rFonts w:hint="cs"/>
          <w:sz w:val="22"/>
          <w:szCs w:val="24"/>
          <w:rtl/>
        </w:rPr>
      </w:pPr>
    </w:p>
    <w:p w14:paraId="08FC70C6" w14:textId="77777777" w:rsidR="00A55500" w:rsidRDefault="00A55500">
      <w:pPr>
        <w:spacing w:after="80" w:line="320" w:lineRule="exact"/>
        <w:ind w:firstLine="283"/>
        <w:rPr>
          <w:rFonts w:hint="cs"/>
          <w:sz w:val="22"/>
          <w:szCs w:val="24"/>
          <w:rtl/>
        </w:rPr>
      </w:pPr>
      <w:r>
        <w:rPr>
          <w:rFonts w:hint="cs"/>
          <w:sz w:val="22"/>
          <w:szCs w:val="24"/>
          <w:rtl/>
        </w:rPr>
        <w:t>זאת ועוד, מעדותה של המתלוננת עולה, כי בעת הארוע נושא כתב האישום, בתו של הנאשם ישנה בסמוך (עמ' 4 ש' 19-20). אין זה סביר שהנאשם ביצע את המעשה האמור בשעה שבתו ישנה בסמוך ויכולה היתה להתעורר בכל רגע ולהבחין בנעשה.</w:t>
      </w:r>
      <w:r>
        <w:rPr>
          <w:color w:val="FFFFFF"/>
          <w:sz w:val="4"/>
          <w:szCs w:val="4"/>
          <w:rtl/>
        </w:rPr>
        <w:t>נ</w:t>
      </w:r>
    </w:p>
    <w:p w14:paraId="577F104E" w14:textId="77777777" w:rsidR="00A55500" w:rsidRDefault="00A55500">
      <w:pPr>
        <w:spacing w:after="80" w:line="320" w:lineRule="exact"/>
        <w:ind w:firstLine="283"/>
        <w:rPr>
          <w:rFonts w:hint="cs"/>
          <w:sz w:val="22"/>
          <w:szCs w:val="24"/>
          <w:rtl/>
        </w:rPr>
      </w:pPr>
    </w:p>
    <w:p w14:paraId="40A158E7" w14:textId="77777777" w:rsidR="00A55500" w:rsidRDefault="00A55500">
      <w:pPr>
        <w:spacing w:after="80" w:line="320" w:lineRule="exact"/>
        <w:ind w:firstLine="283"/>
        <w:rPr>
          <w:rFonts w:hint="cs"/>
          <w:sz w:val="22"/>
          <w:szCs w:val="24"/>
          <w:rtl/>
        </w:rPr>
      </w:pPr>
      <w:r>
        <w:rPr>
          <w:rFonts w:hint="cs"/>
          <w:sz w:val="22"/>
          <w:szCs w:val="24"/>
          <w:rtl/>
        </w:rPr>
        <w:t>המתלוננת סיפרה בעדותה הראשית, כי אשתו של הנאשם לא היתה בבית בעת הארוע הנטען כל ידה (עמ' 4 ש' 24).</w:t>
      </w:r>
      <w:r>
        <w:rPr>
          <w:color w:val="FFFFFF"/>
          <w:sz w:val="4"/>
          <w:szCs w:val="4"/>
          <w:rtl/>
        </w:rPr>
        <w:t>ב</w:t>
      </w:r>
    </w:p>
    <w:p w14:paraId="08DC6439" w14:textId="77777777" w:rsidR="00A55500" w:rsidRDefault="00A55500">
      <w:pPr>
        <w:spacing w:after="80" w:line="320" w:lineRule="exact"/>
        <w:ind w:firstLine="283"/>
        <w:rPr>
          <w:rFonts w:hint="cs"/>
          <w:sz w:val="22"/>
          <w:szCs w:val="24"/>
          <w:rtl/>
        </w:rPr>
      </w:pPr>
    </w:p>
    <w:p w14:paraId="09FD8B11" w14:textId="77777777" w:rsidR="00A55500" w:rsidRDefault="00A55500">
      <w:pPr>
        <w:spacing w:after="80" w:line="320" w:lineRule="exact"/>
        <w:ind w:firstLine="283"/>
        <w:rPr>
          <w:rFonts w:hint="cs"/>
          <w:sz w:val="22"/>
          <w:szCs w:val="24"/>
          <w:rtl/>
        </w:rPr>
      </w:pPr>
      <w:r>
        <w:rPr>
          <w:rFonts w:hint="cs"/>
          <w:sz w:val="22"/>
          <w:szCs w:val="24"/>
          <w:rtl/>
        </w:rPr>
        <w:t>בחקירתה הנגדית הסבירה המתלוננת, כי באומרה בת/2 שאשת הנאשם היתה בחוץ עם חברות, היא לא התכוונה לכך שאשת הנאשם נמצאת במקום מסויים מחוץ לבית, כמו למשל במרפסת, אלא התכוונה לכך שאשמת הנאשם לא היתה בבית ולא היתה בסביבה (עמ' 9 ש' 17-18 ושורה 22).</w:t>
      </w:r>
      <w:r>
        <w:rPr>
          <w:color w:val="FFFFFF"/>
          <w:sz w:val="4"/>
          <w:szCs w:val="4"/>
          <w:rtl/>
        </w:rPr>
        <w:t>ו</w:t>
      </w:r>
    </w:p>
    <w:p w14:paraId="5ECCD308" w14:textId="77777777" w:rsidR="00A55500" w:rsidRDefault="00A55500">
      <w:pPr>
        <w:spacing w:after="80" w:line="320" w:lineRule="exact"/>
        <w:ind w:firstLine="283"/>
        <w:rPr>
          <w:rFonts w:hint="cs"/>
          <w:sz w:val="22"/>
          <w:szCs w:val="24"/>
          <w:rtl/>
        </w:rPr>
      </w:pPr>
    </w:p>
    <w:p w14:paraId="72C8BB29" w14:textId="77777777" w:rsidR="00A55500" w:rsidRDefault="00A55500">
      <w:pPr>
        <w:spacing w:after="80" w:line="320" w:lineRule="exact"/>
        <w:ind w:firstLine="283"/>
        <w:rPr>
          <w:rFonts w:hint="cs"/>
          <w:sz w:val="22"/>
          <w:szCs w:val="24"/>
          <w:rtl/>
        </w:rPr>
      </w:pPr>
      <w:r>
        <w:rPr>
          <w:rFonts w:hint="cs"/>
          <w:sz w:val="22"/>
          <w:szCs w:val="24"/>
          <w:rtl/>
        </w:rPr>
        <w:t>עם זאת, כאשר נשאלה המתלוננת בחקירתה הנגדית, כיצד היא ידעה שאשת הנאשם נמצאת עם חברות, היא השיבה כי רק תיארה לעצמה שהיא עם חברות (עמ' 9 ש' 23-24).</w:t>
      </w:r>
      <w:r>
        <w:rPr>
          <w:color w:val="FFFFFF"/>
          <w:sz w:val="4"/>
          <w:szCs w:val="4"/>
          <w:rtl/>
        </w:rPr>
        <w:t>נ</w:t>
      </w:r>
    </w:p>
    <w:p w14:paraId="19C10B42" w14:textId="77777777" w:rsidR="00A55500" w:rsidRDefault="00A55500">
      <w:pPr>
        <w:spacing w:after="80" w:line="320" w:lineRule="exact"/>
        <w:ind w:firstLine="283"/>
        <w:rPr>
          <w:rFonts w:hint="cs"/>
          <w:sz w:val="22"/>
          <w:szCs w:val="24"/>
          <w:rtl/>
        </w:rPr>
      </w:pPr>
    </w:p>
    <w:p w14:paraId="1DD9A417" w14:textId="77777777" w:rsidR="00A55500" w:rsidRDefault="00A55500">
      <w:pPr>
        <w:spacing w:after="80" w:line="320" w:lineRule="exact"/>
        <w:ind w:firstLine="283"/>
        <w:rPr>
          <w:rFonts w:hint="cs"/>
          <w:sz w:val="22"/>
          <w:szCs w:val="24"/>
          <w:rtl/>
        </w:rPr>
      </w:pPr>
      <w:r>
        <w:rPr>
          <w:rFonts w:hint="cs"/>
          <w:sz w:val="22"/>
          <w:szCs w:val="24"/>
          <w:rtl/>
        </w:rPr>
        <w:t>אשת הנאשם, לעומת זאת, העידה בחקירתה הנגדית, כי תמיד כאשר היא יצאה מביתה היה זה בליווית הנאשם (עמ' 29 ש' 1-2), כי גם אם היא יצאה לחצר ביתה היה זה בלויית הנאשם (עמ' 28 ש' 8-9 וש' 36) וכי לא היה מקרה שהיא יצאה לבד בערב שבת והשאירה את הנאשם ובנותיה לבד בביתם (עמ' 29 ש' 3-4). עדותה זו אינה הגיונית ויש בה משום הגזמה, שכן אין זה מתקבל על הדעת שגם למרפסת ביתם היתה נוהגת אשת הנאשם לצאת אך ורק בלויית הנאשם.</w:t>
      </w:r>
      <w:r>
        <w:rPr>
          <w:color w:val="FFFFFF"/>
          <w:sz w:val="4"/>
          <w:szCs w:val="4"/>
          <w:rtl/>
        </w:rPr>
        <w:t>ב</w:t>
      </w:r>
    </w:p>
    <w:p w14:paraId="4178DA47" w14:textId="77777777" w:rsidR="00A55500" w:rsidRDefault="00A55500">
      <w:pPr>
        <w:spacing w:after="80" w:line="320" w:lineRule="exact"/>
        <w:ind w:firstLine="283"/>
        <w:rPr>
          <w:rFonts w:hint="cs"/>
          <w:sz w:val="22"/>
          <w:szCs w:val="24"/>
          <w:rtl/>
        </w:rPr>
      </w:pPr>
    </w:p>
    <w:p w14:paraId="545A9A0D" w14:textId="77777777" w:rsidR="00A55500" w:rsidRDefault="00A55500">
      <w:pPr>
        <w:spacing w:after="80" w:line="320" w:lineRule="exact"/>
        <w:ind w:firstLine="283"/>
        <w:rPr>
          <w:rFonts w:hint="cs"/>
          <w:sz w:val="22"/>
          <w:szCs w:val="24"/>
          <w:rtl/>
        </w:rPr>
      </w:pPr>
      <w:r>
        <w:rPr>
          <w:rFonts w:hint="cs"/>
          <w:sz w:val="22"/>
          <w:szCs w:val="24"/>
          <w:rtl/>
        </w:rPr>
        <w:t>אולם עדין, נותר בי ספק בשאלה היכן היתה אשת הנאשם בעת הארוע נושא כתב האישום. אם אשת הנאשם היתה בבית או בסביבתו, כגון במרפסת, אין זה סביר שהנאשם ביצע את המעשה נושא כתב האישום.</w:t>
      </w:r>
      <w:r>
        <w:rPr>
          <w:color w:val="FFFFFF"/>
          <w:sz w:val="4"/>
          <w:szCs w:val="4"/>
          <w:rtl/>
        </w:rPr>
        <w:t>ו</w:t>
      </w:r>
    </w:p>
    <w:p w14:paraId="32D4D0C5" w14:textId="77777777" w:rsidR="00A55500" w:rsidRDefault="00A55500">
      <w:pPr>
        <w:spacing w:after="80" w:line="320" w:lineRule="exact"/>
        <w:ind w:firstLine="283"/>
        <w:rPr>
          <w:rFonts w:hint="cs"/>
          <w:sz w:val="22"/>
          <w:szCs w:val="24"/>
          <w:rtl/>
        </w:rPr>
      </w:pPr>
    </w:p>
    <w:p w14:paraId="2959EC8F" w14:textId="77777777" w:rsidR="00A55500" w:rsidRDefault="00A55500">
      <w:pPr>
        <w:spacing w:after="80" w:line="320" w:lineRule="exact"/>
        <w:ind w:firstLine="283"/>
        <w:rPr>
          <w:rFonts w:hint="cs"/>
          <w:sz w:val="22"/>
          <w:szCs w:val="24"/>
          <w:rtl/>
        </w:rPr>
      </w:pPr>
      <w:r>
        <w:rPr>
          <w:rFonts w:hint="cs"/>
          <w:sz w:val="22"/>
          <w:szCs w:val="24"/>
          <w:rtl/>
        </w:rPr>
        <w:t>המתלונת העידה, הן בעדותה הראשית והן בת/2, כי היא סיפרה, לראשונה, על הארוע נושא כתב האישום רק כעבור שנתיים ממועד התרחשותו וזאת, תחילה, לאחותה התאומה בעת שהותן בנורבגיה במהלך החופש הגדול של שנת 96 (עמ' 5 ש' 8-9 ות/2 עמ' 9 ש' 24 ועמ' 17 ש' 6).</w:t>
      </w:r>
    </w:p>
    <w:p w14:paraId="79D4FF5D" w14:textId="77777777" w:rsidR="00A55500" w:rsidRDefault="00A55500">
      <w:pPr>
        <w:spacing w:after="80" w:line="320" w:lineRule="exact"/>
        <w:ind w:firstLine="283"/>
        <w:rPr>
          <w:rFonts w:hint="cs"/>
          <w:sz w:val="22"/>
          <w:szCs w:val="24"/>
          <w:rtl/>
        </w:rPr>
      </w:pPr>
    </w:p>
    <w:p w14:paraId="7B5595AE" w14:textId="77777777" w:rsidR="00A55500" w:rsidRDefault="00A55500">
      <w:pPr>
        <w:spacing w:after="80" w:line="320" w:lineRule="exact"/>
        <w:ind w:firstLine="283"/>
        <w:rPr>
          <w:rFonts w:hint="cs"/>
          <w:sz w:val="22"/>
          <w:szCs w:val="24"/>
          <w:rtl/>
        </w:rPr>
      </w:pPr>
      <w:r>
        <w:rPr>
          <w:rFonts w:hint="cs"/>
          <w:sz w:val="22"/>
          <w:szCs w:val="24"/>
          <w:rtl/>
        </w:rPr>
        <w:t>גם בת/2 וגם בעדותה הראשית, לא ידעה המתלוננת להסביר מדוע הסתירה את הסיפור במשך שנתיים (עמ' 5 ש' 10-11 ות/2 עמ' 16 ש' 14).</w:t>
      </w:r>
    </w:p>
    <w:p w14:paraId="1D5C4101" w14:textId="77777777" w:rsidR="00A55500" w:rsidRDefault="00A55500">
      <w:pPr>
        <w:spacing w:after="80" w:line="320" w:lineRule="exact"/>
        <w:ind w:firstLine="283"/>
        <w:rPr>
          <w:rFonts w:hint="cs"/>
          <w:sz w:val="22"/>
          <w:szCs w:val="24"/>
          <w:rtl/>
        </w:rPr>
      </w:pPr>
    </w:p>
    <w:p w14:paraId="77368286" w14:textId="77777777" w:rsidR="00A55500" w:rsidRDefault="00A55500">
      <w:pPr>
        <w:spacing w:after="80" w:line="320" w:lineRule="exact"/>
        <w:ind w:firstLine="283"/>
        <w:rPr>
          <w:rFonts w:hint="cs"/>
          <w:sz w:val="22"/>
          <w:szCs w:val="24"/>
          <w:rtl/>
        </w:rPr>
      </w:pPr>
      <w:r>
        <w:rPr>
          <w:rFonts w:hint="cs"/>
          <w:sz w:val="22"/>
          <w:szCs w:val="24"/>
          <w:rtl/>
        </w:rPr>
        <w:t>עם זאת, חוקר הנוער העיד כי:</w:t>
      </w:r>
    </w:p>
    <w:p w14:paraId="013A539B" w14:textId="77777777" w:rsidR="00A55500" w:rsidRDefault="00A55500">
      <w:pPr>
        <w:spacing w:after="80" w:line="320" w:lineRule="exact"/>
        <w:ind w:firstLine="283"/>
        <w:rPr>
          <w:rFonts w:hint="cs"/>
          <w:sz w:val="22"/>
          <w:szCs w:val="24"/>
          <w:rtl/>
        </w:rPr>
      </w:pPr>
    </w:p>
    <w:p w14:paraId="35A61DC7" w14:textId="77777777" w:rsidR="00A55500" w:rsidRDefault="00A55500">
      <w:pPr>
        <w:pStyle w:val="a1"/>
        <w:spacing w:after="80" w:line="320" w:lineRule="exact"/>
        <w:ind w:left="0" w:right="0" w:firstLine="283"/>
        <w:rPr>
          <w:rFonts w:cs="David" w:hint="cs"/>
          <w:b w:val="0"/>
          <w:bCs w:val="0"/>
          <w:sz w:val="22"/>
          <w:szCs w:val="24"/>
          <w:rtl/>
        </w:rPr>
      </w:pPr>
      <w:r>
        <w:rPr>
          <w:rFonts w:cs="David" w:hint="cs"/>
          <w:sz w:val="22"/>
          <w:szCs w:val="24"/>
          <w:rtl/>
        </w:rPr>
        <w:t xml:space="preserve">”מה שאנחנו יודעים שלא תמיד ילדים מספרים מיד אחרי המעשה על האירוע, מכל מיני סיבות ולפעמים איזה טריגר חיצוני או תמונה שהיא רואה בטלויזיה יכולים להביא לדעתה את הנכונות כן לגלות. אנחנו יודעים שישנם מצבים של אינקובציה של דגירה של אינפורמציה שמעידה שחוויה שהיא סגורה ומסוגרת ורק אחר כך בנסיבות בלתי צפויות לחלוטין יכולה להתפרץ החוצה". </w:t>
      </w:r>
      <w:r>
        <w:rPr>
          <w:rFonts w:cs="David" w:hint="cs"/>
          <w:b w:val="0"/>
          <w:bCs w:val="0"/>
          <w:sz w:val="22"/>
          <w:szCs w:val="24"/>
          <w:rtl/>
        </w:rPr>
        <w:t>(עמ' 3 ש' 13-17).</w:t>
      </w:r>
    </w:p>
    <w:p w14:paraId="40D1252C" w14:textId="77777777" w:rsidR="00A55500" w:rsidRDefault="00A55500">
      <w:pPr>
        <w:pStyle w:val="a1"/>
        <w:spacing w:after="80" w:line="320" w:lineRule="exact"/>
        <w:ind w:left="0" w:right="0" w:firstLine="283"/>
        <w:rPr>
          <w:rFonts w:cs="David" w:hint="cs"/>
          <w:b w:val="0"/>
          <w:bCs w:val="0"/>
          <w:sz w:val="22"/>
          <w:szCs w:val="24"/>
          <w:rtl/>
        </w:rPr>
      </w:pPr>
    </w:p>
    <w:p w14:paraId="328BF209" w14:textId="77777777" w:rsidR="00A55500" w:rsidRDefault="00A55500">
      <w:pPr>
        <w:spacing w:after="80" w:line="320" w:lineRule="exact"/>
        <w:ind w:firstLine="283"/>
        <w:rPr>
          <w:rFonts w:hint="cs"/>
          <w:sz w:val="22"/>
          <w:szCs w:val="24"/>
          <w:rtl/>
        </w:rPr>
      </w:pPr>
      <w:r>
        <w:rPr>
          <w:rFonts w:hint="cs"/>
          <w:sz w:val="22"/>
          <w:szCs w:val="24"/>
          <w:rtl/>
        </w:rPr>
        <w:t>בענין זה דעתי היא כדעת חוקר הנוער. אכן, לא אחת קורה שילדים מסתירים, במשך תקופות ארוכות, חויות לא נעימות שחוו בעברם. לפיכך, אין בעובדה שמתלוננת לא סיפרה על הארוע נושא כתב האישום במשך שנתיים ממועד התרחשותו ובעובדה שלא היה בפיה הסבר מדוע לא סיפרה זאת כדי לפגום במהימנות גירסתה.</w:t>
      </w:r>
    </w:p>
    <w:p w14:paraId="3DD11012" w14:textId="77777777" w:rsidR="00A55500" w:rsidRDefault="00A55500">
      <w:pPr>
        <w:spacing w:after="80" w:line="320" w:lineRule="exact"/>
        <w:ind w:firstLine="283"/>
        <w:rPr>
          <w:rFonts w:hint="cs"/>
          <w:sz w:val="22"/>
          <w:szCs w:val="24"/>
          <w:rtl/>
        </w:rPr>
      </w:pPr>
    </w:p>
    <w:p w14:paraId="18626359" w14:textId="77777777" w:rsidR="00A55500" w:rsidRDefault="00A55500">
      <w:pPr>
        <w:spacing w:after="80" w:line="320" w:lineRule="exact"/>
        <w:ind w:firstLine="283"/>
        <w:rPr>
          <w:rFonts w:hint="cs"/>
          <w:sz w:val="22"/>
          <w:szCs w:val="24"/>
          <w:rtl/>
        </w:rPr>
      </w:pPr>
      <w:r>
        <w:rPr>
          <w:rFonts w:hint="cs"/>
          <w:sz w:val="22"/>
          <w:szCs w:val="24"/>
          <w:rtl/>
        </w:rPr>
        <w:t>בעדותה הראשית פירטה המתלוננת שתי סיבות, אשר הביאו אותה לספר לאחותה על הארוע נושא כתב האישום: תכנית טלויזיה שעסקה בנשים שנפגעו מינית, אותה היא ראתה לפני נסיעתה לנורבגיה, ושיחה בינה ובין אחותה על מקרה דומה, שאירע לחברה שלהן ממושב תומר, בשם הדס פאר (עמ' 5 ש' 13-16).</w:t>
      </w:r>
    </w:p>
    <w:p w14:paraId="118A1AE3" w14:textId="77777777" w:rsidR="00A55500" w:rsidRDefault="00A55500">
      <w:pPr>
        <w:spacing w:after="80" w:line="320" w:lineRule="exact"/>
        <w:ind w:firstLine="283"/>
        <w:rPr>
          <w:rFonts w:hint="cs"/>
          <w:sz w:val="22"/>
          <w:szCs w:val="24"/>
          <w:rtl/>
        </w:rPr>
      </w:pPr>
    </w:p>
    <w:p w14:paraId="7A3629DD" w14:textId="77777777" w:rsidR="00A55500" w:rsidRDefault="00A55500">
      <w:pPr>
        <w:spacing w:after="80" w:line="320" w:lineRule="exact"/>
        <w:ind w:firstLine="283"/>
        <w:rPr>
          <w:rFonts w:hint="cs"/>
          <w:sz w:val="22"/>
          <w:szCs w:val="24"/>
          <w:rtl/>
        </w:rPr>
      </w:pPr>
      <w:r>
        <w:rPr>
          <w:rFonts w:hint="cs"/>
          <w:sz w:val="22"/>
          <w:szCs w:val="24"/>
          <w:rtl/>
        </w:rPr>
        <w:t>חוקר הנוער, אף הוא, פירט בחקירתו הראשית את שתי הסיבות שמנתה המתלוננת בעדותה כסיבות שהביאו אותה לספר על הארוע נשוא כתב האישום, והוסיף כי הסיבות הללו היו משכנעות (עמ' 3 ש' 7-12).</w:t>
      </w:r>
    </w:p>
    <w:p w14:paraId="0AF0F45B" w14:textId="77777777" w:rsidR="00A55500" w:rsidRDefault="00A55500">
      <w:pPr>
        <w:spacing w:after="80" w:line="320" w:lineRule="exact"/>
        <w:ind w:firstLine="283"/>
        <w:rPr>
          <w:rFonts w:hint="cs"/>
          <w:sz w:val="22"/>
          <w:szCs w:val="24"/>
          <w:rtl/>
        </w:rPr>
      </w:pPr>
    </w:p>
    <w:p w14:paraId="58DAFE48" w14:textId="77777777" w:rsidR="00A55500" w:rsidRDefault="00A55500">
      <w:pPr>
        <w:spacing w:after="80" w:line="320" w:lineRule="exact"/>
        <w:ind w:firstLine="283"/>
        <w:rPr>
          <w:rFonts w:hint="cs"/>
          <w:sz w:val="22"/>
          <w:szCs w:val="24"/>
          <w:rtl/>
        </w:rPr>
      </w:pPr>
      <w:r>
        <w:rPr>
          <w:rFonts w:hint="cs"/>
          <w:sz w:val="22"/>
          <w:szCs w:val="24"/>
          <w:rtl/>
        </w:rPr>
        <w:t>עם זאת, בת/2 סיפרה המתלוננת, כי היא החליטה לספר לאחותה על הארוע נושא כתב האישום משום שהיא ראתה, לפני נסיעתה לנורבגיה, פרק בסידרת הטלויזיה "קשר משפחתי", אשר עסק בגברים שנגעו בנשים (עמ' 16 ש' 16-24). המקרה של הדס פאר לא הועלה על ידי המתלוננת בת/2 כסיבה שהביאה אותה לספר לאחותה על הארוע נושא כתב האישום. מקרה זה הועלה, דווקא, על ידי חוקר הנוער במסגרת שאלה שהוא הפנה למתלוננת, האם היא שמעה על ארוע דומה שארע בבקעה כמו הארוע נושא כתב האישום (עמ' 19 ש' 9-12).</w:t>
      </w:r>
    </w:p>
    <w:p w14:paraId="6459E4F9" w14:textId="77777777" w:rsidR="00A55500" w:rsidRDefault="00A55500">
      <w:pPr>
        <w:spacing w:after="80" w:line="320" w:lineRule="exact"/>
        <w:ind w:firstLine="283"/>
        <w:rPr>
          <w:rFonts w:hint="cs"/>
          <w:sz w:val="22"/>
          <w:szCs w:val="24"/>
          <w:rtl/>
        </w:rPr>
      </w:pPr>
    </w:p>
    <w:p w14:paraId="67B215F9" w14:textId="77777777" w:rsidR="00A55500" w:rsidRDefault="00A55500">
      <w:pPr>
        <w:spacing w:after="80" w:line="320" w:lineRule="exact"/>
        <w:ind w:firstLine="283"/>
        <w:rPr>
          <w:rFonts w:hint="cs"/>
          <w:sz w:val="22"/>
          <w:szCs w:val="24"/>
          <w:rtl/>
        </w:rPr>
      </w:pPr>
      <w:r>
        <w:rPr>
          <w:rFonts w:hint="cs"/>
          <w:sz w:val="22"/>
          <w:szCs w:val="24"/>
          <w:rtl/>
        </w:rPr>
        <w:t>בניגוד לדבריו האמורים בעדותו הראשית, אישר חוקר הנוער בחקירתו הנגדית, כי המקרה של הדס פאר הועלה בת/2 מיוזמתו ואין הוא מהווה את הסיבה שהביאה את המתלוננת לספר על הארוע נושא כתב האישום (עמ' 4 ש' 28-36).</w:t>
      </w:r>
    </w:p>
    <w:p w14:paraId="3601D26A" w14:textId="77777777" w:rsidR="00A55500" w:rsidRDefault="00A55500">
      <w:pPr>
        <w:spacing w:after="80" w:line="320" w:lineRule="exact"/>
        <w:ind w:firstLine="283"/>
        <w:rPr>
          <w:rFonts w:hint="cs"/>
          <w:sz w:val="22"/>
          <w:szCs w:val="24"/>
          <w:rtl/>
        </w:rPr>
      </w:pPr>
    </w:p>
    <w:p w14:paraId="7EF207FE" w14:textId="77777777" w:rsidR="00A55500" w:rsidRDefault="00A55500">
      <w:pPr>
        <w:spacing w:after="80" w:line="320" w:lineRule="exact"/>
        <w:ind w:firstLine="283"/>
        <w:rPr>
          <w:rFonts w:hint="cs"/>
          <w:sz w:val="22"/>
          <w:szCs w:val="24"/>
          <w:rtl/>
        </w:rPr>
      </w:pPr>
      <w:r>
        <w:rPr>
          <w:rFonts w:hint="cs"/>
          <w:sz w:val="22"/>
          <w:szCs w:val="24"/>
          <w:rtl/>
        </w:rPr>
        <w:t>הוריה של המתלוננת, לעומת זאת, סיפרו בהודעתם במשטרה, כי המתלוננת אמרה להם שהסיבה שהיא החליטה לספר להם על הארוע נושא כתב האישום היא המקרה שארע לחברתה הדס פאר ולא התוכנית "קשר משפחתי" (פר' מיום 22.2.99 עמ' 4 ש' 17-18 וש' 21-22).</w:t>
      </w:r>
    </w:p>
    <w:p w14:paraId="26299329" w14:textId="77777777" w:rsidR="00A55500" w:rsidRDefault="00A55500">
      <w:pPr>
        <w:spacing w:after="80" w:line="320" w:lineRule="exact"/>
        <w:ind w:firstLine="283"/>
        <w:rPr>
          <w:rFonts w:hint="cs"/>
          <w:sz w:val="22"/>
          <w:szCs w:val="24"/>
          <w:rtl/>
        </w:rPr>
      </w:pPr>
    </w:p>
    <w:p w14:paraId="23FF5759" w14:textId="77777777" w:rsidR="00A55500" w:rsidRDefault="00A55500">
      <w:pPr>
        <w:spacing w:after="80" w:line="320" w:lineRule="exact"/>
        <w:ind w:firstLine="283"/>
        <w:rPr>
          <w:rFonts w:hint="cs"/>
          <w:sz w:val="22"/>
          <w:szCs w:val="24"/>
          <w:rtl/>
        </w:rPr>
      </w:pPr>
      <w:r>
        <w:rPr>
          <w:rFonts w:hint="cs"/>
          <w:sz w:val="22"/>
          <w:szCs w:val="24"/>
          <w:rtl/>
        </w:rPr>
        <w:t>כשנשאלה המתלוננת בחקירתה הנגדית, מדוע להוריה היא סיפרה כי הסיבה שהביאה אותה לספר על משהו של הנאשם היא המקרה שארע להדס פאר, בעוד שלחוקר הנוער היא לא סיפרה על המקרה שארע להדס כאחת הסיבות שהביאו עצמה לספר על מעשהו של הנאשם, היא השיבה כי (עמ' 15 ש' 20):</w:t>
      </w:r>
    </w:p>
    <w:p w14:paraId="15C6C7CD" w14:textId="77777777" w:rsidR="00A55500" w:rsidRDefault="00A55500">
      <w:pPr>
        <w:pStyle w:val="a1"/>
        <w:spacing w:after="80" w:line="320" w:lineRule="exact"/>
        <w:ind w:left="0" w:right="0" w:firstLine="283"/>
        <w:rPr>
          <w:rFonts w:cs="David" w:hint="cs"/>
          <w:sz w:val="22"/>
          <w:szCs w:val="24"/>
          <w:rtl/>
        </w:rPr>
      </w:pPr>
      <w:r>
        <w:rPr>
          <w:rFonts w:cs="David" w:hint="cs"/>
          <w:sz w:val="22"/>
          <w:szCs w:val="24"/>
          <w:rtl/>
        </w:rPr>
        <w:t>”גם וגם, ש... דיברנו על הדס ואז החלטתי".</w:t>
      </w:r>
    </w:p>
    <w:p w14:paraId="05EBCE7B" w14:textId="77777777" w:rsidR="00A55500" w:rsidRDefault="00A55500">
      <w:pPr>
        <w:pStyle w:val="a1"/>
        <w:spacing w:after="80" w:line="320" w:lineRule="exact"/>
        <w:ind w:left="0" w:right="0" w:firstLine="283"/>
        <w:rPr>
          <w:rFonts w:cs="David" w:hint="cs"/>
          <w:sz w:val="22"/>
          <w:szCs w:val="24"/>
          <w:rtl/>
        </w:rPr>
      </w:pPr>
    </w:p>
    <w:p w14:paraId="425CF157" w14:textId="77777777" w:rsidR="00A55500" w:rsidRDefault="00A55500">
      <w:pPr>
        <w:spacing w:after="80" w:line="320" w:lineRule="exact"/>
        <w:ind w:firstLine="283"/>
        <w:rPr>
          <w:rFonts w:hint="cs"/>
          <w:sz w:val="22"/>
          <w:szCs w:val="24"/>
          <w:rtl/>
        </w:rPr>
      </w:pPr>
      <w:r>
        <w:rPr>
          <w:rFonts w:hint="cs"/>
          <w:sz w:val="22"/>
          <w:szCs w:val="24"/>
          <w:rtl/>
        </w:rPr>
        <w:t>המתלוננת גם לא זכרה כמה זמן לפני שהיא סיפרה לאחותה על הארוע נושא כתב האישום היא ראתה את תכנית הטלויזיה "קשר משפחתי" (עמ' 12 ש' 25-30) ושמעה על המקרה שארע לחברתה הדס פאר (עמ' 5 ש' 23-24).</w:t>
      </w:r>
    </w:p>
    <w:p w14:paraId="02A37A57" w14:textId="77777777" w:rsidR="00A55500" w:rsidRDefault="00A55500">
      <w:pPr>
        <w:spacing w:after="80" w:line="320" w:lineRule="exact"/>
        <w:ind w:firstLine="283"/>
        <w:rPr>
          <w:rFonts w:hint="cs"/>
          <w:sz w:val="22"/>
          <w:szCs w:val="24"/>
          <w:rtl/>
        </w:rPr>
      </w:pPr>
    </w:p>
    <w:p w14:paraId="54990604" w14:textId="77777777" w:rsidR="00A55500" w:rsidRDefault="00A55500">
      <w:pPr>
        <w:spacing w:after="80" w:line="320" w:lineRule="exact"/>
        <w:ind w:firstLine="283"/>
        <w:rPr>
          <w:rFonts w:hint="cs"/>
          <w:sz w:val="22"/>
          <w:szCs w:val="24"/>
          <w:rtl/>
        </w:rPr>
      </w:pPr>
      <w:r>
        <w:rPr>
          <w:rFonts w:hint="cs"/>
          <w:sz w:val="22"/>
          <w:szCs w:val="24"/>
          <w:rtl/>
        </w:rPr>
        <w:t>עם זאת, בת/2 אישרה המתלוננת, כי את הפרק בסדרת הטלויזיה "קשר משפחתי" היא ראתה לפני נסיעתה לנורבגיה(עמ' 17 ש' 6) ובעדותה הראשית העידה כי היא שמעה על המקרה שארע להדס פאר עוד קודם שהיא סיפרה לאחותה על הארוע נושא כתב האישום (עמ' 12 ש' 36-37).</w:t>
      </w:r>
    </w:p>
    <w:p w14:paraId="0D8899F4" w14:textId="77777777" w:rsidR="00A55500" w:rsidRDefault="00A55500">
      <w:pPr>
        <w:spacing w:after="80" w:line="320" w:lineRule="exact"/>
        <w:ind w:firstLine="283"/>
        <w:rPr>
          <w:rFonts w:hint="cs"/>
          <w:sz w:val="22"/>
          <w:szCs w:val="24"/>
          <w:rtl/>
        </w:rPr>
      </w:pPr>
    </w:p>
    <w:p w14:paraId="4C86EF98" w14:textId="77777777" w:rsidR="00A55500" w:rsidRDefault="00A55500">
      <w:pPr>
        <w:spacing w:after="80" w:line="320" w:lineRule="exact"/>
        <w:ind w:firstLine="283"/>
        <w:rPr>
          <w:rFonts w:hint="cs"/>
          <w:sz w:val="22"/>
          <w:szCs w:val="24"/>
          <w:rtl/>
        </w:rPr>
      </w:pPr>
      <w:r>
        <w:rPr>
          <w:rFonts w:hint="cs"/>
          <w:sz w:val="22"/>
          <w:szCs w:val="24"/>
          <w:rtl/>
        </w:rPr>
        <w:t>כשנשאלה המתלוננת מדוע היא לא סיפרה על הארוע נושא כתב האישום בסמוך לאחר שהיא ראתה את התכנית "קשר משפחתי" ושמעה על המקרה של הדס פאר, שהן הסיבות שהביאו אותה,לטענתה, לספר, בסופו של דבר, את הארוע לאחותה, היא השיבה כי (עמ' 13 ש' 2-3):</w:t>
      </w:r>
    </w:p>
    <w:p w14:paraId="6FA27EC5" w14:textId="77777777" w:rsidR="00A55500" w:rsidRDefault="00A55500">
      <w:pPr>
        <w:pStyle w:val="a1"/>
        <w:spacing w:after="80" w:line="320" w:lineRule="exact"/>
        <w:ind w:left="0" w:right="0" w:firstLine="283"/>
        <w:rPr>
          <w:rFonts w:cs="David" w:hint="cs"/>
          <w:sz w:val="22"/>
          <w:szCs w:val="24"/>
          <w:rtl/>
        </w:rPr>
      </w:pPr>
      <w:r>
        <w:rPr>
          <w:rFonts w:cs="David" w:hint="cs"/>
          <w:sz w:val="22"/>
          <w:szCs w:val="24"/>
          <w:rtl/>
        </w:rPr>
        <w:t>”לא יודעת, כאילו, קודם רציתי אבל לא מצאתי זמן לא ידעתי מה, ואיך לספר וזה, ועד שיצא לי".</w:t>
      </w:r>
    </w:p>
    <w:p w14:paraId="47E642A1" w14:textId="77777777" w:rsidR="00A55500" w:rsidRDefault="00A55500">
      <w:pPr>
        <w:pStyle w:val="a1"/>
        <w:spacing w:after="80" w:line="320" w:lineRule="exact"/>
        <w:ind w:left="0" w:right="0" w:firstLine="283"/>
        <w:rPr>
          <w:rFonts w:cs="David" w:hint="cs"/>
          <w:sz w:val="22"/>
          <w:szCs w:val="24"/>
          <w:rtl/>
        </w:rPr>
      </w:pPr>
    </w:p>
    <w:p w14:paraId="6796E617" w14:textId="77777777" w:rsidR="00A55500" w:rsidRDefault="00A55500">
      <w:pPr>
        <w:spacing w:after="80" w:line="320" w:lineRule="exact"/>
        <w:ind w:firstLine="283"/>
        <w:rPr>
          <w:rFonts w:hint="cs"/>
          <w:sz w:val="22"/>
          <w:szCs w:val="24"/>
          <w:rtl/>
        </w:rPr>
      </w:pPr>
      <w:r>
        <w:rPr>
          <w:rFonts w:hint="cs"/>
          <w:sz w:val="22"/>
          <w:szCs w:val="24"/>
          <w:rtl/>
        </w:rPr>
        <w:t>תשובתה זו של המתלוננת איננה בלתי משכנעת, בעיקר משום שעסקינן בקטינה ועל כן התלבטות שלה איך לספר ומתי היא התלבטות סבירה ולגיטימית. עם זאת, ריבוי גריסאותיה של המתלוננת בדבר הסיבה או הסיבות שהביאו אותה לספר,לראשונה, לאחותה על מעשי הנאשם, והעדר הסבר משכנע מצידה לריבוי גרסאות אלה, אינם מאפשרים  קביעת ממצא ברור באשר לסיבה שבגללה סיפרה המתלוננת מה שסיפרה.</w:t>
      </w:r>
    </w:p>
    <w:p w14:paraId="2305E4C3" w14:textId="77777777" w:rsidR="00A55500" w:rsidRDefault="00A55500">
      <w:pPr>
        <w:spacing w:after="80" w:line="320" w:lineRule="exact"/>
        <w:ind w:firstLine="283"/>
        <w:rPr>
          <w:rFonts w:hint="cs"/>
          <w:sz w:val="22"/>
          <w:szCs w:val="24"/>
          <w:rtl/>
        </w:rPr>
      </w:pPr>
    </w:p>
    <w:p w14:paraId="3425CF9A" w14:textId="77777777" w:rsidR="00A55500" w:rsidRDefault="00A55500">
      <w:pPr>
        <w:spacing w:after="80" w:line="320" w:lineRule="exact"/>
        <w:ind w:firstLine="283"/>
        <w:rPr>
          <w:rFonts w:hint="cs"/>
          <w:sz w:val="22"/>
          <w:szCs w:val="24"/>
          <w:rtl/>
        </w:rPr>
      </w:pPr>
      <w:r>
        <w:rPr>
          <w:rFonts w:hint="cs"/>
          <w:sz w:val="22"/>
          <w:szCs w:val="24"/>
          <w:rtl/>
        </w:rPr>
        <w:t>בת/2 ובחקירתה הנגדית סיפרה המתלוננת, כי תחילה היא סיפרה על הארוע נושא כתב האישום לאחותה, לאחר מכן להוריה ולאחר מכן ליועצת של בית הספר בו היא למדה, הגב' מימי כהן (עמ' 13 ש' 7-8 ות/2 עמ' 17 ש' 18-24).</w:t>
      </w:r>
    </w:p>
    <w:p w14:paraId="299A1AB8" w14:textId="77777777" w:rsidR="00A55500" w:rsidRDefault="00A55500">
      <w:pPr>
        <w:spacing w:after="80" w:line="320" w:lineRule="exact"/>
        <w:ind w:firstLine="283"/>
        <w:rPr>
          <w:rFonts w:hint="cs"/>
          <w:sz w:val="22"/>
          <w:szCs w:val="24"/>
          <w:rtl/>
        </w:rPr>
      </w:pPr>
    </w:p>
    <w:p w14:paraId="17FFBB2B" w14:textId="77777777" w:rsidR="00A55500" w:rsidRDefault="00A55500">
      <w:pPr>
        <w:spacing w:after="80" w:line="320" w:lineRule="exact"/>
        <w:ind w:firstLine="283"/>
        <w:rPr>
          <w:rFonts w:hint="cs"/>
          <w:sz w:val="22"/>
          <w:szCs w:val="24"/>
          <w:rtl/>
        </w:rPr>
      </w:pPr>
      <w:r>
        <w:rPr>
          <w:rFonts w:hint="cs"/>
          <w:sz w:val="22"/>
          <w:szCs w:val="24"/>
          <w:rtl/>
        </w:rPr>
        <w:t>אחותה של המתלוננת לא נחקרה במשטרה ולא הובאה להעיד בבית המשפט. למחדל זה אני מייחסת משקל לא מבוטל, מהטעם שלאחר שהמתלוננת סיפרה לאחותה על הארוע נושא כתב האישום היא סיפרה זאת לאנשים נוספים ועל כן לא ניתן לשלול את האפשרות שהסיפור עבר "גילגולים" שונים, כך שהגירסה המופיעה בת/2 איננה הגירסה שסיפרה המתלוננת, לראשונה, לאחותה. כמו-כן מהטעם שהיות שאחותה של המתלוננת היתה הראשונה לשמוע מפי המתלוננת על הארוע נושא כתב האישום, יש חשיבות רבה לנסיבות שבהן סיפרה המתלוננת לאחותה על הארוע האמור. נסיבות אלו מהוות אינדיקציה נוספת לאמיתות גירסתה ועל כן אי העדתה של אחותה של המתלוננת לא מאפשר לבית המשפט לעמוד על נסיבות אלה.</w:t>
      </w:r>
    </w:p>
    <w:p w14:paraId="48BC2E8C" w14:textId="77777777" w:rsidR="00A55500" w:rsidRDefault="00A55500">
      <w:pPr>
        <w:spacing w:after="80" w:line="320" w:lineRule="exact"/>
        <w:ind w:firstLine="283"/>
        <w:rPr>
          <w:rFonts w:hint="cs"/>
          <w:sz w:val="22"/>
          <w:szCs w:val="24"/>
          <w:rtl/>
        </w:rPr>
      </w:pPr>
    </w:p>
    <w:p w14:paraId="76528719" w14:textId="77777777" w:rsidR="00A55500" w:rsidRDefault="00A55500">
      <w:pPr>
        <w:spacing w:after="80" w:line="320" w:lineRule="exact"/>
        <w:ind w:firstLine="283"/>
        <w:rPr>
          <w:rFonts w:hint="cs"/>
          <w:sz w:val="22"/>
          <w:szCs w:val="24"/>
          <w:rtl/>
        </w:rPr>
      </w:pPr>
      <w:r>
        <w:rPr>
          <w:rFonts w:hint="cs"/>
          <w:sz w:val="22"/>
          <w:szCs w:val="24"/>
          <w:rtl/>
        </w:rPr>
        <w:t>הוריה של המתלוננת נחקרו, אמנם, במשטרה, אך גם הם לא הובאו להעיד בבית המשפט כדי להאיר את הנסיבות בהן סיפרה להן המתלוננת על הארוע נושא כתב האישום וכדי להסביר מדוע התמהמהו בהגשת התלונה במשטרה, כפי שנראה בהמשך.</w:t>
      </w:r>
    </w:p>
    <w:p w14:paraId="5715CCE8" w14:textId="77777777" w:rsidR="00A55500" w:rsidRDefault="00A55500">
      <w:pPr>
        <w:spacing w:after="80" w:line="320" w:lineRule="exact"/>
        <w:ind w:firstLine="283"/>
        <w:rPr>
          <w:rFonts w:hint="cs"/>
          <w:sz w:val="22"/>
          <w:szCs w:val="24"/>
          <w:rtl/>
        </w:rPr>
      </w:pPr>
    </w:p>
    <w:p w14:paraId="7A62BFD0" w14:textId="77777777" w:rsidR="00A55500" w:rsidRDefault="00A55500">
      <w:pPr>
        <w:spacing w:after="80" w:line="320" w:lineRule="exact"/>
        <w:ind w:firstLine="283"/>
        <w:rPr>
          <w:rFonts w:hint="cs"/>
          <w:sz w:val="22"/>
          <w:szCs w:val="24"/>
          <w:rtl/>
        </w:rPr>
      </w:pPr>
      <w:r>
        <w:rPr>
          <w:rFonts w:hint="cs"/>
          <w:sz w:val="22"/>
          <w:szCs w:val="24"/>
          <w:rtl/>
        </w:rPr>
        <w:t>יועצת בית הספר, אף היא, לא נחקרה במשטרה ולא הובאה לעדות בבית המשפט וגם למחדל זה אני מייחסת משקל לא מבוטל.</w:t>
      </w:r>
    </w:p>
    <w:p w14:paraId="39657F1B" w14:textId="77777777" w:rsidR="00A55500" w:rsidRDefault="00A55500">
      <w:pPr>
        <w:spacing w:after="80" w:line="320" w:lineRule="exact"/>
        <w:ind w:firstLine="283"/>
        <w:rPr>
          <w:rFonts w:hint="cs"/>
          <w:sz w:val="22"/>
          <w:szCs w:val="24"/>
          <w:rtl/>
        </w:rPr>
      </w:pPr>
    </w:p>
    <w:p w14:paraId="05CA020F" w14:textId="77777777" w:rsidR="00A55500" w:rsidRDefault="00A55500">
      <w:pPr>
        <w:spacing w:after="80" w:line="320" w:lineRule="exact"/>
        <w:ind w:firstLine="283"/>
        <w:rPr>
          <w:rFonts w:hint="cs"/>
          <w:sz w:val="22"/>
          <w:szCs w:val="24"/>
          <w:rtl/>
        </w:rPr>
      </w:pPr>
      <w:r>
        <w:rPr>
          <w:rFonts w:hint="cs"/>
          <w:sz w:val="22"/>
          <w:szCs w:val="24"/>
          <w:rtl/>
        </w:rPr>
        <w:t>בת/2 סיפרה המתלוננת,כי בערך חודשיים לפני חקירתה במשטרה היא פנתה ליועצת בית הספר וסיפרה לה על הארוע נושא כתב האישום (עמ' 17 ש' 26).</w:t>
      </w:r>
    </w:p>
    <w:p w14:paraId="31BDA55C" w14:textId="77777777" w:rsidR="00A55500" w:rsidRDefault="00A55500">
      <w:pPr>
        <w:spacing w:after="80" w:line="320" w:lineRule="exact"/>
        <w:ind w:firstLine="283"/>
        <w:rPr>
          <w:rFonts w:hint="cs"/>
          <w:sz w:val="22"/>
          <w:szCs w:val="24"/>
          <w:rtl/>
        </w:rPr>
      </w:pPr>
    </w:p>
    <w:p w14:paraId="537D7ED5" w14:textId="77777777" w:rsidR="00A55500" w:rsidRDefault="00A55500">
      <w:pPr>
        <w:spacing w:after="80" w:line="320" w:lineRule="exact"/>
        <w:ind w:firstLine="283"/>
        <w:rPr>
          <w:rFonts w:hint="cs"/>
          <w:sz w:val="22"/>
          <w:szCs w:val="24"/>
          <w:rtl/>
        </w:rPr>
      </w:pPr>
      <w:r>
        <w:rPr>
          <w:rFonts w:hint="cs"/>
          <w:sz w:val="22"/>
          <w:szCs w:val="24"/>
          <w:rtl/>
        </w:rPr>
        <w:t>על-פי סע' 368ד'(ד) לחוק, היה על יועצת בית הספר חובה לדווח על הארוע נושא כתב האישום לפקיד הסעד או למשטרה.</w:t>
      </w:r>
    </w:p>
    <w:p w14:paraId="10778501" w14:textId="77777777" w:rsidR="00A55500" w:rsidRDefault="00A55500">
      <w:pPr>
        <w:spacing w:after="80" w:line="320" w:lineRule="exact"/>
        <w:ind w:firstLine="283"/>
        <w:rPr>
          <w:rFonts w:hint="cs"/>
          <w:sz w:val="22"/>
          <w:szCs w:val="24"/>
          <w:rtl/>
        </w:rPr>
      </w:pPr>
    </w:p>
    <w:p w14:paraId="54361FC0" w14:textId="77777777" w:rsidR="00A55500" w:rsidRDefault="00A55500">
      <w:pPr>
        <w:spacing w:after="80" w:line="320" w:lineRule="exact"/>
        <w:ind w:firstLine="283"/>
        <w:rPr>
          <w:rFonts w:hint="cs"/>
          <w:sz w:val="22"/>
          <w:szCs w:val="24"/>
          <w:rtl/>
        </w:rPr>
      </w:pPr>
      <w:r>
        <w:rPr>
          <w:rFonts w:hint="cs"/>
          <w:sz w:val="22"/>
          <w:szCs w:val="24"/>
          <w:rtl/>
        </w:rPr>
        <w:t xml:space="preserve">לא הובאה לפני כל ראיה לכך שיועצת בית הספר דיווחה על הארוע שהיא שמעה מהמתלוננת לאחד משני הגורמים האורים </w:t>
      </w:r>
      <w:hyperlink r:id="rId23" w:history="1">
        <w:r w:rsidR="00024933" w:rsidRPr="00024933">
          <w:rPr>
            <w:rStyle w:val="Hyperlink"/>
            <w:rFonts w:hint="eastAsia"/>
            <w:sz w:val="22"/>
            <w:szCs w:val="24"/>
            <w:rtl/>
          </w:rPr>
          <w:t>בסעיף</w:t>
        </w:r>
        <w:r w:rsidR="00024933" w:rsidRPr="00024933">
          <w:rPr>
            <w:rStyle w:val="Hyperlink"/>
            <w:sz w:val="22"/>
            <w:szCs w:val="24"/>
            <w:rtl/>
          </w:rPr>
          <w:t xml:space="preserve"> 368ד'(ד)</w:t>
        </w:r>
      </w:hyperlink>
      <w:r>
        <w:rPr>
          <w:rFonts w:hint="cs"/>
          <w:sz w:val="22"/>
          <w:szCs w:val="24"/>
          <w:rtl/>
        </w:rPr>
        <w:t xml:space="preserve"> לחוק.</w:t>
      </w:r>
    </w:p>
    <w:p w14:paraId="3B6CDEEB" w14:textId="77777777" w:rsidR="00A55500" w:rsidRDefault="00A55500">
      <w:pPr>
        <w:spacing w:after="80" w:line="320" w:lineRule="exact"/>
        <w:ind w:firstLine="283"/>
        <w:rPr>
          <w:rFonts w:hint="cs"/>
          <w:sz w:val="22"/>
          <w:szCs w:val="24"/>
          <w:rtl/>
        </w:rPr>
      </w:pPr>
    </w:p>
    <w:p w14:paraId="5AB0B2DD" w14:textId="77777777" w:rsidR="00A55500" w:rsidRDefault="00A55500">
      <w:pPr>
        <w:spacing w:after="80" w:line="320" w:lineRule="exact"/>
        <w:ind w:firstLine="283"/>
        <w:rPr>
          <w:rFonts w:hint="cs"/>
          <w:sz w:val="22"/>
          <w:szCs w:val="24"/>
          <w:rtl/>
        </w:rPr>
      </w:pPr>
      <w:r>
        <w:rPr>
          <w:rFonts w:hint="cs"/>
          <w:sz w:val="22"/>
          <w:szCs w:val="24"/>
          <w:rtl/>
        </w:rPr>
        <w:t>אם היועצת לא דיווחה על הארוע נושא כתב האישום יתכן שהיא הפרה את חובת הדיווח המוטלת עליה מכח החוק, דבר שהוא חמור ללא ספק, או שהארוע, כפי שסיפרה לה אותו המתלונננת, לא היה בו כדי לעלות חשד לביצוע העבירה.</w:t>
      </w:r>
    </w:p>
    <w:p w14:paraId="47CAABCA" w14:textId="77777777" w:rsidR="00A55500" w:rsidRDefault="00A55500">
      <w:pPr>
        <w:spacing w:after="80" w:line="320" w:lineRule="exact"/>
        <w:ind w:firstLine="283"/>
        <w:rPr>
          <w:rFonts w:hint="cs"/>
          <w:sz w:val="22"/>
          <w:szCs w:val="24"/>
          <w:rtl/>
        </w:rPr>
      </w:pPr>
    </w:p>
    <w:p w14:paraId="452D469D" w14:textId="77777777" w:rsidR="00A55500" w:rsidRDefault="00A55500">
      <w:pPr>
        <w:spacing w:after="80" w:line="320" w:lineRule="exact"/>
        <w:ind w:firstLine="283"/>
        <w:rPr>
          <w:rFonts w:hint="cs"/>
          <w:sz w:val="22"/>
          <w:szCs w:val="24"/>
          <w:rtl/>
        </w:rPr>
      </w:pPr>
      <w:r>
        <w:rPr>
          <w:rFonts w:hint="cs"/>
          <w:sz w:val="22"/>
          <w:szCs w:val="24"/>
          <w:rtl/>
        </w:rPr>
        <w:t>נוכח האפשרויות שלעיל, היה זה אך מתבקש שיועצת בית הספר תיחקר במשטרה ובהתאם לחקירה זו, אולי, תובא להעיד בבית המשפט. מחדל זה מותיר ספק אם הסיפור שסיפרה המתלוננת ליועצת בית הספר הוא גם הסיפור שהיא סיפרה בת/2. ספק זה פועל לטובת הנאשם.</w:t>
      </w:r>
    </w:p>
    <w:p w14:paraId="74FAD3E4" w14:textId="77777777" w:rsidR="00A55500" w:rsidRDefault="00A55500">
      <w:pPr>
        <w:spacing w:after="80" w:line="320" w:lineRule="exact"/>
        <w:ind w:firstLine="283"/>
        <w:rPr>
          <w:rFonts w:hint="cs"/>
          <w:sz w:val="22"/>
          <w:szCs w:val="24"/>
          <w:rtl/>
        </w:rPr>
      </w:pPr>
    </w:p>
    <w:p w14:paraId="559FD062" w14:textId="77777777" w:rsidR="00A55500" w:rsidRDefault="00A55500">
      <w:pPr>
        <w:spacing w:after="80" w:line="320" w:lineRule="exact"/>
        <w:ind w:firstLine="283"/>
        <w:rPr>
          <w:rFonts w:hint="cs"/>
          <w:sz w:val="22"/>
          <w:szCs w:val="24"/>
          <w:rtl/>
        </w:rPr>
      </w:pPr>
      <w:r>
        <w:rPr>
          <w:rFonts w:hint="cs"/>
          <w:sz w:val="22"/>
          <w:szCs w:val="24"/>
          <w:rtl/>
        </w:rPr>
        <w:t>מעדותה של המתלוננת עולה, כי לפני המועד שבו היא סיפרה לאחותה על מעשהו של הנאשם ארע לה מקרה נוסף, בו אחד מילדי הישוב ניסה להוריד לה את המכנסיים בעת שהותם במועדון (עמ' 6 ש' 9 ועמ' 14 ש' 32-33). לא זו בלבד שהמתלוננת לא סיפרה על כך לחוקר הנוער, אלא שתמוה בעיני מדוע מקרה זו לא היה, מבחינת המתלוננת, אחת מהסיבות שהביאו אותה לספר על מעשי הנאשם הנטענים על ידה.</w:t>
      </w:r>
    </w:p>
    <w:p w14:paraId="6F0A117F" w14:textId="77777777" w:rsidR="00A55500" w:rsidRDefault="00A55500">
      <w:pPr>
        <w:spacing w:after="80" w:line="320" w:lineRule="exact"/>
        <w:ind w:firstLine="283"/>
        <w:rPr>
          <w:rFonts w:hint="cs"/>
          <w:sz w:val="22"/>
          <w:szCs w:val="24"/>
          <w:rtl/>
        </w:rPr>
      </w:pPr>
    </w:p>
    <w:p w14:paraId="704E236E" w14:textId="77777777" w:rsidR="00A55500" w:rsidRDefault="00A55500">
      <w:pPr>
        <w:spacing w:after="80" w:line="320" w:lineRule="exact"/>
        <w:ind w:firstLine="283"/>
        <w:rPr>
          <w:rFonts w:hint="cs"/>
          <w:sz w:val="22"/>
          <w:szCs w:val="24"/>
          <w:rtl/>
        </w:rPr>
      </w:pPr>
      <w:r>
        <w:rPr>
          <w:rFonts w:hint="cs"/>
          <w:sz w:val="22"/>
          <w:szCs w:val="24"/>
          <w:rtl/>
        </w:rPr>
        <w:t>ב"כ הנאשם הצביע על דימיון שבין המקרה שארע להדס פאר לבין הארוע נושא כתב האישום וציין כי מדימיון זה בין שני המקרים עולה חשש כבד שבגלל מורכבויות משפחתיות פנימיות ומורכבות נפשית של המתלוננת היא בחרה לקבל תשומת לב כפי שהדס פאר קיבלה כאשר היא סיפרה על הארוע שארע לה.</w:t>
      </w:r>
    </w:p>
    <w:p w14:paraId="00B21B31" w14:textId="77777777" w:rsidR="00A55500" w:rsidRDefault="00A55500">
      <w:pPr>
        <w:spacing w:after="80" w:line="320" w:lineRule="exact"/>
        <w:ind w:firstLine="283"/>
        <w:rPr>
          <w:rFonts w:hint="cs"/>
          <w:sz w:val="22"/>
          <w:szCs w:val="24"/>
          <w:rtl/>
        </w:rPr>
      </w:pPr>
    </w:p>
    <w:p w14:paraId="4BC9CD63" w14:textId="77777777" w:rsidR="00A55500" w:rsidRDefault="00A55500">
      <w:pPr>
        <w:spacing w:after="80" w:line="320" w:lineRule="exact"/>
        <w:ind w:firstLine="283"/>
        <w:rPr>
          <w:rFonts w:hint="cs"/>
          <w:sz w:val="22"/>
          <w:szCs w:val="24"/>
          <w:rtl/>
        </w:rPr>
      </w:pPr>
      <w:r>
        <w:rPr>
          <w:rFonts w:hint="cs"/>
          <w:sz w:val="22"/>
          <w:szCs w:val="24"/>
          <w:rtl/>
        </w:rPr>
        <w:t>המתלוננת אישרה בעדותה, כי היא ידעה על המקרה של הדס פאר עוד לפני שהיא סיפרה לאחותה על הארוע נושא כתב האישום.</w:t>
      </w:r>
    </w:p>
    <w:p w14:paraId="17D93DB6" w14:textId="77777777" w:rsidR="00A55500" w:rsidRDefault="00A55500">
      <w:pPr>
        <w:spacing w:after="80" w:line="320" w:lineRule="exact"/>
        <w:ind w:firstLine="283"/>
        <w:rPr>
          <w:rFonts w:hint="cs"/>
          <w:sz w:val="22"/>
          <w:szCs w:val="24"/>
          <w:rtl/>
        </w:rPr>
      </w:pPr>
    </w:p>
    <w:p w14:paraId="04213FE5" w14:textId="77777777" w:rsidR="00A55500" w:rsidRDefault="00A55500">
      <w:pPr>
        <w:spacing w:after="80" w:line="320" w:lineRule="exact"/>
        <w:ind w:firstLine="283"/>
        <w:rPr>
          <w:rFonts w:hint="cs"/>
          <w:sz w:val="22"/>
          <w:szCs w:val="24"/>
          <w:rtl/>
        </w:rPr>
      </w:pPr>
      <w:r>
        <w:rPr>
          <w:rFonts w:hint="cs"/>
          <w:sz w:val="22"/>
          <w:szCs w:val="24"/>
          <w:rtl/>
        </w:rPr>
        <w:t>מעדותה של המתלוננת עולה, כי היא ידעה שהדס קיבלה תשומת לב רבה לאחר שהיא סיפרה על מה שארע לה (עמ' 13 ש' 20-21), כי הדס לא סיפרה על המקרה שארע לה במשך מספר שנים ממועד התרחשותו (ת/2 עמ' 19 ש' 20) וכי לפני שהדס סיפרה למשטרה על מה שארע לה היא סיפרה על כך לחברה שלה והחברה שלה סיפרה לאמה, שהינה יועצת (עמ' 13 ש' 17-19 ות/2 עמ' 20 ש' 13-14).</w:t>
      </w:r>
    </w:p>
    <w:p w14:paraId="0A9CE054" w14:textId="77777777" w:rsidR="00A55500" w:rsidRDefault="00A55500">
      <w:pPr>
        <w:spacing w:after="80" w:line="320" w:lineRule="exact"/>
        <w:ind w:firstLine="283"/>
        <w:rPr>
          <w:rFonts w:hint="cs"/>
          <w:sz w:val="22"/>
          <w:szCs w:val="24"/>
          <w:rtl/>
        </w:rPr>
      </w:pPr>
    </w:p>
    <w:p w14:paraId="3F56A978" w14:textId="77777777" w:rsidR="00A55500" w:rsidRDefault="00A55500">
      <w:pPr>
        <w:spacing w:after="80" w:line="320" w:lineRule="exact"/>
        <w:ind w:firstLine="283"/>
        <w:rPr>
          <w:rFonts w:hint="cs"/>
          <w:sz w:val="22"/>
          <w:szCs w:val="24"/>
          <w:rtl/>
        </w:rPr>
      </w:pPr>
      <w:r>
        <w:rPr>
          <w:rFonts w:hint="cs"/>
          <w:sz w:val="22"/>
          <w:szCs w:val="24"/>
          <w:rtl/>
        </w:rPr>
        <w:t>גם במקרה שלפני החליטה המתלוננת לספר על הארוע נושא כתב האישום רק כעבור שנתיים ממועד התרחשותו והיא סיפרה זאת גם ליועצת בית הספר,למרות שהיא לא היתה קרובה ליועצת יותר מאשר להוריה (ע' 13 ש' 13-16).</w:t>
      </w:r>
    </w:p>
    <w:p w14:paraId="7AB027D9" w14:textId="77777777" w:rsidR="00A55500" w:rsidRDefault="00A55500">
      <w:pPr>
        <w:spacing w:after="80" w:line="320" w:lineRule="exact"/>
        <w:ind w:firstLine="283"/>
        <w:rPr>
          <w:rFonts w:hint="cs"/>
          <w:sz w:val="22"/>
          <w:szCs w:val="24"/>
          <w:rtl/>
        </w:rPr>
      </w:pPr>
    </w:p>
    <w:p w14:paraId="52F5A611" w14:textId="77777777" w:rsidR="00A55500" w:rsidRDefault="00A55500">
      <w:pPr>
        <w:spacing w:after="80" w:line="320" w:lineRule="exact"/>
        <w:ind w:firstLine="283"/>
        <w:rPr>
          <w:rFonts w:hint="cs"/>
          <w:sz w:val="22"/>
          <w:szCs w:val="24"/>
          <w:rtl/>
        </w:rPr>
      </w:pPr>
      <w:r>
        <w:rPr>
          <w:rFonts w:hint="cs"/>
          <w:sz w:val="22"/>
          <w:szCs w:val="24"/>
          <w:rtl/>
        </w:rPr>
        <w:t>חרף הדימיון האמור, לא הונחה תשתית ראייתית מספקת להוכחת מורכבות ו/או בעייתיות ביחסים שבין המתלוננת להוריה ועל כן לא ניתן לקבוע בוודאות שהמתלוננת בחרה להעליל על הנאשם, עלילת שווא, כדי לזכות בתשומת לב שלא ניתנה לה על ידי הוריה בשל מורכבות משפחתית פנימית. לפיכך, אינני מייחסת משקל לדמיון שבין המקרה של הדס פאר לבין הארוע נושא כתב האישום.</w:t>
      </w:r>
    </w:p>
    <w:p w14:paraId="34F0CC4B" w14:textId="77777777" w:rsidR="00A55500" w:rsidRDefault="00A55500">
      <w:pPr>
        <w:spacing w:after="80" w:line="320" w:lineRule="exact"/>
        <w:ind w:firstLine="283"/>
        <w:rPr>
          <w:rFonts w:hint="cs"/>
          <w:sz w:val="22"/>
          <w:szCs w:val="24"/>
          <w:rtl/>
        </w:rPr>
      </w:pPr>
    </w:p>
    <w:p w14:paraId="14DA253A" w14:textId="77777777" w:rsidR="00A55500" w:rsidRDefault="00A55500">
      <w:pPr>
        <w:spacing w:after="80" w:line="320" w:lineRule="exact"/>
        <w:ind w:firstLine="283"/>
        <w:rPr>
          <w:rFonts w:hint="cs"/>
          <w:sz w:val="22"/>
          <w:szCs w:val="24"/>
          <w:rtl/>
        </w:rPr>
      </w:pPr>
      <w:r>
        <w:rPr>
          <w:rFonts w:hint="cs"/>
          <w:sz w:val="22"/>
          <w:szCs w:val="24"/>
          <w:rtl/>
        </w:rPr>
        <w:t>כשנשאלה המתלוננת בת/2, האם היא שמעה על עוד ילדות שהנאשם עשה להן מעשה כדוגמת המעשה נושא כתב האישום, היא השיבה כי (עמ' 24 ש' 17-20):</w:t>
      </w:r>
    </w:p>
    <w:p w14:paraId="0FD2DC98" w14:textId="77777777" w:rsidR="00A55500" w:rsidRDefault="00A55500">
      <w:pPr>
        <w:pStyle w:val="a1"/>
        <w:spacing w:after="80" w:line="320" w:lineRule="exact"/>
        <w:ind w:left="0" w:right="0" w:firstLine="283"/>
        <w:rPr>
          <w:rFonts w:cs="David" w:hint="cs"/>
          <w:sz w:val="22"/>
          <w:szCs w:val="24"/>
          <w:rtl/>
        </w:rPr>
      </w:pPr>
      <w:r>
        <w:rPr>
          <w:rFonts w:cs="David" w:hint="cs"/>
          <w:sz w:val="22"/>
          <w:szCs w:val="24"/>
          <w:rtl/>
        </w:rPr>
        <w:t>”י. לפעמים חברות שלי אומרות כזה שהוא הזמין אותן אליהן ושזה.</w:t>
      </w:r>
    </w:p>
    <w:p w14:paraId="27656160" w14:textId="77777777" w:rsidR="00A55500" w:rsidRDefault="00A55500">
      <w:pPr>
        <w:pStyle w:val="a1"/>
        <w:spacing w:after="80" w:line="320" w:lineRule="exact"/>
        <w:ind w:left="0" w:right="0" w:firstLine="283"/>
        <w:rPr>
          <w:rFonts w:cs="David" w:hint="cs"/>
          <w:sz w:val="22"/>
          <w:szCs w:val="24"/>
          <w:rtl/>
        </w:rPr>
      </w:pPr>
      <w:r>
        <w:rPr>
          <w:rFonts w:cs="David" w:hint="cs"/>
          <w:sz w:val="22"/>
          <w:szCs w:val="24"/>
          <w:rtl/>
        </w:rPr>
        <w:t xml:space="preserve"> ח. ושמה?</w:t>
      </w:r>
    </w:p>
    <w:p w14:paraId="77557584" w14:textId="77777777" w:rsidR="00A55500" w:rsidRDefault="00A55500">
      <w:pPr>
        <w:pStyle w:val="a1"/>
        <w:spacing w:after="80" w:line="320" w:lineRule="exact"/>
        <w:ind w:left="0" w:right="0" w:firstLine="283"/>
        <w:rPr>
          <w:rFonts w:cs="David" w:hint="cs"/>
          <w:sz w:val="22"/>
          <w:szCs w:val="24"/>
          <w:rtl/>
        </w:rPr>
      </w:pPr>
      <w:r>
        <w:rPr>
          <w:rFonts w:cs="David" w:hint="cs"/>
          <w:sz w:val="22"/>
          <w:szCs w:val="24"/>
          <w:rtl/>
        </w:rPr>
        <w:t xml:space="preserve"> י. כאילו לא... (לא ברור) הם לא אבל... (לא ברור)".</w:t>
      </w:r>
    </w:p>
    <w:p w14:paraId="248A3A66" w14:textId="77777777" w:rsidR="00A55500" w:rsidRDefault="00A55500">
      <w:pPr>
        <w:spacing w:after="80" w:line="320" w:lineRule="exact"/>
        <w:ind w:firstLine="283"/>
        <w:rPr>
          <w:rFonts w:hint="cs"/>
          <w:sz w:val="22"/>
          <w:szCs w:val="24"/>
          <w:rtl/>
        </w:rPr>
      </w:pPr>
    </w:p>
    <w:p w14:paraId="65EF0ED4" w14:textId="77777777" w:rsidR="00A55500" w:rsidRDefault="00A55500">
      <w:pPr>
        <w:spacing w:after="80" w:line="320" w:lineRule="exact"/>
        <w:ind w:firstLine="283"/>
        <w:rPr>
          <w:rFonts w:hint="cs"/>
          <w:sz w:val="22"/>
          <w:szCs w:val="24"/>
          <w:rtl/>
        </w:rPr>
      </w:pPr>
      <w:r>
        <w:rPr>
          <w:rFonts w:hint="cs"/>
          <w:sz w:val="22"/>
          <w:szCs w:val="24"/>
          <w:rtl/>
        </w:rPr>
        <w:t>אין ספק שבעדותה זו של המתלוננת יש הגזמה וניסיון לצייר את הנאשם באופן שלילי, דבר שמערער, אף הוא, את מהימנות גירסתה.</w:t>
      </w:r>
    </w:p>
    <w:p w14:paraId="1F18C890" w14:textId="77777777" w:rsidR="00A55500" w:rsidRDefault="00A55500">
      <w:pPr>
        <w:spacing w:after="80" w:line="320" w:lineRule="exact"/>
        <w:ind w:firstLine="283"/>
        <w:rPr>
          <w:rFonts w:hint="cs"/>
          <w:sz w:val="22"/>
          <w:szCs w:val="24"/>
          <w:rtl/>
        </w:rPr>
      </w:pPr>
    </w:p>
    <w:p w14:paraId="14D30538" w14:textId="77777777" w:rsidR="00A55500" w:rsidRDefault="00A55500">
      <w:pPr>
        <w:spacing w:after="80" w:line="320" w:lineRule="exact"/>
        <w:ind w:firstLine="283"/>
        <w:rPr>
          <w:rFonts w:hint="cs"/>
          <w:sz w:val="22"/>
          <w:szCs w:val="24"/>
          <w:rtl/>
        </w:rPr>
      </w:pPr>
      <w:r>
        <w:rPr>
          <w:rFonts w:hint="cs"/>
          <w:sz w:val="22"/>
          <w:szCs w:val="24"/>
          <w:rtl/>
        </w:rPr>
        <w:t>בעדותה הראשית סיפרה המתלוננת, כי למעט פעם אחת שהיא הגיעה לביתו של הנאשם לאחר הארוע נושא כתב האישום, במסגרת פעילות חברתית עם עוד הרבה ילדים (עמ' 5 ש' 26-31), היא הפסיקה לבוא לביתו של הנאשם והפסיקה להיות חברה של בתו של הנאשם ( עמ' 6 ש' 1).</w:t>
      </w:r>
    </w:p>
    <w:p w14:paraId="7E7C0510" w14:textId="77777777" w:rsidR="00A55500" w:rsidRDefault="00A55500">
      <w:pPr>
        <w:spacing w:after="80" w:line="320" w:lineRule="exact"/>
        <w:ind w:firstLine="283"/>
        <w:rPr>
          <w:rFonts w:hint="cs"/>
          <w:sz w:val="22"/>
          <w:szCs w:val="24"/>
          <w:rtl/>
        </w:rPr>
      </w:pPr>
    </w:p>
    <w:p w14:paraId="76DB4134" w14:textId="77777777" w:rsidR="00A55500" w:rsidRDefault="00A55500">
      <w:pPr>
        <w:spacing w:after="80" w:line="320" w:lineRule="exact"/>
        <w:ind w:firstLine="283"/>
        <w:rPr>
          <w:rFonts w:hint="cs"/>
          <w:sz w:val="22"/>
          <w:szCs w:val="24"/>
          <w:rtl/>
        </w:rPr>
      </w:pPr>
      <w:r>
        <w:rPr>
          <w:rFonts w:hint="cs"/>
          <w:sz w:val="22"/>
          <w:szCs w:val="24"/>
          <w:rtl/>
        </w:rPr>
        <w:t>הנאשם, לעומת זאת, תאר בעדותו מספר מקרים שבהם המתלוננת הגיעה לביתו ואף דיברה עימו לאחר הארוע נושא כתב האישום:</w:t>
      </w:r>
    </w:p>
    <w:p w14:paraId="5461549C" w14:textId="77777777" w:rsidR="00A55500" w:rsidRDefault="00A55500">
      <w:pPr>
        <w:spacing w:after="80" w:line="320" w:lineRule="exact"/>
        <w:ind w:firstLine="283"/>
        <w:rPr>
          <w:rFonts w:hint="cs"/>
          <w:sz w:val="22"/>
          <w:szCs w:val="24"/>
          <w:rtl/>
        </w:rPr>
      </w:pPr>
    </w:p>
    <w:p w14:paraId="34F7D417" w14:textId="77777777" w:rsidR="00A55500" w:rsidRDefault="00A55500">
      <w:pPr>
        <w:spacing w:after="80" w:line="320" w:lineRule="exact"/>
        <w:ind w:firstLine="283"/>
        <w:rPr>
          <w:rFonts w:hint="cs"/>
          <w:sz w:val="22"/>
          <w:szCs w:val="24"/>
          <w:rtl/>
        </w:rPr>
      </w:pPr>
      <w:r>
        <w:rPr>
          <w:rFonts w:hint="cs"/>
          <w:sz w:val="22"/>
          <w:szCs w:val="24"/>
          <w:rtl/>
        </w:rPr>
        <w:t>המתלוננת הגיעה לביתו מספר פעמים כדי לשחק עם בנותיו ואף ביקשה ממנו כדור למשחק (עמ' 22 ש' 9-11).</w:t>
      </w:r>
    </w:p>
    <w:p w14:paraId="22905405" w14:textId="77777777" w:rsidR="00A55500" w:rsidRDefault="00A55500">
      <w:pPr>
        <w:spacing w:after="80" w:line="320" w:lineRule="exact"/>
        <w:ind w:firstLine="283"/>
        <w:rPr>
          <w:rFonts w:hint="cs"/>
          <w:sz w:val="22"/>
          <w:szCs w:val="24"/>
          <w:rtl/>
        </w:rPr>
      </w:pPr>
    </w:p>
    <w:p w14:paraId="15F3F93E" w14:textId="77777777" w:rsidR="00A55500" w:rsidRDefault="00A55500">
      <w:pPr>
        <w:spacing w:after="80" w:line="320" w:lineRule="exact"/>
        <w:ind w:firstLine="283"/>
        <w:rPr>
          <w:rFonts w:hint="cs"/>
          <w:sz w:val="22"/>
          <w:szCs w:val="24"/>
          <w:rtl/>
        </w:rPr>
      </w:pPr>
      <w:r>
        <w:rPr>
          <w:rFonts w:hint="cs"/>
          <w:sz w:val="22"/>
          <w:szCs w:val="24"/>
          <w:rtl/>
        </w:rPr>
        <w:t>במהלך מסע אפניים שהתקיים בסוף שנת 95 ושבו השתתפו הנאשם, אשתו, בנותיו והמתלוננת, ביקשה ממנו זו האחרונה, מספר פעמים, לשתות מים (עמ' 22 ש'</w:t>
      </w:r>
    </w:p>
    <w:p w14:paraId="4BAD868E" w14:textId="77777777" w:rsidR="00A55500" w:rsidRDefault="00A55500">
      <w:pPr>
        <w:spacing w:after="80" w:line="320" w:lineRule="exact"/>
        <w:ind w:firstLine="283"/>
        <w:rPr>
          <w:rFonts w:hint="cs"/>
          <w:sz w:val="22"/>
          <w:szCs w:val="24"/>
          <w:rtl/>
        </w:rPr>
      </w:pPr>
      <w:r>
        <w:rPr>
          <w:rFonts w:hint="cs"/>
          <w:sz w:val="22"/>
          <w:szCs w:val="24"/>
          <w:rtl/>
        </w:rPr>
        <w:t xml:space="preserve"> 12-15).</w:t>
      </w:r>
    </w:p>
    <w:p w14:paraId="5B0FD6EB" w14:textId="77777777" w:rsidR="00A55500" w:rsidRDefault="00A55500">
      <w:pPr>
        <w:spacing w:after="80" w:line="320" w:lineRule="exact"/>
        <w:ind w:firstLine="283"/>
        <w:rPr>
          <w:rFonts w:hint="cs"/>
          <w:sz w:val="22"/>
          <w:szCs w:val="24"/>
          <w:rtl/>
        </w:rPr>
      </w:pPr>
    </w:p>
    <w:p w14:paraId="09B4CD57" w14:textId="77777777" w:rsidR="00A55500" w:rsidRDefault="00A55500">
      <w:pPr>
        <w:spacing w:after="80" w:line="320" w:lineRule="exact"/>
        <w:ind w:firstLine="283"/>
        <w:rPr>
          <w:rFonts w:hint="cs"/>
          <w:sz w:val="22"/>
          <w:szCs w:val="24"/>
          <w:rtl/>
        </w:rPr>
      </w:pPr>
      <w:r>
        <w:rPr>
          <w:rFonts w:hint="cs"/>
          <w:sz w:val="22"/>
          <w:szCs w:val="24"/>
          <w:rtl/>
        </w:rPr>
        <w:t>בערב יום כיפור של שנת 95 או 96, בדרכו יחד עם אשתו לבית הכנסת במושב בו הם התגוררו, ניגשו אליו המתלוננת, אחותה וילדה נוספת, והמתלוננת אמרה לו שהיא מבקשת סליחה על כל מה שהיא עשתה לו ולאשתו (עמ' 22 ש' 17-19).</w:t>
      </w:r>
    </w:p>
    <w:p w14:paraId="78363F85" w14:textId="77777777" w:rsidR="00A55500" w:rsidRDefault="00A55500">
      <w:pPr>
        <w:spacing w:after="80" w:line="320" w:lineRule="exact"/>
        <w:ind w:firstLine="283"/>
        <w:rPr>
          <w:rFonts w:hint="cs"/>
          <w:sz w:val="22"/>
          <w:szCs w:val="24"/>
          <w:rtl/>
        </w:rPr>
      </w:pPr>
    </w:p>
    <w:p w14:paraId="542FC501" w14:textId="77777777" w:rsidR="00A55500" w:rsidRDefault="00A55500">
      <w:pPr>
        <w:spacing w:after="80" w:line="320" w:lineRule="exact"/>
        <w:ind w:firstLine="283"/>
        <w:rPr>
          <w:rFonts w:hint="cs"/>
          <w:sz w:val="22"/>
          <w:szCs w:val="24"/>
          <w:rtl/>
        </w:rPr>
      </w:pPr>
      <w:r>
        <w:rPr>
          <w:rFonts w:hint="cs"/>
          <w:sz w:val="22"/>
          <w:szCs w:val="24"/>
          <w:rtl/>
        </w:rPr>
        <w:t>בדצמבר 95, במהלך חג המולד, הוא נסע יחד עם משפחתו והמתלוננת לקניון מלחה בירושלים ושם הם ישבו לאכול בפיצריה. במהלך הארוחה הראתה המתלוננת לבתו פלונית את המתנות שהיא קיבלה מאמה הנוצריה לכבוד חג המולד, ובכלל זה ארנק ושפתון (עמ' 22 ש' 25-30).</w:t>
      </w:r>
    </w:p>
    <w:p w14:paraId="47A5A296" w14:textId="77777777" w:rsidR="00A55500" w:rsidRDefault="00A55500">
      <w:pPr>
        <w:spacing w:after="80" w:line="320" w:lineRule="exact"/>
        <w:ind w:firstLine="283"/>
        <w:rPr>
          <w:rFonts w:hint="cs"/>
          <w:sz w:val="22"/>
          <w:szCs w:val="24"/>
          <w:rtl/>
        </w:rPr>
      </w:pPr>
    </w:p>
    <w:p w14:paraId="385B2B8F" w14:textId="77777777" w:rsidR="00A55500" w:rsidRDefault="00A55500">
      <w:pPr>
        <w:spacing w:after="80" w:line="320" w:lineRule="exact"/>
        <w:ind w:firstLine="283"/>
        <w:rPr>
          <w:rFonts w:hint="cs"/>
          <w:sz w:val="22"/>
          <w:szCs w:val="24"/>
          <w:rtl/>
        </w:rPr>
      </w:pPr>
      <w:r>
        <w:rPr>
          <w:rFonts w:hint="cs"/>
          <w:sz w:val="22"/>
          <w:szCs w:val="24"/>
          <w:rtl/>
        </w:rPr>
        <w:t>בחקירתו הנגדית חזר הנאשם ותאר את הנסיעה שלו עם משפחתו והמתלוננת לקניון מלחה ואף שלל את האפשרות שנסיעה זו התקיימה בחג המולד בשנת 94, קרי לפני הארוע נושא כתב האישום, שכן משפחתה של המתלוננת הגיעה למושב בו הוא התגורר רק בשנת 94 כך שבשנה זו עדיין לא היה קשר בין משפחתו לבין המתלוננת (עמ' 23 ש' 26-27).</w:t>
      </w:r>
    </w:p>
    <w:p w14:paraId="1CA2E957" w14:textId="77777777" w:rsidR="00A55500" w:rsidRDefault="00A55500">
      <w:pPr>
        <w:spacing w:after="80" w:line="320" w:lineRule="exact"/>
        <w:ind w:firstLine="283"/>
        <w:rPr>
          <w:rFonts w:hint="cs"/>
          <w:sz w:val="22"/>
          <w:szCs w:val="24"/>
          <w:rtl/>
        </w:rPr>
      </w:pPr>
    </w:p>
    <w:p w14:paraId="30DE60A9" w14:textId="77777777" w:rsidR="00A55500" w:rsidRDefault="00A55500">
      <w:pPr>
        <w:spacing w:after="80" w:line="320" w:lineRule="exact"/>
        <w:ind w:firstLine="283"/>
        <w:rPr>
          <w:rFonts w:hint="cs"/>
          <w:sz w:val="22"/>
          <w:szCs w:val="24"/>
          <w:rtl/>
        </w:rPr>
      </w:pPr>
      <w:r>
        <w:rPr>
          <w:rFonts w:hint="cs"/>
          <w:sz w:val="22"/>
          <w:szCs w:val="24"/>
          <w:rtl/>
        </w:rPr>
        <w:t>כשנשאל הנאשם בחקירתו הנגדית, כיצד זה הוא זוכר את הנסיעה לקניון מלחה בחג המולד בשנת 95 או 96 ואת המתנות שקיבלה המתלוננת מאמה בעוד שאין הוא זוכר מה הוא עשה בחג המולד בשנת 98 (עמ' 23 ש' 28-29), הוא השיב, באופן משכנע, כי (עמ' 23 ש' 32-35):</w:t>
      </w:r>
    </w:p>
    <w:p w14:paraId="5E2EF3C2" w14:textId="77777777" w:rsidR="00A55500" w:rsidRDefault="00A55500">
      <w:pPr>
        <w:spacing w:after="80" w:line="320" w:lineRule="exact"/>
        <w:ind w:firstLine="283"/>
        <w:rPr>
          <w:rFonts w:hint="cs"/>
          <w:sz w:val="22"/>
          <w:szCs w:val="24"/>
          <w:rtl/>
        </w:rPr>
      </w:pPr>
    </w:p>
    <w:p w14:paraId="4A4A3470" w14:textId="77777777" w:rsidR="00A55500" w:rsidRDefault="00A55500">
      <w:pPr>
        <w:pStyle w:val="a1"/>
        <w:spacing w:after="80" w:line="320" w:lineRule="exact"/>
        <w:ind w:left="0" w:right="0" w:firstLine="283"/>
        <w:rPr>
          <w:rFonts w:cs="David" w:hint="cs"/>
          <w:sz w:val="22"/>
          <w:szCs w:val="24"/>
          <w:rtl/>
        </w:rPr>
      </w:pPr>
      <w:r>
        <w:rPr>
          <w:rFonts w:cs="David" w:hint="cs"/>
          <w:sz w:val="22"/>
          <w:szCs w:val="24"/>
          <w:rtl/>
        </w:rPr>
        <w:t>”זה לא נכון מה שאת אומרת. אני זוכר בכללי. אני יודע איפה הייתי אבל אני לא יכול לספר לך איזה ארוע מיוחד ספציפי. אני בזה כן התמקדתי ושחזרתי אחורה מה עשינו ואיפה היינו. אני זוכר מה עשיתי אבל לא לפרטי פרטים. אני זוכר מה עשיתי בשנת 98 ומה בשנת 99 ואני לא חוגג את הכריסמס כחג".</w:t>
      </w:r>
    </w:p>
    <w:p w14:paraId="1BCA9A29" w14:textId="77777777" w:rsidR="00A55500" w:rsidRDefault="00A55500">
      <w:pPr>
        <w:spacing w:after="80" w:line="320" w:lineRule="exact"/>
        <w:ind w:firstLine="283"/>
        <w:rPr>
          <w:rFonts w:hint="cs"/>
          <w:sz w:val="22"/>
          <w:szCs w:val="24"/>
          <w:rtl/>
        </w:rPr>
      </w:pPr>
    </w:p>
    <w:p w14:paraId="4688D8D5" w14:textId="77777777" w:rsidR="00A55500" w:rsidRDefault="00A55500">
      <w:pPr>
        <w:spacing w:after="80" w:line="320" w:lineRule="exact"/>
        <w:ind w:firstLine="283"/>
        <w:rPr>
          <w:rFonts w:hint="cs"/>
          <w:sz w:val="22"/>
          <w:szCs w:val="24"/>
          <w:rtl/>
        </w:rPr>
      </w:pPr>
      <w:r>
        <w:rPr>
          <w:rFonts w:hint="cs"/>
          <w:sz w:val="22"/>
          <w:szCs w:val="24"/>
          <w:rtl/>
        </w:rPr>
        <w:t>עדותו של הנאשם בדבר ביקוריה של המתלוננת בביתו ופגישותיו עימה בתקופה שלאחר הארוע נושא כתב האישום נתמכת בעדותה של אשתו. עם זאת, אינני מייחסת משקל רב לעדותה זו, שכן אינני יכולה לשלול את האפשרות שהיא שוחחה בעניין זה עם הנאשם קודם עדותה.</w:t>
      </w:r>
    </w:p>
    <w:p w14:paraId="0AF3373A" w14:textId="77777777" w:rsidR="00A55500" w:rsidRDefault="00A55500">
      <w:pPr>
        <w:spacing w:after="80" w:line="320" w:lineRule="exact"/>
        <w:ind w:firstLine="283"/>
        <w:rPr>
          <w:rFonts w:hint="cs"/>
          <w:sz w:val="22"/>
          <w:szCs w:val="24"/>
          <w:rtl/>
        </w:rPr>
      </w:pPr>
    </w:p>
    <w:p w14:paraId="2F9A695D" w14:textId="77777777" w:rsidR="00A55500" w:rsidRDefault="00A55500">
      <w:pPr>
        <w:spacing w:after="80" w:line="320" w:lineRule="exact"/>
        <w:ind w:firstLine="283"/>
        <w:rPr>
          <w:rFonts w:hint="cs"/>
          <w:sz w:val="22"/>
          <w:szCs w:val="24"/>
          <w:rtl/>
        </w:rPr>
      </w:pPr>
      <w:r>
        <w:rPr>
          <w:rFonts w:hint="cs"/>
          <w:sz w:val="22"/>
          <w:szCs w:val="24"/>
          <w:rtl/>
        </w:rPr>
        <w:t>עדותו של הנאשם בדבר ביקוריה של המתלוננת בביתו ופגישותיו עימה לאחר הארוע נושא כתב האישום נתמכת גם בעדותה של המתלוננת עצמה.</w:t>
      </w:r>
    </w:p>
    <w:p w14:paraId="51C8DE97" w14:textId="77777777" w:rsidR="00A55500" w:rsidRDefault="00A55500">
      <w:pPr>
        <w:spacing w:after="80" w:line="320" w:lineRule="exact"/>
        <w:ind w:firstLine="283"/>
        <w:rPr>
          <w:rFonts w:hint="cs"/>
          <w:sz w:val="22"/>
          <w:szCs w:val="24"/>
          <w:rtl/>
        </w:rPr>
      </w:pPr>
    </w:p>
    <w:p w14:paraId="22101D7A" w14:textId="77777777" w:rsidR="00A55500" w:rsidRDefault="00A55500">
      <w:pPr>
        <w:spacing w:after="80" w:line="320" w:lineRule="exact"/>
        <w:ind w:firstLine="283"/>
        <w:rPr>
          <w:rFonts w:hint="cs"/>
          <w:sz w:val="22"/>
          <w:szCs w:val="24"/>
          <w:rtl/>
        </w:rPr>
      </w:pPr>
      <w:r>
        <w:rPr>
          <w:rFonts w:hint="cs"/>
          <w:sz w:val="22"/>
          <w:szCs w:val="24"/>
          <w:rtl/>
        </w:rPr>
        <w:t>חרף הכחשתה של המתלוננת כי היא הגיעה לביתו של הנאשם ואף דיברה עימו לאחר הארוע נושא כתב האישום, היא לא שללה את האפשרות שבמהלך מסע אופניים שהתקיים לאחר הארוע נושא כתב האישום היא ביקשה מהנאשם, מספר פעמים, לשתות, כפי שנטען על ידי הנאשם (עמ' 7 ש' 31-36 ועמ' 8 ש' 2-1).</w:t>
      </w:r>
    </w:p>
    <w:p w14:paraId="5F4783E5" w14:textId="77777777" w:rsidR="00A55500" w:rsidRDefault="00A55500">
      <w:pPr>
        <w:spacing w:after="80" w:line="320" w:lineRule="exact"/>
        <w:ind w:firstLine="283"/>
        <w:rPr>
          <w:rFonts w:hint="cs"/>
          <w:sz w:val="22"/>
          <w:szCs w:val="24"/>
          <w:rtl/>
        </w:rPr>
      </w:pPr>
    </w:p>
    <w:p w14:paraId="559BD955" w14:textId="77777777" w:rsidR="00A55500" w:rsidRDefault="00A55500">
      <w:pPr>
        <w:spacing w:after="80" w:line="320" w:lineRule="exact"/>
        <w:ind w:firstLine="283"/>
        <w:rPr>
          <w:rFonts w:hint="cs"/>
          <w:sz w:val="22"/>
          <w:szCs w:val="24"/>
          <w:rtl/>
        </w:rPr>
      </w:pPr>
      <w:r>
        <w:rPr>
          <w:rFonts w:hint="cs"/>
          <w:sz w:val="22"/>
          <w:szCs w:val="24"/>
          <w:rtl/>
        </w:rPr>
        <w:t>המתלוננת אף סיפרה בעדותה, כי היא זוכרת שבשנת 95 הנאשם בנה בריכה בחצר ביתו (עמ' 8 ש' 3-4). תמוה בעיני כיצד המתלוננת זוכרת פרט זה אם לטענתה, היא  כלל, לא ביקרה בביתו של הנאשם מאז הארוע נושא כתב האישום.</w:t>
      </w:r>
    </w:p>
    <w:p w14:paraId="56ED765B" w14:textId="77777777" w:rsidR="00A55500" w:rsidRDefault="00A55500">
      <w:pPr>
        <w:spacing w:after="80" w:line="320" w:lineRule="exact"/>
        <w:ind w:firstLine="283"/>
        <w:rPr>
          <w:rFonts w:hint="cs"/>
          <w:sz w:val="22"/>
          <w:szCs w:val="24"/>
          <w:rtl/>
        </w:rPr>
      </w:pPr>
    </w:p>
    <w:p w14:paraId="6EE27126" w14:textId="77777777" w:rsidR="00A55500" w:rsidRDefault="00A55500">
      <w:pPr>
        <w:spacing w:after="80" w:line="320" w:lineRule="exact"/>
        <w:ind w:firstLine="283"/>
        <w:rPr>
          <w:rFonts w:hint="cs"/>
          <w:sz w:val="22"/>
          <w:szCs w:val="24"/>
          <w:rtl/>
        </w:rPr>
      </w:pPr>
      <w:r>
        <w:rPr>
          <w:rFonts w:hint="cs"/>
          <w:sz w:val="22"/>
          <w:szCs w:val="24"/>
          <w:rtl/>
        </w:rPr>
        <w:t xml:space="preserve">עם זאת, בת/4 הנאשם לא סיפר על כל אותם מפגשים שהיו לו עם המתלוננת בתקופה שלאחר הארוע נושא כתב האישום, כפי שהוא עשה בעדותו, והסתפק רק באמירה כי המתלוננת התנהגה רגיל, לא שינתה את יחסה כלפיו ואף המשיכה לבוא לביתו ולשחק עם בנותיו, בתקופה שלאחר הארוע נושא כתב האישום (עמ' 3 </w:t>
      </w:r>
    </w:p>
    <w:p w14:paraId="001BB4D2" w14:textId="77777777" w:rsidR="00A55500" w:rsidRDefault="00A55500">
      <w:pPr>
        <w:spacing w:after="80" w:line="320" w:lineRule="exact"/>
        <w:ind w:firstLine="283"/>
        <w:rPr>
          <w:rFonts w:hint="cs"/>
          <w:sz w:val="22"/>
          <w:szCs w:val="24"/>
          <w:rtl/>
        </w:rPr>
      </w:pPr>
      <w:r>
        <w:rPr>
          <w:rFonts w:hint="cs"/>
          <w:sz w:val="22"/>
          <w:szCs w:val="24"/>
          <w:rtl/>
        </w:rPr>
        <w:t>ש' 10-11).</w:t>
      </w:r>
    </w:p>
    <w:p w14:paraId="41F49310" w14:textId="77777777" w:rsidR="00A55500" w:rsidRDefault="00A55500">
      <w:pPr>
        <w:spacing w:after="80" w:line="320" w:lineRule="exact"/>
        <w:ind w:firstLine="283"/>
        <w:rPr>
          <w:rFonts w:hint="cs"/>
          <w:sz w:val="22"/>
          <w:szCs w:val="24"/>
          <w:rtl/>
        </w:rPr>
      </w:pPr>
    </w:p>
    <w:p w14:paraId="5EBA9E2F" w14:textId="77777777" w:rsidR="00A55500" w:rsidRDefault="00A55500">
      <w:pPr>
        <w:spacing w:after="80" w:line="320" w:lineRule="exact"/>
        <w:ind w:firstLine="283"/>
        <w:rPr>
          <w:rFonts w:hint="cs"/>
          <w:sz w:val="22"/>
          <w:szCs w:val="24"/>
          <w:rtl/>
        </w:rPr>
      </w:pPr>
      <w:r>
        <w:rPr>
          <w:rFonts w:hint="cs"/>
          <w:sz w:val="22"/>
          <w:szCs w:val="24"/>
          <w:rtl/>
        </w:rPr>
        <w:t>כשנתבקש הנאשם בחקירתו הנגדית להסביר מדוע בת/4 הוא לא סיפר על כל אותם מפגשים, כפי שהוא עשה בעדותו, הוא השיב כי (עמ' 23 ש' 14-16):</w:t>
      </w:r>
    </w:p>
    <w:p w14:paraId="38536357" w14:textId="77777777" w:rsidR="00A55500" w:rsidRDefault="00A55500">
      <w:pPr>
        <w:spacing w:after="80" w:line="320" w:lineRule="exact"/>
        <w:ind w:firstLine="283"/>
        <w:rPr>
          <w:rFonts w:hint="cs"/>
          <w:sz w:val="22"/>
          <w:szCs w:val="24"/>
          <w:rtl/>
        </w:rPr>
      </w:pPr>
    </w:p>
    <w:p w14:paraId="7216DA84" w14:textId="77777777" w:rsidR="00A55500" w:rsidRDefault="00A55500">
      <w:pPr>
        <w:pStyle w:val="a1"/>
        <w:spacing w:after="80" w:line="320" w:lineRule="exact"/>
        <w:ind w:left="0" w:right="0" w:firstLine="283"/>
        <w:rPr>
          <w:rFonts w:cs="David" w:hint="cs"/>
          <w:sz w:val="22"/>
          <w:szCs w:val="24"/>
          <w:rtl/>
        </w:rPr>
      </w:pPr>
      <w:r>
        <w:rPr>
          <w:rFonts w:cs="David" w:hint="cs"/>
          <w:sz w:val="22"/>
          <w:szCs w:val="24"/>
          <w:rtl/>
        </w:rPr>
        <w:t>”אני לא התייעצתי עם עו"ד עד אז ולא חשבתי שאני צריך לספר את הדברים האלה. אני לא בדקתי את הילדה הזאת 24 שעות. רק אחרי שהזמינו אותי למשטרה התחלתי לשחזר אילו מקרים היו לי עם הילדה הזאת ומה נתקלתי בה. לא עשיתי את החשבון".</w:t>
      </w:r>
    </w:p>
    <w:p w14:paraId="71C9F8F4" w14:textId="77777777" w:rsidR="00A55500" w:rsidRDefault="00A55500">
      <w:pPr>
        <w:pStyle w:val="a1"/>
        <w:spacing w:after="80" w:line="320" w:lineRule="exact"/>
        <w:ind w:left="0" w:right="0" w:firstLine="283"/>
        <w:rPr>
          <w:rFonts w:cs="David" w:hint="cs"/>
          <w:sz w:val="22"/>
          <w:szCs w:val="24"/>
          <w:rtl/>
        </w:rPr>
      </w:pPr>
    </w:p>
    <w:p w14:paraId="6C60A458" w14:textId="77777777" w:rsidR="00A55500" w:rsidRDefault="00A55500">
      <w:pPr>
        <w:spacing w:after="80" w:line="320" w:lineRule="exact"/>
        <w:ind w:firstLine="283"/>
        <w:rPr>
          <w:rFonts w:hint="cs"/>
          <w:sz w:val="22"/>
          <w:szCs w:val="24"/>
          <w:rtl/>
        </w:rPr>
      </w:pPr>
      <w:r>
        <w:rPr>
          <w:rFonts w:hint="cs"/>
          <w:sz w:val="22"/>
          <w:szCs w:val="24"/>
          <w:rtl/>
        </w:rPr>
        <w:t>תשובתו זו של הנאשם אינה משכנעת דיה, משלושה טעמים.</w:t>
      </w:r>
    </w:p>
    <w:p w14:paraId="528DBFF9" w14:textId="77777777" w:rsidR="00A55500" w:rsidRDefault="00A55500">
      <w:pPr>
        <w:spacing w:after="80" w:line="320" w:lineRule="exact"/>
        <w:ind w:firstLine="283"/>
        <w:rPr>
          <w:rFonts w:hint="cs"/>
          <w:sz w:val="22"/>
          <w:szCs w:val="24"/>
          <w:rtl/>
        </w:rPr>
      </w:pPr>
    </w:p>
    <w:p w14:paraId="230AA4FA" w14:textId="77777777" w:rsidR="00A55500" w:rsidRDefault="00A55500">
      <w:pPr>
        <w:spacing w:after="80" w:line="320" w:lineRule="exact"/>
        <w:ind w:firstLine="283"/>
        <w:rPr>
          <w:rFonts w:hint="cs"/>
          <w:sz w:val="22"/>
          <w:szCs w:val="24"/>
          <w:rtl/>
        </w:rPr>
      </w:pPr>
      <w:r>
        <w:rPr>
          <w:rFonts w:hint="cs"/>
          <w:sz w:val="22"/>
          <w:szCs w:val="24"/>
          <w:rtl/>
        </w:rPr>
        <w:t>ראשית, תמוהה בעיני הטענה, לפיה רק לאחר שהוא הוזמן למשטרה הוא החל לשחזר באילו מצבים הוא פגש את המתלונת לאחר הארוע נושא כתב האישום, שכן מעדותו של הנאשם עצמו עולה, שהוא ידע על הארוע נושא כתב האישום וידע כי ייתכן שיוזמן לחקירה במשטרה כחודש ימים לפני שהוא הוזמן בפועל לחקירה (עמ' 21 ש' 33-35). לנאשם היתה שהות של חודש שלם, שזו תקופה לא מבוטלת, לשחזר את כל אותם ביקורים של המתלוננת בביתו ומבלי שהוא יהיה נתון בלחץ של חקירה.</w:t>
      </w:r>
    </w:p>
    <w:p w14:paraId="6A67C569" w14:textId="77777777" w:rsidR="00A55500" w:rsidRDefault="00A55500">
      <w:pPr>
        <w:spacing w:after="80" w:line="320" w:lineRule="exact"/>
        <w:ind w:firstLine="283"/>
        <w:rPr>
          <w:rFonts w:hint="cs"/>
          <w:sz w:val="22"/>
          <w:szCs w:val="24"/>
          <w:rtl/>
        </w:rPr>
      </w:pPr>
    </w:p>
    <w:p w14:paraId="2A0D4EFF" w14:textId="77777777" w:rsidR="00A55500" w:rsidRDefault="00A55500">
      <w:pPr>
        <w:spacing w:after="80" w:line="320" w:lineRule="exact"/>
        <w:ind w:firstLine="283"/>
        <w:rPr>
          <w:rFonts w:hint="cs"/>
          <w:sz w:val="22"/>
          <w:szCs w:val="24"/>
          <w:rtl/>
        </w:rPr>
      </w:pPr>
      <w:r>
        <w:rPr>
          <w:rFonts w:hint="cs"/>
          <w:sz w:val="22"/>
          <w:szCs w:val="24"/>
          <w:rtl/>
        </w:rPr>
        <w:t>שנית, טענת הנאשם, לפיה הוא לא חשב שהוא צריך לספר בת/4 על אותם מפגשים עם המתלוננת, אינה נכונה משום שבת/4 הוא כן מצא לנכון התייחס לביקוריה של המתלוננת בביתו לאחר הארוע נושא כתב האישום אם כי באופן כללי.</w:t>
      </w:r>
    </w:p>
    <w:p w14:paraId="5B9C5E28" w14:textId="77777777" w:rsidR="00A55500" w:rsidRDefault="00A55500">
      <w:pPr>
        <w:spacing w:after="80" w:line="320" w:lineRule="exact"/>
        <w:ind w:firstLine="283"/>
        <w:rPr>
          <w:rFonts w:hint="cs"/>
          <w:sz w:val="22"/>
          <w:szCs w:val="24"/>
          <w:rtl/>
        </w:rPr>
      </w:pPr>
    </w:p>
    <w:p w14:paraId="18D5165A" w14:textId="77777777" w:rsidR="00A55500" w:rsidRDefault="00A55500">
      <w:pPr>
        <w:spacing w:after="80" w:line="320" w:lineRule="exact"/>
        <w:ind w:firstLine="283"/>
        <w:rPr>
          <w:rFonts w:hint="cs"/>
          <w:sz w:val="22"/>
          <w:szCs w:val="24"/>
          <w:rtl/>
        </w:rPr>
      </w:pPr>
      <w:r>
        <w:rPr>
          <w:rFonts w:hint="cs"/>
          <w:sz w:val="22"/>
          <w:szCs w:val="24"/>
          <w:rtl/>
        </w:rPr>
        <w:t>שלישית, הנאשם תאר בת/4, באריכות, את הפעולות שהוא נקט מיד עם היוודע לו על הארוע נושא כתב האישום. תאור זה מצביע על כך שהנאשם התכונן לחקירתו במשטרה היטב ועל כן קשה להניח שהוא לא שיחזר או לא ניסה לשחזר, קודם חקירתו, מפגשים שהיו לו עם המתלוננת לאחר הארוע נושא כתב האישום.</w:t>
      </w:r>
    </w:p>
    <w:p w14:paraId="41C72ACD" w14:textId="77777777" w:rsidR="00A55500" w:rsidRDefault="00A55500">
      <w:pPr>
        <w:spacing w:after="80" w:line="320" w:lineRule="exact"/>
        <w:ind w:firstLine="283"/>
        <w:rPr>
          <w:rFonts w:hint="cs"/>
          <w:sz w:val="22"/>
          <w:szCs w:val="24"/>
          <w:rtl/>
        </w:rPr>
      </w:pPr>
    </w:p>
    <w:p w14:paraId="10C1C57B" w14:textId="77777777" w:rsidR="00A55500" w:rsidRDefault="00A55500">
      <w:pPr>
        <w:spacing w:after="80" w:line="320" w:lineRule="exact"/>
        <w:ind w:firstLine="283"/>
        <w:rPr>
          <w:rFonts w:hint="cs"/>
          <w:sz w:val="22"/>
          <w:szCs w:val="24"/>
          <w:rtl/>
        </w:rPr>
      </w:pPr>
      <w:r>
        <w:rPr>
          <w:rFonts w:hint="cs"/>
          <w:sz w:val="22"/>
          <w:szCs w:val="24"/>
          <w:rtl/>
        </w:rPr>
        <w:t>בחקירתו החוזרת העיד הנאשם, כי כאשר הוא נחקר במשטרה הוא לא ידע בדיוק למתי מתייחסת תלונת המתלוננת (עמ' 26 ש' 27--28) ובסיכומיו הוא העלה את העובדה הזו כאחת מהסיבות לכך שהוא לא סיפר בת/4 על כל אותם ביקורים של המתלוננת בביתו לאחר הארוע נושא כתב האישום. אינני מקבל גם טענה זו, שכן גם אם הנאשם לא ידע במדוייק את התאריך שבו נטען על הארוע על ידי המתלוננת, קשה להניח שבעקבות שיחתו עם הוריה של המתלוננת ועם העובדת הסוציאלית שהיתה מעורבת בסיפור הוא לא ידע בכלליות שמדובר בארוע שהתרחש מספר שנים קודם לכן.</w:t>
      </w:r>
    </w:p>
    <w:p w14:paraId="74C1AC57" w14:textId="77777777" w:rsidR="00A55500" w:rsidRDefault="00A55500">
      <w:pPr>
        <w:spacing w:after="80" w:line="320" w:lineRule="exact"/>
        <w:ind w:firstLine="283"/>
        <w:rPr>
          <w:rFonts w:hint="cs"/>
          <w:sz w:val="22"/>
          <w:szCs w:val="24"/>
          <w:rtl/>
        </w:rPr>
      </w:pPr>
    </w:p>
    <w:p w14:paraId="44FD6956" w14:textId="77777777" w:rsidR="00A55500" w:rsidRDefault="00A55500">
      <w:pPr>
        <w:spacing w:after="80" w:line="320" w:lineRule="exact"/>
        <w:ind w:firstLine="283"/>
        <w:rPr>
          <w:rFonts w:hint="cs"/>
          <w:sz w:val="22"/>
          <w:szCs w:val="24"/>
          <w:rtl/>
        </w:rPr>
      </w:pPr>
      <w:r>
        <w:rPr>
          <w:rFonts w:hint="cs"/>
          <w:sz w:val="22"/>
          <w:szCs w:val="24"/>
          <w:rtl/>
        </w:rPr>
        <w:t>העובדה שבת/4 לא סיפר הנאשם על כל אותם ביקורים של המתלוננת בביתו ועל כל המפגשים שהיו לו עם המתלוננת לאחר הארוע נושא כתב האישום, למרות שהוא ידע זמן רב מראש על חקירתו במשטרה, מחלישה את מהימנות גירסתו בעניין פגישותיו עם המתלוננת לאחר הארוע נושא כתב האישום.</w:t>
      </w:r>
    </w:p>
    <w:p w14:paraId="48BED917" w14:textId="77777777" w:rsidR="00A55500" w:rsidRDefault="00A55500">
      <w:pPr>
        <w:spacing w:after="80" w:line="320" w:lineRule="exact"/>
        <w:ind w:firstLine="283"/>
        <w:rPr>
          <w:rFonts w:hint="cs"/>
          <w:sz w:val="22"/>
          <w:szCs w:val="24"/>
          <w:rtl/>
        </w:rPr>
      </w:pPr>
    </w:p>
    <w:p w14:paraId="5C9B20D2" w14:textId="77777777" w:rsidR="00A55500" w:rsidRDefault="00A55500">
      <w:pPr>
        <w:spacing w:after="80" w:line="320" w:lineRule="exact"/>
        <w:ind w:firstLine="283"/>
        <w:rPr>
          <w:rFonts w:hint="cs"/>
          <w:sz w:val="22"/>
          <w:szCs w:val="24"/>
          <w:rtl/>
        </w:rPr>
      </w:pPr>
      <w:r>
        <w:rPr>
          <w:rFonts w:hint="cs"/>
          <w:sz w:val="22"/>
          <w:szCs w:val="24"/>
          <w:rtl/>
        </w:rPr>
        <w:t>בעדותו הראשית תאר הנאשם, באריכות, את הפעולות בהן הוא נקט מיד כשנודע לו, על ידי אחת משכנותיו,על הארוע הנטען על ידי המתלוננת (עמ' 21). הנאשם סיפר כי לאחר שהוא שמע על הארוע נושא כתב האישום הוא חזר מיד לביתו וביקש מאשתו שתתקשר להוריה של המתלוננת ותקבע עימם פגישה עוד באותו ערב.הוריה של המתלוננת הגיעו לביתו בשעה 22:00 באותו לילה וסיפרו לו על הארוע נושא כתב האישום. עוד באותה שיחה הוא הציע שהוא ייגש איתם יחד למחורת בבוקר לתחנת המשטרה כדי למסור את גירסתו, לפיה הוא לא עשה את המעשה הנטען על ידי המתלוננת ואף הציע להם כי הוא מוכן לעשות כל בדיקה, ובכלל זה, בדיקת פוליגרף, על חשבונו ובכל מקום שהם יבחרו, כדי להוכיח את חפותו.</w:t>
      </w:r>
    </w:p>
    <w:p w14:paraId="4646ED7C" w14:textId="77777777" w:rsidR="00A55500" w:rsidRDefault="00A55500">
      <w:pPr>
        <w:spacing w:after="80" w:line="320" w:lineRule="exact"/>
        <w:ind w:firstLine="283"/>
        <w:rPr>
          <w:rFonts w:hint="cs"/>
          <w:sz w:val="22"/>
          <w:szCs w:val="24"/>
          <w:rtl/>
        </w:rPr>
      </w:pPr>
    </w:p>
    <w:p w14:paraId="2A1175AE" w14:textId="77777777" w:rsidR="00A55500" w:rsidRDefault="00A55500">
      <w:pPr>
        <w:spacing w:after="80" w:line="320" w:lineRule="exact"/>
        <w:ind w:firstLine="283"/>
        <w:rPr>
          <w:rFonts w:hint="cs"/>
          <w:sz w:val="22"/>
          <w:szCs w:val="24"/>
          <w:rtl/>
        </w:rPr>
      </w:pPr>
      <w:r>
        <w:rPr>
          <w:rFonts w:hint="cs"/>
          <w:sz w:val="22"/>
          <w:szCs w:val="24"/>
          <w:rtl/>
        </w:rPr>
        <w:t>הנאשם המשיך וסיפר, כי למחורת בבוקר הוא פנה לעובדת הסוציאלית, אליה היפנו הוריה של המתלוננת את הסיפור. העובדת הסוציאלית הגיעה לביתו ושם הוא אמר לה שהוא רוצה לגשת לתחנת המשטרה. העובדת הסוציאלית שוחחה בטלפון עם מפקדת תחנת המשטרה ושאלה אותו מה על הנאשם לעשות, כאשר זה האחרון השיב לה כי על הנאשם להמתין עד שיוזמן לתחנת המשטרה.</w:t>
      </w:r>
    </w:p>
    <w:p w14:paraId="7ADC608F" w14:textId="77777777" w:rsidR="00A55500" w:rsidRDefault="00A55500">
      <w:pPr>
        <w:spacing w:after="80" w:line="320" w:lineRule="exact"/>
        <w:ind w:firstLine="283"/>
        <w:rPr>
          <w:rFonts w:hint="cs"/>
          <w:sz w:val="22"/>
          <w:szCs w:val="24"/>
          <w:rtl/>
        </w:rPr>
      </w:pPr>
    </w:p>
    <w:p w14:paraId="737151AC" w14:textId="77777777" w:rsidR="00A55500" w:rsidRDefault="00A55500">
      <w:pPr>
        <w:spacing w:after="80" w:line="320" w:lineRule="exact"/>
        <w:ind w:firstLine="283"/>
        <w:rPr>
          <w:rFonts w:hint="cs"/>
          <w:sz w:val="22"/>
          <w:szCs w:val="24"/>
          <w:rtl/>
        </w:rPr>
      </w:pPr>
      <w:r>
        <w:rPr>
          <w:rFonts w:hint="cs"/>
          <w:sz w:val="22"/>
          <w:szCs w:val="24"/>
          <w:rtl/>
        </w:rPr>
        <w:t>עוד סיפר הנאשם, כי הוא ביצע בדיקת פוליגרף על חשבונו והציג את תוצאותיה לחוקר שגבה ממנו את הודעותיו (עמ' 21 ש' 28 ועמ' 23 ש' 8-10).</w:t>
      </w:r>
    </w:p>
    <w:p w14:paraId="5D5719E9" w14:textId="77777777" w:rsidR="00A55500" w:rsidRDefault="00A55500">
      <w:pPr>
        <w:spacing w:after="80" w:line="320" w:lineRule="exact"/>
        <w:ind w:firstLine="283"/>
        <w:rPr>
          <w:rFonts w:hint="cs"/>
          <w:sz w:val="22"/>
          <w:szCs w:val="24"/>
          <w:rtl/>
        </w:rPr>
      </w:pPr>
    </w:p>
    <w:p w14:paraId="7189E52B" w14:textId="77777777" w:rsidR="00A55500" w:rsidRDefault="00A55500">
      <w:pPr>
        <w:spacing w:after="80" w:line="320" w:lineRule="exact"/>
        <w:ind w:firstLine="283"/>
        <w:rPr>
          <w:rFonts w:hint="cs"/>
          <w:sz w:val="22"/>
          <w:szCs w:val="24"/>
          <w:rtl/>
        </w:rPr>
      </w:pPr>
      <w:r>
        <w:rPr>
          <w:rFonts w:hint="cs"/>
          <w:sz w:val="22"/>
          <w:szCs w:val="24"/>
          <w:rtl/>
        </w:rPr>
        <w:t>את הפעולות בהם נקט הנאשם מיד עם היוודע לו על הארוע נושא כתב האישום הוא תאר גם בת/4 (עמ' 2 ש' 6-7), דבר שמחזק את מהימנות עדותו בענין זה, שכן היה ניתן לחקור אמיתות טענותיו תוך עימותן עם האנשים שציין בדבריו.</w:t>
      </w:r>
    </w:p>
    <w:p w14:paraId="5229A78B" w14:textId="77777777" w:rsidR="00A55500" w:rsidRDefault="00A55500">
      <w:pPr>
        <w:spacing w:after="80" w:line="320" w:lineRule="exact"/>
        <w:ind w:firstLine="283"/>
        <w:rPr>
          <w:rFonts w:hint="cs"/>
          <w:sz w:val="22"/>
          <w:szCs w:val="24"/>
          <w:rtl/>
        </w:rPr>
      </w:pPr>
    </w:p>
    <w:p w14:paraId="230D6254" w14:textId="77777777" w:rsidR="00A55500" w:rsidRDefault="00A55500">
      <w:pPr>
        <w:spacing w:after="80" w:line="320" w:lineRule="exact"/>
        <w:ind w:firstLine="283"/>
        <w:rPr>
          <w:rFonts w:hint="cs"/>
          <w:sz w:val="22"/>
          <w:szCs w:val="24"/>
          <w:rtl/>
        </w:rPr>
      </w:pPr>
      <w:r>
        <w:rPr>
          <w:rFonts w:hint="cs"/>
          <w:sz w:val="22"/>
          <w:szCs w:val="24"/>
          <w:rtl/>
        </w:rPr>
        <w:t>עדותו של הנאשם בדבר פניותיו למשטרה קודם שזומן לחקירה על הארוע נושא כתב האישום, נתמכת בעדותו של השוטר שגבה את ת/4, חזי אליהו (עמ' 20) ובעדותה של המתלוננת בת/2, אשר סיפרה כי הנאשם התקשר להוריה, כדי לשוחח עימם לגבי הארוע נושא כתב האישום וכי באותה שיחה הוא הכחיש את המיוחס לו (ת/2 עמ' 21 ש' 11-21).</w:t>
      </w:r>
    </w:p>
    <w:p w14:paraId="5381FA65" w14:textId="77777777" w:rsidR="00A55500" w:rsidRDefault="00A55500">
      <w:pPr>
        <w:spacing w:after="80" w:line="320" w:lineRule="exact"/>
        <w:ind w:firstLine="283"/>
        <w:rPr>
          <w:rFonts w:hint="cs"/>
          <w:sz w:val="22"/>
          <w:szCs w:val="24"/>
          <w:rtl/>
        </w:rPr>
      </w:pPr>
    </w:p>
    <w:p w14:paraId="3C6FD247" w14:textId="77777777" w:rsidR="00A55500" w:rsidRDefault="00A55500">
      <w:pPr>
        <w:spacing w:after="80" w:line="320" w:lineRule="exact"/>
        <w:ind w:firstLine="283"/>
        <w:rPr>
          <w:rFonts w:hint="cs"/>
          <w:sz w:val="22"/>
          <w:szCs w:val="24"/>
          <w:rtl/>
        </w:rPr>
      </w:pPr>
      <w:r>
        <w:rPr>
          <w:rFonts w:hint="cs"/>
          <w:sz w:val="22"/>
          <w:szCs w:val="24"/>
          <w:rtl/>
        </w:rPr>
        <w:t>הפעולות שנקט הנאשם מיד עם היוודע לו על הארוע הנטען על ידי המתלוננת מתיישבות יותר עם המסקנה כי הוא לא ביצע את המעשה המיוחס לו.</w:t>
      </w:r>
    </w:p>
    <w:p w14:paraId="28E2C29D" w14:textId="77777777" w:rsidR="00A55500" w:rsidRDefault="00A55500">
      <w:pPr>
        <w:spacing w:after="80" w:line="320" w:lineRule="exact"/>
        <w:ind w:firstLine="283"/>
        <w:rPr>
          <w:rFonts w:hint="cs"/>
          <w:sz w:val="22"/>
          <w:szCs w:val="24"/>
          <w:rtl/>
        </w:rPr>
      </w:pPr>
    </w:p>
    <w:p w14:paraId="1E50CC31" w14:textId="77777777" w:rsidR="00A55500" w:rsidRDefault="00A55500">
      <w:pPr>
        <w:spacing w:after="80" w:line="320" w:lineRule="exact"/>
        <w:ind w:firstLine="283"/>
        <w:rPr>
          <w:rFonts w:hint="cs"/>
          <w:sz w:val="22"/>
          <w:szCs w:val="24"/>
          <w:rtl/>
        </w:rPr>
      </w:pPr>
      <w:r>
        <w:rPr>
          <w:rFonts w:hint="cs"/>
          <w:sz w:val="22"/>
          <w:szCs w:val="24"/>
          <w:rtl/>
        </w:rPr>
        <w:t>דווקא בהתנהגותם של הוריה של המתלוננת יש כדי להצביע על כך שהארוע נושא כתב האישום לא העסיקם, כפי שניתן היה לצפות שיעסיקם אילו האמינו שתלונת המתלוננת, כפי שהיא נשמעת בעדותה,אמת היא.</w:t>
      </w:r>
    </w:p>
    <w:p w14:paraId="1CB62E66" w14:textId="77777777" w:rsidR="00A55500" w:rsidRDefault="00A55500">
      <w:pPr>
        <w:spacing w:after="80" w:line="320" w:lineRule="exact"/>
        <w:ind w:firstLine="283"/>
        <w:rPr>
          <w:rFonts w:hint="cs"/>
          <w:sz w:val="22"/>
          <w:szCs w:val="24"/>
          <w:rtl/>
        </w:rPr>
      </w:pPr>
    </w:p>
    <w:p w14:paraId="141EB42F" w14:textId="77777777" w:rsidR="00A55500" w:rsidRDefault="00A55500">
      <w:pPr>
        <w:spacing w:after="80" w:line="320" w:lineRule="exact"/>
        <w:ind w:firstLine="283"/>
        <w:rPr>
          <w:rFonts w:hint="cs"/>
          <w:sz w:val="22"/>
          <w:szCs w:val="24"/>
          <w:rtl/>
        </w:rPr>
      </w:pPr>
      <w:r>
        <w:rPr>
          <w:rFonts w:hint="cs"/>
          <w:sz w:val="22"/>
          <w:szCs w:val="24"/>
          <w:rtl/>
        </w:rPr>
        <w:t>לאחר שחוקר הנוער החליט כי אין להעיד את המתלוננת בבית המשפט, מהטעם שנוכח העובדה שהנאשם הוא אביה של חברה טובה שלה מאותו יישוב, עדות כזו עלולה לגרום לה נזק נפשי ולהחריף קונפליקטים, התקשר אביה של המתלוננת לחוקר הנוער ואמר לו שהוא שוחח עם הילדה על אפשרות העדתה והוא מבקש ממנו לשוחח עם המתלוננת בשנית בענין זה. חוקר הנוער נפגש, בשנית, עם המתלוננת ולאור התרשמותו, לפיה המתלוננת הפגינה נכונות וביטחון עצמי למסור עדות בבית המשפט שלא בנוכחות הנאשם, הוא שינה את החלטתו והתיר לה להעיד בבית המשפט, אך שלא בנוכחות הנאשם (עמ' 3 ש' 19-27). אין לפני ראיות מה הביא את אבי המתלוננת לנקוט יוזמה כאמור ומדוע סבר שטובת המתלוננת מחייבת דווקא שתעיד בבית המשפט.</w:t>
      </w:r>
    </w:p>
    <w:p w14:paraId="78F31A3B" w14:textId="77777777" w:rsidR="00A55500" w:rsidRDefault="00A55500">
      <w:pPr>
        <w:spacing w:after="80" w:line="320" w:lineRule="exact"/>
        <w:ind w:firstLine="283"/>
        <w:rPr>
          <w:rFonts w:hint="cs"/>
          <w:sz w:val="22"/>
          <w:szCs w:val="24"/>
          <w:rtl/>
        </w:rPr>
      </w:pPr>
    </w:p>
    <w:p w14:paraId="21423B40" w14:textId="77777777" w:rsidR="00A55500" w:rsidRDefault="00A55500">
      <w:pPr>
        <w:spacing w:after="80" w:line="320" w:lineRule="exact"/>
        <w:ind w:firstLine="283"/>
        <w:rPr>
          <w:rFonts w:hint="cs"/>
          <w:sz w:val="22"/>
          <w:szCs w:val="24"/>
          <w:rtl/>
        </w:rPr>
      </w:pPr>
      <w:r>
        <w:rPr>
          <w:rFonts w:hint="cs"/>
          <w:sz w:val="22"/>
          <w:szCs w:val="24"/>
          <w:rtl/>
        </w:rPr>
        <w:t>מעדותו של הנאשם עולה, כי הוריה של המתלוננת ידעו על הארוע נושא כתב האישום מפי המתלוננת זמן רב לפני שהוגשה תלונתה במשטרה (עמ' 24 ש' 30 ועמ' 25 ש' 1) וכי הם נמנעו מלהגיש תלונה במשטרה במשך תקופה ארוכה, משום שהעובדת הסוציאלית המליצה להם לא לעשות כן, אם לא נגרם כל נזק למתלוננת (עמ' 21 ש' 21-24). עדותו זו של הנאשם לא נסתרה על ידי המאשימה. נוכח העובדה שהורי המתלוננת לא הגישו תלונה במשטרה במשך תקופה ארוכה, כדי למנוע נזק נפשי למתלוננת, לא מובנת התעקשותו של אבי המתלוננת לכך שהמתלוננת תעיד בבית המשפט, חרף דעתו של חוקר הנוער כי עדותה בבית המשפט עשויה לגרום לה נזק נפשי.</w:t>
      </w:r>
    </w:p>
    <w:p w14:paraId="04E7DCCC" w14:textId="77777777" w:rsidR="00A55500" w:rsidRDefault="00A55500">
      <w:pPr>
        <w:spacing w:after="80" w:line="320" w:lineRule="exact"/>
        <w:ind w:firstLine="283"/>
        <w:rPr>
          <w:rFonts w:hint="cs"/>
          <w:sz w:val="22"/>
          <w:szCs w:val="24"/>
          <w:rtl/>
        </w:rPr>
      </w:pPr>
    </w:p>
    <w:p w14:paraId="4E0E29B8" w14:textId="77777777" w:rsidR="00A55500" w:rsidRDefault="00A55500">
      <w:pPr>
        <w:spacing w:after="80" w:line="320" w:lineRule="exact"/>
        <w:ind w:firstLine="283"/>
        <w:rPr>
          <w:rFonts w:hint="cs"/>
          <w:sz w:val="22"/>
          <w:szCs w:val="24"/>
          <w:rtl/>
        </w:rPr>
      </w:pPr>
      <w:r>
        <w:rPr>
          <w:rFonts w:hint="cs"/>
          <w:sz w:val="22"/>
          <w:szCs w:val="24"/>
          <w:rtl/>
        </w:rPr>
        <w:t>הנאשם העיד כי בו ביום שנודע לו על הארוע נושא כתב אישום הוא נפגש עם הורי המתלוננת בביתו שלו (עמ' 21 ש' 20).</w:t>
      </w:r>
    </w:p>
    <w:p w14:paraId="106346BF" w14:textId="77777777" w:rsidR="00A55500" w:rsidRDefault="00A55500">
      <w:pPr>
        <w:spacing w:after="80" w:line="320" w:lineRule="exact"/>
        <w:ind w:firstLine="283"/>
        <w:rPr>
          <w:rFonts w:hint="cs"/>
          <w:sz w:val="22"/>
          <w:szCs w:val="24"/>
          <w:rtl/>
        </w:rPr>
      </w:pPr>
    </w:p>
    <w:p w14:paraId="4B9DCB21" w14:textId="77777777" w:rsidR="00A55500" w:rsidRDefault="00A55500">
      <w:pPr>
        <w:spacing w:after="80" w:line="320" w:lineRule="exact"/>
        <w:ind w:firstLine="283"/>
        <w:rPr>
          <w:rFonts w:hint="cs"/>
          <w:sz w:val="22"/>
          <w:szCs w:val="24"/>
          <w:rtl/>
        </w:rPr>
      </w:pPr>
      <w:r>
        <w:rPr>
          <w:rFonts w:hint="cs"/>
          <w:sz w:val="22"/>
          <w:szCs w:val="24"/>
          <w:rtl/>
        </w:rPr>
        <w:t>המתלוננת אישרה בת/2 כי הנאשם נפגש עם הוריה והוסיפה וסיפרה כי (עצ' 21 ש' 23):</w:t>
      </w:r>
    </w:p>
    <w:p w14:paraId="7F867E3C" w14:textId="77777777" w:rsidR="00A55500" w:rsidRDefault="00A55500">
      <w:pPr>
        <w:spacing w:after="80" w:line="320" w:lineRule="exact"/>
        <w:ind w:firstLine="283"/>
        <w:rPr>
          <w:rFonts w:hint="cs"/>
          <w:sz w:val="22"/>
          <w:szCs w:val="24"/>
          <w:rtl/>
        </w:rPr>
      </w:pPr>
    </w:p>
    <w:p w14:paraId="65A5CE6A" w14:textId="77777777" w:rsidR="00A55500" w:rsidRDefault="00A55500">
      <w:pPr>
        <w:pStyle w:val="a1"/>
        <w:spacing w:after="80" w:line="320" w:lineRule="exact"/>
        <w:ind w:left="0" w:right="0" w:firstLine="283"/>
        <w:rPr>
          <w:rFonts w:cs="David" w:hint="cs"/>
          <w:b w:val="0"/>
          <w:bCs w:val="0"/>
          <w:sz w:val="22"/>
          <w:szCs w:val="24"/>
          <w:rtl/>
        </w:rPr>
      </w:pPr>
      <w:r>
        <w:rPr>
          <w:rFonts w:cs="David" w:hint="cs"/>
          <w:sz w:val="22"/>
          <w:szCs w:val="24"/>
          <w:rtl/>
        </w:rPr>
        <w:t>”ואמא שלי אמרה כזה, תקשיב, אני לא ציפיתי לבוא לפה ולחכות ולשמוע ממך...". (</w:t>
      </w:r>
      <w:r>
        <w:rPr>
          <w:rFonts w:cs="David" w:hint="cs"/>
          <w:b w:val="0"/>
          <w:bCs w:val="0"/>
          <w:sz w:val="22"/>
          <w:szCs w:val="24"/>
          <w:rtl/>
        </w:rPr>
        <w:t>ההדגשה שלי - ש.ד.).</w:t>
      </w:r>
    </w:p>
    <w:p w14:paraId="24EC93D9" w14:textId="77777777" w:rsidR="00A55500" w:rsidRDefault="00A55500">
      <w:pPr>
        <w:pStyle w:val="a1"/>
        <w:spacing w:after="80" w:line="320" w:lineRule="exact"/>
        <w:ind w:left="0" w:right="0" w:firstLine="283"/>
        <w:rPr>
          <w:rFonts w:cs="David" w:hint="cs"/>
          <w:b w:val="0"/>
          <w:bCs w:val="0"/>
          <w:sz w:val="22"/>
          <w:szCs w:val="24"/>
          <w:rtl/>
        </w:rPr>
      </w:pPr>
    </w:p>
    <w:p w14:paraId="22F0AF6B" w14:textId="77777777" w:rsidR="00A55500" w:rsidRDefault="00A55500">
      <w:pPr>
        <w:spacing w:after="80" w:line="320" w:lineRule="exact"/>
        <w:ind w:firstLine="283"/>
        <w:rPr>
          <w:rFonts w:hint="cs"/>
          <w:sz w:val="22"/>
          <w:szCs w:val="24"/>
          <w:rtl/>
        </w:rPr>
      </w:pPr>
      <w:r>
        <w:rPr>
          <w:rFonts w:hint="cs"/>
          <w:sz w:val="22"/>
          <w:szCs w:val="24"/>
          <w:rtl/>
        </w:rPr>
        <w:t>מהמילים המודגשות משתמע כי אמה של המתלוננת נפגשה עם הנאשם בביתו, דבר שתומך בעדות הנאשם ומחזק את מהימנותה.</w:t>
      </w:r>
    </w:p>
    <w:p w14:paraId="06866F92" w14:textId="77777777" w:rsidR="00A55500" w:rsidRDefault="00A55500">
      <w:pPr>
        <w:spacing w:after="80" w:line="320" w:lineRule="exact"/>
        <w:ind w:firstLine="283"/>
        <w:rPr>
          <w:rFonts w:hint="cs"/>
          <w:sz w:val="22"/>
          <w:szCs w:val="24"/>
          <w:rtl/>
        </w:rPr>
      </w:pPr>
    </w:p>
    <w:p w14:paraId="6E72E364" w14:textId="77777777" w:rsidR="00A55500" w:rsidRDefault="00A55500">
      <w:pPr>
        <w:spacing w:after="80" w:line="320" w:lineRule="exact"/>
        <w:ind w:firstLine="283"/>
        <w:rPr>
          <w:rFonts w:hint="cs"/>
          <w:sz w:val="22"/>
          <w:szCs w:val="24"/>
          <w:rtl/>
        </w:rPr>
      </w:pPr>
      <w:r>
        <w:rPr>
          <w:rFonts w:hint="cs"/>
          <w:sz w:val="22"/>
          <w:szCs w:val="24"/>
          <w:rtl/>
        </w:rPr>
        <w:t>לאור האמור לעיל, לא מובן מדוע הסכימו הורי המתלוננת להיפגש עם הנאשם דווקא בביתו.</w:t>
      </w:r>
    </w:p>
    <w:p w14:paraId="488A6BBD" w14:textId="77777777" w:rsidR="00A55500" w:rsidRDefault="00A55500">
      <w:pPr>
        <w:spacing w:after="80" w:line="320" w:lineRule="exact"/>
        <w:ind w:firstLine="283"/>
        <w:rPr>
          <w:rFonts w:hint="cs"/>
          <w:sz w:val="22"/>
          <w:szCs w:val="24"/>
          <w:rtl/>
        </w:rPr>
      </w:pPr>
    </w:p>
    <w:p w14:paraId="0154079B" w14:textId="77777777" w:rsidR="00A55500" w:rsidRDefault="00A55500">
      <w:pPr>
        <w:spacing w:after="80" w:line="320" w:lineRule="exact"/>
        <w:ind w:firstLine="283"/>
        <w:rPr>
          <w:rFonts w:hint="cs"/>
          <w:sz w:val="22"/>
          <w:szCs w:val="24"/>
          <w:rtl/>
        </w:rPr>
      </w:pPr>
      <w:r>
        <w:rPr>
          <w:rFonts w:hint="cs"/>
          <w:sz w:val="22"/>
          <w:szCs w:val="24"/>
          <w:rtl/>
        </w:rPr>
        <w:t>מעיון בחומר הראיות, אף נותר ספק איזה חלק מגירסת המתלוננת הוא דברים שהיא באמת חוותה ואיזה חלק הוא דברים שנוספו לגירסתה לאחר שיחות עם הוריה.</w:t>
      </w:r>
    </w:p>
    <w:p w14:paraId="0FB485E6" w14:textId="77777777" w:rsidR="00A55500" w:rsidRDefault="00A55500">
      <w:pPr>
        <w:spacing w:after="80" w:line="320" w:lineRule="exact"/>
        <w:ind w:firstLine="283"/>
        <w:rPr>
          <w:rFonts w:hint="cs"/>
          <w:sz w:val="22"/>
          <w:szCs w:val="24"/>
          <w:rtl/>
        </w:rPr>
      </w:pPr>
    </w:p>
    <w:p w14:paraId="1B819210" w14:textId="77777777" w:rsidR="00A55500" w:rsidRDefault="00A55500">
      <w:pPr>
        <w:spacing w:after="80" w:line="320" w:lineRule="exact"/>
        <w:ind w:firstLine="283"/>
        <w:rPr>
          <w:rFonts w:hint="cs"/>
          <w:sz w:val="22"/>
          <w:szCs w:val="24"/>
          <w:rtl/>
        </w:rPr>
      </w:pPr>
      <w:r>
        <w:rPr>
          <w:rFonts w:hint="cs"/>
          <w:sz w:val="22"/>
          <w:szCs w:val="24"/>
          <w:rtl/>
        </w:rPr>
        <w:t>בת/2 סיפרה המתלוננת כי הנאשם מאד אוהב ילדים וכי אמה אמרה לה שאנשים שעושים מעשים, כדוגמת המעשה נושא כתב האישום, הם בדרך כלל אנשים שמאוד אוהבים ילדים (עמ' 10 ש' 26-27).</w:t>
      </w:r>
    </w:p>
    <w:p w14:paraId="54CD360F" w14:textId="77777777" w:rsidR="00A55500" w:rsidRDefault="00A55500">
      <w:pPr>
        <w:spacing w:after="80" w:line="320" w:lineRule="exact"/>
        <w:ind w:firstLine="283"/>
        <w:rPr>
          <w:rFonts w:hint="cs"/>
          <w:sz w:val="22"/>
          <w:szCs w:val="24"/>
          <w:rtl/>
        </w:rPr>
      </w:pPr>
    </w:p>
    <w:p w14:paraId="5F9FAF28" w14:textId="77777777" w:rsidR="00A55500" w:rsidRDefault="00A55500">
      <w:pPr>
        <w:spacing w:after="80" w:line="320" w:lineRule="exact"/>
        <w:ind w:firstLine="283"/>
        <w:rPr>
          <w:rFonts w:hint="cs"/>
          <w:sz w:val="22"/>
          <w:szCs w:val="24"/>
          <w:rtl/>
        </w:rPr>
      </w:pPr>
      <w:r>
        <w:rPr>
          <w:rFonts w:hint="cs"/>
          <w:sz w:val="22"/>
          <w:szCs w:val="24"/>
          <w:rtl/>
        </w:rPr>
        <w:t>כאמור, בת/2, המתלוננת ידעה לומר בדיוק את תוכנה של השיחה בין הוריה לבין הנאשם. ההסבר היחיד לכך שהיא ידעה מה אמר הנאשם באותה שיחה הוא שהוריה סיפרו לה על כך. כל זאת, לפני שהמתלוננת מסרה גירסתה לחוקר הנוער.</w:t>
      </w:r>
    </w:p>
    <w:p w14:paraId="0C0F81A1" w14:textId="77777777" w:rsidR="00A55500" w:rsidRDefault="00A55500">
      <w:pPr>
        <w:spacing w:after="80" w:line="320" w:lineRule="exact"/>
        <w:ind w:firstLine="283"/>
        <w:rPr>
          <w:rFonts w:hint="cs"/>
          <w:sz w:val="22"/>
          <w:szCs w:val="24"/>
          <w:rtl/>
        </w:rPr>
      </w:pPr>
      <w:r>
        <w:rPr>
          <w:rFonts w:hint="cs"/>
          <w:sz w:val="22"/>
          <w:szCs w:val="24"/>
          <w:rtl/>
        </w:rPr>
        <w:t>ככלל, לא ניתן שלא להתרשם מכך שהמתלוננת הוכנה היטב הן לפני חקירתה במשטרה והן לפני עדותה בבית המשפט. התרשמותי מעדות המתלוננת היתה שהכנה זו גרמה לה להעיד באופן מסוים ולא באופן חפשי המתאר אירועים כפי שהתרחשו באמת.</w:t>
      </w:r>
    </w:p>
    <w:p w14:paraId="49ECA6C6" w14:textId="77777777" w:rsidR="00A55500" w:rsidRDefault="00A55500">
      <w:pPr>
        <w:spacing w:after="80" w:line="320" w:lineRule="exact"/>
        <w:ind w:firstLine="283"/>
        <w:rPr>
          <w:rFonts w:hint="cs"/>
          <w:sz w:val="22"/>
          <w:szCs w:val="24"/>
          <w:rtl/>
        </w:rPr>
      </w:pPr>
    </w:p>
    <w:p w14:paraId="16C6D6FE" w14:textId="77777777" w:rsidR="00A55500" w:rsidRDefault="00A55500">
      <w:pPr>
        <w:spacing w:after="80" w:line="320" w:lineRule="exact"/>
        <w:ind w:firstLine="283"/>
        <w:rPr>
          <w:rFonts w:hint="cs"/>
          <w:sz w:val="22"/>
          <w:szCs w:val="24"/>
          <w:rtl/>
        </w:rPr>
      </w:pPr>
      <w:r>
        <w:rPr>
          <w:rFonts w:hint="cs"/>
          <w:sz w:val="22"/>
          <w:szCs w:val="24"/>
          <w:rtl/>
        </w:rPr>
        <w:t>חוקר הנוער סיפר, אמנם, בעדותו, כי הוא התרשם לחיוב מעדותה של המתלוננת לפניו היות ודבריה היו הגיוניים, אמינים ומעוגנים בזמן, במקום ובסיטואציה תוך שהיא מוסרת תיאורי אינטרקציות מילוליות ופיזיות עם הנאשם (עמ' 3 ש' 2-3).</w:t>
      </w:r>
    </w:p>
    <w:p w14:paraId="653298AD" w14:textId="77777777" w:rsidR="00A55500" w:rsidRDefault="00A55500">
      <w:pPr>
        <w:spacing w:after="80" w:line="320" w:lineRule="exact"/>
        <w:ind w:firstLine="283"/>
        <w:rPr>
          <w:rFonts w:hint="cs"/>
          <w:sz w:val="22"/>
          <w:szCs w:val="24"/>
          <w:rtl/>
        </w:rPr>
      </w:pPr>
    </w:p>
    <w:p w14:paraId="61180CD9" w14:textId="77777777" w:rsidR="00A55500" w:rsidRDefault="00A55500">
      <w:pPr>
        <w:spacing w:after="80" w:line="320" w:lineRule="exact"/>
        <w:ind w:firstLine="283"/>
        <w:rPr>
          <w:rFonts w:hint="cs"/>
          <w:sz w:val="22"/>
          <w:szCs w:val="24"/>
          <w:rtl/>
        </w:rPr>
      </w:pPr>
      <w:r>
        <w:rPr>
          <w:rFonts w:hint="cs"/>
          <w:sz w:val="22"/>
          <w:szCs w:val="24"/>
          <w:rtl/>
        </w:rPr>
        <w:t xml:space="preserve">בכך חזר חוקר הנוער על הנימוקים שפורטו על ידו בת/3. עוד ציין חוקר הנוער </w:t>
      </w:r>
    </w:p>
    <w:p w14:paraId="72B1BF2A" w14:textId="77777777" w:rsidR="00A55500" w:rsidRDefault="00A55500">
      <w:pPr>
        <w:spacing w:after="80" w:line="320" w:lineRule="exact"/>
        <w:ind w:firstLine="283"/>
        <w:rPr>
          <w:rFonts w:hint="cs"/>
          <w:sz w:val="22"/>
          <w:szCs w:val="24"/>
          <w:rtl/>
        </w:rPr>
      </w:pPr>
      <w:r>
        <w:rPr>
          <w:rFonts w:hint="cs"/>
          <w:sz w:val="22"/>
          <w:szCs w:val="24"/>
          <w:rtl/>
        </w:rPr>
        <w:t>בת/3, כי ההסבר שמסרה המתלוננת לכך שהיא לא גילתה על הארוע נושא כתב האישום עוד קודם חקירתה היה משכנע והגיוני.</w:t>
      </w:r>
    </w:p>
    <w:p w14:paraId="27FFA266" w14:textId="77777777" w:rsidR="00A55500" w:rsidRDefault="00A55500">
      <w:pPr>
        <w:spacing w:after="80" w:line="320" w:lineRule="exact"/>
        <w:ind w:firstLine="283"/>
        <w:rPr>
          <w:rFonts w:hint="cs"/>
          <w:sz w:val="22"/>
          <w:szCs w:val="24"/>
          <w:rtl/>
        </w:rPr>
      </w:pPr>
    </w:p>
    <w:p w14:paraId="1505EB83" w14:textId="77777777" w:rsidR="00A55500" w:rsidRDefault="00A55500">
      <w:pPr>
        <w:spacing w:after="80" w:line="320" w:lineRule="exact"/>
        <w:ind w:firstLine="283"/>
        <w:rPr>
          <w:rFonts w:hint="cs"/>
          <w:sz w:val="22"/>
          <w:szCs w:val="24"/>
          <w:rtl/>
        </w:rPr>
      </w:pPr>
      <w:r>
        <w:rPr>
          <w:rFonts w:hint="cs"/>
          <w:sz w:val="22"/>
          <w:szCs w:val="24"/>
          <w:rtl/>
        </w:rPr>
        <w:t>עם זאת, ת/3 לוקה במספר פגמים.</w:t>
      </w:r>
    </w:p>
    <w:p w14:paraId="1F28CCDF" w14:textId="77777777" w:rsidR="00A55500" w:rsidRDefault="00A55500">
      <w:pPr>
        <w:spacing w:after="80" w:line="320" w:lineRule="exact"/>
        <w:ind w:firstLine="283"/>
        <w:rPr>
          <w:rFonts w:hint="cs"/>
          <w:sz w:val="22"/>
          <w:szCs w:val="24"/>
          <w:rtl/>
        </w:rPr>
      </w:pPr>
    </w:p>
    <w:p w14:paraId="7B48370A" w14:textId="77777777" w:rsidR="00A55500" w:rsidRDefault="00A55500">
      <w:pPr>
        <w:spacing w:after="80" w:line="320" w:lineRule="exact"/>
        <w:ind w:firstLine="283"/>
        <w:rPr>
          <w:rFonts w:hint="cs"/>
          <w:sz w:val="22"/>
          <w:szCs w:val="24"/>
          <w:rtl/>
        </w:rPr>
      </w:pPr>
      <w:r>
        <w:rPr>
          <w:rFonts w:hint="cs"/>
          <w:sz w:val="22"/>
          <w:szCs w:val="24"/>
          <w:rtl/>
        </w:rPr>
        <w:t>חרף דבריו של חוקר הנוער, לפיהם המתלוננת מסרה לו בת/2 תיאור של אינטארקציות מילוליות עם הנאשם, בעדותה בבית המשפט השיבה, תחילה, המתלוננת בשלילה לשאלה אם הנאשם שוחח עימה במהלך הארוע הנטען על ידה(עמ' 15 ש' 10-11) ובהמשך השיבה כי אינה זוכרת אם הנאשם אמר לה משהו במהלך הארוע הנטען על ידה  (עמ' 15 ש' 12-13).</w:t>
      </w:r>
    </w:p>
    <w:p w14:paraId="1C746509" w14:textId="77777777" w:rsidR="00A55500" w:rsidRDefault="00A55500">
      <w:pPr>
        <w:spacing w:after="80" w:line="320" w:lineRule="exact"/>
        <w:ind w:firstLine="283"/>
        <w:rPr>
          <w:rFonts w:hint="cs"/>
          <w:sz w:val="22"/>
          <w:szCs w:val="24"/>
          <w:rtl/>
        </w:rPr>
      </w:pPr>
    </w:p>
    <w:p w14:paraId="3854BB0C" w14:textId="77777777" w:rsidR="00A55500" w:rsidRDefault="00A55500">
      <w:pPr>
        <w:spacing w:after="80" w:line="320" w:lineRule="exact"/>
        <w:ind w:firstLine="283"/>
        <w:rPr>
          <w:rFonts w:hint="cs"/>
          <w:sz w:val="22"/>
          <w:szCs w:val="24"/>
          <w:rtl/>
        </w:rPr>
      </w:pPr>
      <w:r>
        <w:rPr>
          <w:rFonts w:hint="cs"/>
          <w:sz w:val="22"/>
          <w:szCs w:val="24"/>
          <w:rtl/>
        </w:rPr>
        <w:t>כמו כן, בת/3 ציין חוקר הנוער כי בתגובה למעשה שעשה הנאשם למתלוננת היא אמרה לו שלא נוח לה ועברה מקום. מעדותה של המתלוננת עולה, כי לאחר המעשה נושא כתב האישוםהיא נשארה לשבת על הספה ולא עברה מקום (עמ' 11 ש' 34-36).</w:t>
      </w:r>
    </w:p>
    <w:p w14:paraId="25989EB7" w14:textId="77777777" w:rsidR="00A55500" w:rsidRDefault="00A55500">
      <w:pPr>
        <w:spacing w:after="80" w:line="320" w:lineRule="exact"/>
        <w:ind w:firstLine="283"/>
        <w:rPr>
          <w:rFonts w:hint="cs"/>
          <w:sz w:val="22"/>
          <w:szCs w:val="24"/>
          <w:rtl/>
        </w:rPr>
      </w:pPr>
    </w:p>
    <w:p w14:paraId="6B0DA6C6" w14:textId="77777777" w:rsidR="00A55500" w:rsidRDefault="00A55500">
      <w:pPr>
        <w:spacing w:after="80" w:line="320" w:lineRule="exact"/>
        <w:ind w:firstLine="283"/>
        <w:rPr>
          <w:rFonts w:hint="cs"/>
          <w:sz w:val="22"/>
          <w:szCs w:val="24"/>
          <w:rtl/>
        </w:rPr>
      </w:pPr>
      <w:r>
        <w:rPr>
          <w:rFonts w:hint="cs"/>
          <w:sz w:val="22"/>
          <w:szCs w:val="24"/>
          <w:rtl/>
        </w:rPr>
        <w:t>בעדותו הראשית סיפר חוקר הנוער כי הוא החליטה, בתחילה, שלא להעיד את המתלוננת בבית המשפט, משום שהתרשמותו היתה שהעדה בבית המשפט,נוכח העובדה שהנאשם הינו אביה של חברתה הטובה, עלולה לגרום לה נזק נפשי ולהחריף קונפליקטים. לעומת זאת, בת/3 אין כל איזכור לכך שהעדתה של המתלוננת עלולה לגרום לה נזק נפשי. כשנשאל חוקר הנוער בחקירתו הנגדית מדוע הוא לא ציין בת/3 את עניין הנזק הנפשי העשוי להיגרם למתלוננת מהעדתה בבית המשפט, הוא השיב כי זה מובן מאליו (עמ' 5 לפר' מיום 22.2.99 ש' 8-10).</w:t>
      </w:r>
    </w:p>
    <w:p w14:paraId="05C3E109" w14:textId="77777777" w:rsidR="00A55500" w:rsidRDefault="00A55500">
      <w:pPr>
        <w:spacing w:after="80" w:line="320" w:lineRule="exact"/>
        <w:ind w:firstLine="283"/>
        <w:rPr>
          <w:rFonts w:hint="cs"/>
          <w:sz w:val="22"/>
          <w:szCs w:val="24"/>
          <w:rtl/>
        </w:rPr>
      </w:pPr>
    </w:p>
    <w:p w14:paraId="469CC759" w14:textId="77777777" w:rsidR="00A55500" w:rsidRDefault="00A55500">
      <w:pPr>
        <w:spacing w:after="80" w:line="320" w:lineRule="exact"/>
        <w:ind w:firstLine="283"/>
        <w:rPr>
          <w:rFonts w:hint="cs"/>
          <w:sz w:val="22"/>
          <w:szCs w:val="24"/>
          <w:rtl/>
        </w:rPr>
      </w:pPr>
      <w:r>
        <w:rPr>
          <w:rFonts w:hint="cs"/>
          <w:sz w:val="22"/>
          <w:szCs w:val="24"/>
          <w:rtl/>
        </w:rPr>
        <w:t>זאת ועוד,חרף התרשמותו החיובית של חוקר הנוער מעדותה של הילד לפניו,עדותה של המתלוננת לפני, לא הותירה עלי רושם יותר מהימן מאשר הותירה עלי עדותו של הנאשם לפני.</w:t>
      </w:r>
    </w:p>
    <w:p w14:paraId="07987A33" w14:textId="77777777" w:rsidR="00A55500" w:rsidRDefault="00A55500">
      <w:pPr>
        <w:spacing w:after="80" w:line="320" w:lineRule="exact"/>
        <w:ind w:firstLine="283"/>
        <w:rPr>
          <w:rFonts w:hint="cs"/>
          <w:sz w:val="22"/>
          <w:szCs w:val="24"/>
          <w:rtl/>
        </w:rPr>
      </w:pPr>
    </w:p>
    <w:p w14:paraId="7F94BA55" w14:textId="77777777" w:rsidR="00A55500" w:rsidRDefault="00A55500">
      <w:pPr>
        <w:spacing w:after="80" w:line="320" w:lineRule="exact"/>
        <w:ind w:firstLine="283"/>
        <w:rPr>
          <w:rFonts w:hint="cs"/>
          <w:sz w:val="22"/>
          <w:szCs w:val="24"/>
          <w:rtl/>
        </w:rPr>
      </w:pPr>
      <w:r>
        <w:rPr>
          <w:rFonts w:hint="cs"/>
          <w:sz w:val="22"/>
          <w:szCs w:val="24"/>
          <w:rtl/>
        </w:rPr>
        <w:t>אמנם, גם גירסת הנאשם אינה נקיה מתמיהות וסתירות.</w:t>
      </w:r>
    </w:p>
    <w:p w14:paraId="07BD5DD9" w14:textId="77777777" w:rsidR="00A55500" w:rsidRDefault="00A55500">
      <w:pPr>
        <w:spacing w:after="80" w:line="320" w:lineRule="exact"/>
        <w:ind w:firstLine="283"/>
        <w:rPr>
          <w:rFonts w:hint="cs"/>
          <w:sz w:val="22"/>
          <w:szCs w:val="24"/>
          <w:rtl/>
        </w:rPr>
      </w:pPr>
    </w:p>
    <w:p w14:paraId="06C5F0D4" w14:textId="77777777" w:rsidR="00A55500" w:rsidRDefault="00A55500">
      <w:pPr>
        <w:spacing w:after="80" w:line="320" w:lineRule="exact"/>
        <w:ind w:firstLine="283"/>
        <w:rPr>
          <w:rFonts w:hint="cs"/>
          <w:sz w:val="22"/>
          <w:szCs w:val="24"/>
          <w:rtl/>
        </w:rPr>
      </w:pPr>
      <w:r>
        <w:rPr>
          <w:rFonts w:hint="cs"/>
          <w:sz w:val="22"/>
          <w:szCs w:val="24"/>
          <w:rtl/>
        </w:rPr>
        <w:t>בת/4 סיפר הנאשם, כי ייתכן והוא נגע, בטעות, ברגלה של המתלוננת נגיעה אבהית שלא היתה מלווה בכוונה מינית.</w:t>
      </w:r>
    </w:p>
    <w:p w14:paraId="72B4A1D2" w14:textId="77777777" w:rsidR="00A55500" w:rsidRDefault="00A55500">
      <w:pPr>
        <w:spacing w:after="80" w:line="320" w:lineRule="exact"/>
        <w:ind w:firstLine="283"/>
        <w:rPr>
          <w:rFonts w:hint="cs"/>
          <w:sz w:val="22"/>
          <w:szCs w:val="24"/>
          <w:rtl/>
        </w:rPr>
      </w:pPr>
    </w:p>
    <w:p w14:paraId="16B0E6F5" w14:textId="77777777" w:rsidR="00A55500" w:rsidRDefault="00A55500">
      <w:pPr>
        <w:spacing w:after="80" w:line="320" w:lineRule="exact"/>
        <w:ind w:firstLine="283"/>
        <w:rPr>
          <w:rFonts w:hint="cs"/>
          <w:sz w:val="22"/>
          <w:szCs w:val="24"/>
          <w:rtl/>
        </w:rPr>
      </w:pPr>
      <w:r>
        <w:rPr>
          <w:rFonts w:hint="cs"/>
          <w:sz w:val="22"/>
          <w:szCs w:val="24"/>
          <w:rtl/>
        </w:rPr>
        <w:t>כאשר נתבקש הנאשם להסביר בחקירתו הנגדית מה היתה טיבה של אותה נגיעה הוא מסר גירסאות סותרות.</w:t>
      </w:r>
    </w:p>
    <w:p w14:paraId="1B990D9D" w14:textId="77777777" w:rsidR="00A55500" w:rsidRDefault="00A55500">
      <w:pPr>
        <w:spacing w:after="80" w:line="320" w:lineRule="exact"/>
        <w:ind w:firstLine="283"/>
        <w:rPr>
          <w:rFonts w:hint="cs"/>
          <w:sz w:val="22"/>
          <w:szCs w:val="24"/>
          <w:rtl/>
        </w:rPr>
      </w:pPr>
    </w:p>
    <w:p w14:paraId="59ABF3E2" w14:textId="77777777" w:rsidR="00A55500" w:rsidRDefault="00A55500">
      <w:pPr>
        <w:spacing w:after="80" w:line="320" w:lineRule="exact"/>
        <w:ind w:firstLine="283"/>
        <w:rPr>
          <w:rFonts w:hint="cs"/>
          <w:sz w:val="22"/>
          <w:szCs w:val="24"/>
          <w:rtl/>
        </w:rPr>
      </w:pPr>
      <w:r>
        <w:rPr>
          <w:rFonts w:hint="cs"/>
          <w:sz w:val="22"/>
          <w:szCs w:val="24"/>
          <w:rtl/>
        </w:rPr>
        <w:t>פעם אחת העיד הנאשם, כי כאשר הוא אמר בת/4 שייתכן והוא נגע במתלוננת נגיעה אבהית הוא התכוון לכך שייתכן והוא הרים את המתלוננת מהספה והעביר אותה לחדר לישון (עמ' 25 ש' 35, עמ' 26 ש' 2).</w:t>
      </w:r>
    </w:p>
    <w:p w14:paraId="34B8199E" w14:textId="77777777" w:rsidR="00A55500" w:rsidRDefault="00A55500">
      <w:pPr>
        <w:spacing w:after="80" w:line="320" w:lineRule="exact"/>
        <w:ind w:firstLine="283"/>
        <w:rPr>
          <w:rFonts w:hint="cs"/>
          <w:sz w:val="22"/>
          <w:szCs w:val="24"/>
          <w:rtl/>
        </w:rPr>
      </w:pPr>
      <w:r>
        <w:rPr>
          <w:rFonts w:hint="cs"/>
          <w:sz w:val="22"/>
          <w:szCs w:val="24"/>
          <w:rtl/>
        </w:rPr>
        <w:t>פעם אחת העיד הנאשם, כי הנגיעה האבהית, אליה הוא התייחת בת/4, היא נגיעה ברגל תוך כדי דיבור עם המתלוננת או טפיחה על שכמה של המתלוננת ללא כל כוונה מינית (עמ' 25 ש' 32-33).</w:t>
      </w:r>
    </w:p>
    <w:p w14:paraId="15BB872F" w14:textId="77777777" w:rsidR="00A55500" w:rsidRDefault="00A55500">
      <w:pPr>
        <w:spacing w:after="80" w:line="320" w:lineRule="exact"/>
        <w:ind w:firstLine="283"/>
        <w:rPr>
          <w:rFonts w:hint="cs"/>
          <w:sz w:val="22"/>
          <w:szCs w:val="24"/>
          <w:rtl/>
        </w:rPr>
      </w:pPr>
    </w:p>
    <w:p w14:paraId="563DE62C" w14:textId="77777777" w:rsidR="00A55500" w:rsidRDefault="00A55500">
      <w:pPr>
        <w:spacing w:after="80" w:line="320" w:lineRule="exact"/>
        <w:ind w:firstLine="283"/>
        <w:rPr>
          <w:rFonts w:hint="cs"/>
          <w:sz w:val="22"/>
          <w:szCs w:val="24"/>
          <w:rtl/>
        </w:rPr>
      </w:pPr>
      <w:r>
        <w:rPr>
          <w:rFonts w:hint="cs"/>
          <w:sz w:val="22"/>
          <w:szCs w:val="24"/>
          <w:rtl/>
        </w:rPr>
        <w:t xml:space="preserve">כמו כן, כאשר נתבקש הנאשם להדגים את אותה נגיעה אבהית, הוא טפח על ירכו של בא כוחו בליווי האמירה: </w:t>
      </w:r>
      <w:r>
        <w:rPr>
          <w:rFonts w:hint="cs"/>
          <w:b/>
          <w:bCs/>
          <w:sz w:val="22"/>
          <w:szCs w:val="24"/>
          <w:rtl/>
        </w:rPr>
        <w:t>"מאיה קומי לישון"</w:t>
      </w:r>
      <w:r>
        <w:rPr>
          <w:rFonts w:hint="cs"/>
          <w:sz w:val="22"/>
          <w:szCs w:val="24"/>
          <w:rtl/>
        </w:rPr>
        <w:t xml:space="preserve"> (עמ' 26 ש' 12-13). הדגמה זו נעשתה מיד לאחר שהוא סיפר על כך שהוא הרים את המתלוננת מהספה.</w:t>
      </w:r>
    </w:p>
    <w:p w14:paraId="1FB4067F" w14:textId="77777777" w:rsidR="00A55500" w:rsidRDefault="00A55500">
      <w:pPr>
        <w:spacing w:after="80" w:line="320" w:lineRule="exact"/>
        <w:ind w:firstLine="283"/>
        <w:rPr>
          <w:rFonts w:hint="cs"/>
          <w:sz w:val="22"/>
          <w:szCs w:val="24"/>
          <w:rtl/>
        </w:rPr>
      </w:pPr>
    </w:p>
    <w:p w14:paraId="5869E7D0" w14:textId="77777777" w:rsidR="00A55500" w:rsidRDefault="00A55500">
      <w:pPr>
        <w:spacing w:after="80" w:line="320" w:lineRule="exact"/>
        <w:ind w:firstLine="283"/>
        <w:rPr>
          <w:rFonts w:hint="cs"/>
          <w:sz w:val="22"/>
          <w:szCs w:val="24"/>
          <w:rtl/>
        </w:rPr>
      </w:pPr>
      <w:r>
        <w:rPr>
          <w:rFonts w:hint="cs"/>
          <w:sz w:val="22"/>
          <w:szCs w:val="24"/>
          <w:rtl/>
        </w:rPr>
        <w:t>סתירה זו, שהיא בעניין כה מהותי, פוגמת במהימנות גירסתו של הנאשם.</w:t>
      </w:r>
    </w:p>
    <w:p w14:paraId="71EF00CF" w14:textId="77777777" w:rsidR="00A55500" w:rsidRDefault="00A55500">
      <w:pPr>
        <w:spacing w:after="80" w:line="320" w:lineRule="exact"/>
        <w:ind w:firstLine="283"/>
        <w:rPr>
          <w:rFonts w:hint="cs"/>
          <w:sz w:val="22"/>
          <w:szCs w:val="24"/>
          <w:rtl/>
        </w:rPr>
      </w:pPr>
    </w:p>
    <w:p w14:paraId="78FEF4C4" w14:textId="77777777" w:rsidR="00A55500" w:rsidRDefault="00A55500">
      <w:pPr>
        <w:spacing w:after="80" w:line="320" w:lineRule="exact"/>
        <w:ind w:firstLine="283"/>
        <w:rPr>
          <w:rFonts w:hint="cs"/>
          <w:sz w:val="22"/>
          <w:szCs w:val="24"/>
          <w:rtl/>
        </w:rPr>
      </w:pPr>
      <w:r>
        <w:rPr>
          <w:rFonts w:hint="cs"/>
          <w:sz w:val="22"/>
          <w:szCs w:val="24"/>
          <w:rtl/>
        </w:rPr>
        <w:t>בת/4 אין כל ביטוי לכך שהנאשם נשאל על ידי גובה ההודעה כיצד הוא הרים את המתלוננת מהספה למיטה, דבר שעשוי אף הוא לערער את מהימנות גירסתו של הנאשם. עם זאת, גובה ההודעה בעצמו אישר בעדותו כי ייתכן וקיימות שאלות שנשאלו במהלך חקירת הנאשם אך לא נרשמו על גבי ת/4 (עמ' 20). לפיכך, אינני מייחסת משקל רב לכך שבת/4 לא הופיעה שאלה בנוסח "כיצד הרמת את המתלוננת".</w:t>
      </w:r>
    </w:p>
    <w:p w14:paraId="6800EEDF" w14:textId="77777777" w:rsidR="00A55500" w:rsidRDefault="00A55500">
      <w:pPr>
        <w:spacing w:after="80" w:line="320" w:lineRule="exact"/>
        <w:ind w:firstLine="283"/>
        <w:rPr>
          <w:rFonts w:hint="cs"/>
          <w:sz w:val="22"/>
          <w:szCs w:val="24"/>
          <w:rtl/>
        </w:rPr>
      </w:pPr>
    </w:p>
    <w:p w14:paraId="06D8E1F8" w14:textId="77777777" w:rsidR="00A55500" w:rsidRDefault="00A55500">
      <w:pPr>
        <w:spacing w:after="80" w:line="320" w:lineRule="exact"/>
        <w:ind w:firstLine="283"/>
        <w:rPr>
          <w:rFonts w:hint="cs"/>
          <w:sz w:val="22"/>
          <w:szCs w:val="24"/>
          <w:rtl/>
        </w:rPr>
      </w:pPr>
      <w:r>
        <w:rPr>
          <w:rFonts w:hint="cs"/>
          <w:sz w:val="22"/>
          <w:szCs w:val="24"/>
          <w:rtl/>
        </w:rPr>
        <w:t>זאת ועוד, הנאשם העיד בחקירתו הנגדית כי (עמ' 26 ש' 21-23):</w:t>
      </w:r>
    </w:p>
    <w:p w14:paraId="49618B5C" w14:textId="77777777" w:rsidR="00A55500" w:rsidRDefault="00A55500">
      <w:pPr>
        <w:spacing w:after="80" w:line="320" w:lineRule="exact"/>
        <w:ind w:firstLine="283"/>
        <w:rPr>
          <w:rFonts w:hint="cs"/>
          <w:sz w:val="22"/>
          <w:szCs w:val="24"/>
          <w:rtl/>
        </w:rPr>
      </w:pPr>
    </w:p>
    <w:p w14:paraId="3E2C1EF7" w14:textId="77777777" w:rsidR="00A55500" w:rsidRDefault="00A55500">
      <w:pPr>
        <w:pStyle w:val="a1"/>
        <w:spacing w:after="80" w:line="320" w:lineRule="exact"/>
        <w:ind w:left="0" w:right="0" w:firstLine="283"/>
        <w:rPr>
          <w:rFonts w:cs="David" w:hint="cs"/>
          <w:sz w:val="22"/>
          <w:szCs w:val="24"/>
          <w:rtl/>
        </w:rPr>
      </w:pPr>
      <w:r>
        <w:rPr>
          <w:rFonts w:cs="David" w:hint="cs"/>
          <w:sz w:val="22"/>
          <w:szCs w:val="24"/>
          <w:rtl/>
        </w:rPr>
        <w:t>”אני רק אומר שאם היא היתה מוסיפה מילה אחת אני הייתי תחת סוגר ובריח כל החיים שלי באותו יום. מי שעושה אונס הוא לא תחת סוגר ובריח? איך אני אעמוד מול השופטת ואני אוכיח לה את הספק שהיא לא אמרה את המילה הנוספת הזו".</w:t>
      </w:r>
    </w:p>
    <w:p w14:paraId="3DACBBB4" w14:textId="77777777" w:rsidR="00A55500" w:rsidRDefault="00A55500">
      <w:pPr>
        <w:pStyle w:val="a1"/>
        <w:spacing w:after="80" w:line="320" w:lineRule="exact"/>
        <w:ind w:left="0" w:right="0" w:firstLine="283"/>
        <w:rPr>
          <w:rFonts w:cs="David" w:hint="cs"/>
          <w:sz w:val="22"/>
          <w:szCs w:val="24"/>
          <w:rtl/>
        </w:rPr>
      </w:pPr>
    </w:p>
    <w:p w14:paraId="26A9B74B" w14:textId="77777777" w:rsidR="00A55500" w:rsidRDefault="00A55500">
      <w:pPr>
        <w:spacing w:after="80" w:line="320" w:lineRule="exact"/>
        <w:ind w:firstLine="283"/>
        <w:rPr>
          <w:rFonts w:hint="cs"/>
          <w:sz w:val="22"/>
          <w:szCs w:val="24"/>
          <w:rtl/>
        </w:rPr>
      </w:pPr>
      <w:r>
        <w:rPr>
          <w:rFonts w:hint="cs"/>
          <w:sz w:val="22"/>
          <w:szCs w:val="24"/>
          <w:rtl/>
        </w:rPr>
        <w:t>ניסוחו של הנאשם את דבריו אולי אינו מוצלח במיוחד, אך ברור הוא כי ניסה להראות את מצוקתו במצב דברים שבו מוטחת אשמה נגדו ואינו יודע איך להוכיח את חפותו. אלא שהנאשם אינו צריך להוכיח את חפותו.</w:t>
      </w:r>
    </w:p>
    <w:p w14:paraId="57E975FC" w14:textId="77777777" w:rsidR="00A55500" w:rsidRDefault="00A55500">
      <w:pPr>
        <w:spacing w:after="80" w:line="320" w:lineRule="exact"/>
        <w:ind w:firstLine="283"/>
        <w:rPr>
          <w:rFonts w:hint="cs"/>
          <w:sz w:val="22"/>
          <w:szCs w:val="24"/>
          <w:rtl/>
        </w:rPr>
      </w:pPr>
    </w:p>
    <w:p w14:paraId="3260382A" w14:textId="77777777" w:rsidR="00A55500" w:rsidRDefault="00A55500">
      <w:pPr>
        <w:spacing w:after="80" w:line="320" w:lineRule="exact"/>
        <w:ind w:firstLine="283"/>
        <w:rPr>
          <w:rFonts w:hint="cs"/>
          <w:sz w:val="22"/>
          <w:szCs w:val="24"/>
          <w:rtl/>
        </w:rPr>
      </w:pPr>
      <w:r>
        <w:rPr>
          <w:rFonts w:hint="cs"/>
          <w:sz w:val="22"/>
          <w:szCs w:val="24"/>
          <w:rtl/>
        </w:rPr>
        <w:t>ובטרם באים אנו להסתייע בתמיהות ובסתירות שבגירסת הנאשם, יש לבדוק את המשקל של ראיות התביעה.</w:t>
      </w:r>
    </w:p>
    <w:p w14:paraId="30576126" w14:textId="77777777" w:rsidR="00A55500" w:rsidRDefault="00A55500">
      <w:pPr>
        <w:spacing w:after="80" w:line="320" w:lineRule="exact"/>
        <w:ind w:firstLine="283"/>
        <w:rPr>
          <w:rFonts w:hint="cs"/>
          <w:sz w:val="22"/>
          <w:szCs w:val="24"/>
          <w:rtl/>
        </w:rPr>
      </w:pPr>
    </w:p>
    <w:p w14:paraId="2336C9FF" w14:textId="77777777" w:rsidR="00A55500" w:rsidRDefault="00024933">
      <w:pPr>
        <w:spacing w:after="80" w:line="320" w:lineRule="exact"/>
        <w:ind w:firstLine="283"/>
        <w:rPr>
          <w:rFonts w:hint="cs"/>
          <w:sz w:val="22"/>
          <w:szCs w:val="24"/>
          <w:rtl/>
        </w:rPr>
      </w:pPr>
      <w:hyperlink r:id="rId24" w:history="1">
        <w:r w:rsidRPr="00024933">
          <w:rPr>
            <w:rStyle w:val="Hyperlink"/>
            <w:rFonts w:hint="eastAsia"/>
            <w:sz w:val="22"/>
            <w:szCs w:val="24"/>
            <w:rtl/>
          </w:rPr>
          <w:t>סעיף</w:t>
        </w:r>
        <w:r w:rsidRPr="00024933">
          <w:rPr>
            <w:rStyle w:val="Hyperlink"/>
            <w:sz w:val="22"/>
            <w:szCs w:val="24"/>
            <w:rtl/>
          </w:rPr>
          <w:t xml:space="preserve"> 54א'(ב)</w:t>
        </w:r>
      </w:hyperlink>
      <w:r w:rsidR="00A55500">
        <w:rPr>
          <w:rFonts w:hint="cs"/>
          <w:sz w:val="22"/>
          <w:szCs w:val="24"/>
          <w:rtl/>
        </w:rPr>
        <w:t xml:space="preserve"> ל</w:t>
      </w:r>
      <w:hyperlink r:id="rId25" w:history="1">
        <w:r w:rsidR="00B93D94" w:rsidRPr="00B93D94">
          <w:rPr>
            <w:rStyle w:val="Hyperlink"/>
            <w:rFonts w:hint="eastAsia"/>
            <w:sz w:val="22"/>
            <w:szCs w:val="24"/>
            <w:rtl/>
          </w:rPr>
          <w:t>פקודת</w:t>
        </w:r>
        <w:r w:rsidR="00B93D94" w:rsidRPr="00B93D94">
          <w:rPr>
            <w:rStyle w:val="Hyperlink"/>
            <w:sz w:val="22"/>
            <w:szCs w:val="24"/>
            <w:rtl/>
          </w:rPr>
          <w:t xml:space="preserve"> הראיות</w:t>
        </w:r>
      </w:hyperlink>
      <w:r w:rsidR="00A55500">
        <w:rPr>
          <w:rFonts w:hint="cs"/>
          <w:sz w:val="22"/>
          <w:szCs w:val="24"/>
          <w:rtl/>
        </w:rPr>
        <w:t xml:space="preserve"> (נוסח חדש), תשל"א 1971 קובע לאמור:</w:t>
      </w:r>
    </w:p>
    <w:p w14:paraId="07EFF14A" w14:textId="77777777" w:rsidR="00A55500" w:rsidRDefault="00A55500">
      <w:pPr>
        <w:spacing w:after="80" w:line="320" w:lineRule="exact"/>
        <w:ind w:firstLine="283"/>
        <w:rPr>
          <w:rFonts w:hint="cs"/>
          <w:sz w:val="22"/>
          <w:szCs w:val="24"/>
          <w:rtl/>
        </w:rPr>
      </w:pPr>
    </w:p>
    <w:p w14:paraId="1B085976" w14:textId="77777777" w:rsidR="00A55500" w:rsidRDefault="00A55500">
      <w:pPr>
        <w:pStyle w:val="a1"/>
        <w:spacing w:after="80" w:line="320" w:lineRule="exact"/>
        <w:ind w:left="0" w:right="0" w:firstLine="283"/>
        <w:rPr>
          <w:rFonts w:cs="David" w:hint="cs"/>
          <w:sz w:val="22"/>
          <w:szCs w:val="24"/>
          <w:rtl/>
        </w:rPr>
      </w:pPr>
      <w:r>
        <w:rPr>
          <w:rFonts w:cs="David" w:hint="cs"/>
          <w:sz w:val="22"/>
          <w:szCs w:val="24"/>
          <w:rtl/>
        </w:rPr>
        <w:t>”הרשיע בית משפט במשפט על עבירה לפי סימן ה' לפרק י' ל</w:t>
      </w:r>
      <w:hyperlink r:id="rId26" w:history="1">
        <w:r w:rsidR="00B93D94" w:rsidRPr="00B93D94">
          <w:rPr>
            <w:rStyle w:val="Hyperlink"/>
            <w:rFonts w:cs="David" w:hint="eastAsia"/>
            <w:sz w:val="22"/>
            <w:szCs w:val="24"/>
            <w:rtl/>
          </w:rPr>
          <w:t>חוק</w:t>
        </w:r>
        <w:r w:rsidR="00B93D94" w:rsidRPr="00B93D94">
          <w:rPr>
            <w:rStyle w:val="Hyperlink"/>
            <w:rFonts w:cs="David"/>
            <w:sz w:val="22"/>
            <w:szCs w:val="24"/>
            <w:rtl/>
          </w:rPr>
          <w:t xml:space="preserve"> העונשין</w:t>
        </w:r>
      </w:hyperlink>
      <w:r>
        <w:rPr>
          <w:rFonts w:cs="David" w:hint="cs"/>
          <w:sz w:val="22"/>
          <w:szCs w:val="24"/>
          <w:rtl/>
        </w:rPr>
        <w:t>, תשל"ז - 1977 על-פי עדות יחידה של הנפגע, יפרט בהכרעת הדין מה הניע אותו להסתפק בעדות זו".</w:t>
      </w:r>
    </w:p>
    <w:p w14:paraId="2A5CB279" w14:textId="77777777" w:rsidR="00A55500" w:rsidRDefault="00A55500">
      <w:pPr>
        <w:pStyle w:val="a1"/>
        <w:spacing w:after="80" w:line="320" w:lineRule="exact"/>
        <w:ind w:left="0" w:right="0" w:firstLine="283"/>
        <w:rPr>
          <w:rFonts w:cs="David" w:hint="cs"/>
          <w:sz w:val="22"/>
          <w:szCs w:val="24"/>
          <w:rtl/>
        </w:rPr>
      </w:pPr>
    </w:p>
    <w:p w14:paraId="4137A50C" w14:textId="77777777" w:rsidR="00A55500" w:rsidRDefault="00A55500">
      <w:pPr>
        <w:spacing w:after="80" w:line="320" w:lineRule="exact"/>
        <w:ind w:firstLine="283"/>
        <w:rPr>
          <w:rFonts w:hint="cs"/>
          <w:sz w:val="22"/>
          <w:szCs w:val="24"/>
          <w:rtl/>
        </w:rPr>
      </w:pPr>
      <w:r>
        <w:rPr>
          <w:rFonts w:hint="cs"/>
          <w:sz w:val="22"/>
          <w:szCs w:val="24"/>
          <w:rtl/>
        </w:rPr>
        <w:t>מהי אותה דרישה של "מתן טעם" להסתפקות בעדות הקורבן?</w:t>
      </w:r>
    </w:p>
    <w:p w14:paraId="0EC39614" w14:textId="77777777" w:rsidR="00A55500" w:rsidRDefault="00A55500">
      <w:pPr>
        <w:spacing w:after="80" w:line="320" w:lineRule="exact"/>
        <w:ind w:firstLine="283"/>
        <w:rPr>
          <w:rFonts w:hint="cs"/>
          <w:sz w:val="22"/>
          <w:szCs w:val="24"/>
          <w:rtl/>
        </w:rPr>
      </w:pPr>
    </w:p>
    <w:p w14:paraId="00613325" w14:textId="77777777" w:rsidR="00A55500" w:rsidRDefault="00A55500">
      <w:pPr>
        <w:pStyle w:val="a1"/>
        <w:spacing w:after="80" w:line="320" w:lineRule="exact"/>
        <w:ind w:left="0" w:right="0" w:firstLine="283"/>
        <w:rPr>
          <w:rFonts w:cs="David" w:hint="cs"/>
          <w:b w:val="0"/>
          <w:bCs w:val="0"/>
          <w:sz w:val="22"/>
          <w:szCs w:val="24"/>
          <w:rtl/>
        </w:rPr>
      </w:pPr>
      <w:r>
        <w:rPr>
          <w:rFonts w:cs="David" w:hint="cs"/>
          <w:sz w:val="22"/>
          <w:szCs w:val="24"/>
          <w:rtl/>
        </w:rPr>
        <w:t>”פירושה של אותה 'אזהרה עצמית' אינו יכול להיות אלא זה שבשקילת עדות יחידה חייב השופט בזהירות כפולה ומכופלת אולם עצם הצורך בזהירות מיוחדת כזאת עדיין אינו ממצה את החובה המוטלת על השופט לפי סע' 54, לפרט מה הניע אותו להסתפק בעדות יחידה. לשון אחרת, אין השופט יכול לצאת ידי חובתו בהצהרה סתמית כי 'הזהיר את עצמו' , אלא כאן דרוש טעם אמיתי..."</w:t>
      </w:r>
      <w:r>
        <w:rPr>
          <w:rFonts w:cs="David" w:hint="cs"/>
          <w:b w:val="0"/>
          <w:bCs w:val="0"/>
          <w:sz w:val="22"/>
          <w:szCs w:val="24"/>
          <w:rtl/>
        </w:rPr>
        <w:t xml:space="preserve"> [</w:t>
      </w:r>
      <w:hyperlink r:id="rId27" w:history="1">
        <w:r w:rsidR="00B93D94" w:rsidRPr="00B93D94">
          <w:rPr>
            <w:rStyle w:val="Hyperlink"/>
            <w:rFonts w:cs="David" w:hint="eastAsia"/>
            <w:b w:val="0"/>
            <w:bCs w:val="0"/>
            <w:sz w:val="22"/>
            <w:szCs w:val="24"/>
            <w:rtl/>
          </w:rPr>
          <w:t>ע</w:t>
        </w:r>
        <w:r w:rsidR="00B93D94" w:rsidRPr="00B93D94">
          <w:rPr>
            <w:rStyle w:val="Hyperlink"/>
            <w:rFonts w:cs="David"/>
            <w:b w:val="0"/>
            <w:bCs w:val="0"/>
            <w:sz w:val="22"/>
            <w:szCs w:val="24"/>
            <w:rtl/>
          </w:rPr>
          <w:t>"א 79/72 האפוטרופוס לנכסי נפקדים נ' פולק, פ"ד כז</w:t>
        </w:r>
      </w:hyperlink>
      <w:r>
        <w:rPr>
          <w:rFonts w:cs="David" w:hint="cs"/>
          <w:b w:val="0"/>
          <w:bCs w:val="0"/>
          <w:sz w:val="22"/>
          <w:szCs w:val="24"/>
          <w:rtl/>
        </w:rPr>
        <w:t>'(1) 768, 771].</w:t>
      </w:r>
    </w:p>
    <w:p w14:paraId="2BF3B68F" w14:textId="77777777" w:rsidR="00A55500" w:rsidRDefault="00A55500">
      <w:pPr>
        <w:pStyle w:val="a1"/>
        <w:spacing w:after="80" w:line="320" w:lineRule="exact"/>
        <w:ind w:left="0" w:right="0" w:firstLine="283"/>
        <w:rPr>
          <w:rFonts w:cs="David" w:hint="cs"/>
          <w:b w:val="0"/>
          <w:bCs w:val="0"/>
          <w:sz w:val="22"/>
          <w:szCs w:val="24"/>
          <w:rtl/>
        </w:rPr>
      </w:pPr>
    </w:p>
    <w:p w14:paraId="3FAF548E" w14:textId="77777777" w:rsidR="00A55500" w:rsidRDefault="00A55500">
      <w:pPr>
        <w:pStyle w:val="a1"/>
        <w:spacing w:after="80" w:line="320" w:lineRule="exact"/>
        <w:ind w:left="0" w:right="0" w:firstLine="283"/>
        <w:rPr>
          <w:rFonts w:cs="David" w:hint="cs"/>
          <w:sz w:val="22"/>
          <w:szCs w:val="24"/>
          <w:rtl/>
        </w:rPr>
      </w:pPr>
      <w:r>
        <w:rPr>
          <w:rFonts w:cs="David" w:hint="cs"/>
          <w:sz w:val="22"/>
          <w:szCs w:val="24"/>
          <w:rtl/>
        </w:rPr>
        <w:t>"עבירות מין זכו בפקודה להתייחסות מיוחדת הנובעת מעצם טיבן וייחודן: עבירות אלה מבוצעות בצנעה ומבלי שתהיה בדרך כלל אפשרות להעיד עדי ראיה להתרחשויות. מאפיין זה, שתי פנים לו: מחד גיסא, יקשה על קורבן של עבירת מין למצוא עדים שיעידו ויחזקו את גירסתו ומאידך גיסא, עלול 'קורבן' כביכול לעבירת מין לטפול עלילת שווא, בעוד ש'החשוד' יתקשה להתגונן כלפיה...</w:t>
      </w:r>
    </w:p>
    <w:p w14:paraId="444BB430" w14:textId="77777777" w:rsidR="00A55500" w:rsidRDefault="00A55500">
      <w:pPr>
        <w:pStyle w:val="a1"/>
        <w:spacing w:after="80" w:line="320" w:lineRule="exact"/>
        <w:ind w:left="0" w:right="0" w:firstLine="283"/>
        <w:rPr>
          <w:rFonts w:cs="David" w:hint="cs"/>
          <w:sz w:val="22"/>
          <w:szCs w:val="24"/>
          <w:rtl/>
        </w:rPr>
      </w:pPr>
      <w:r>
        <w:rPr>
          <w:rFonts w:cs="David" w:hint="cs"/>
          <w:sz w:val="22"/>
          <w:szCs w:val="24"/>
          <w:rtl/>
        </w:rPr>
        <w:t>---</w:t>
      </w:r>
    </w:p>
    <w:p w14:paraId="274C5ECB" w14:textId="77777777" w:rsidR="00A55500" w:rsidRDefault="00A55500">
      <w:pPr>
        <w:pStyle w:val="a1"/>
        <w:spacing w:after="80" w:line="320" w:lineRule="exact"/>
        <w:ind w:left="0" w:right="0" w:firstLine="283"/>
        <w:rPr>
          <w:rFonts w:cs="David" w:hint="cs"/>
          <w:b w:val="0"/>
          <w:bCs w:val="0"/>
          <w:sz w:val="22"/>
          <w:szCs w:val="24"/>
          <w:rtl/>
        </w:rPr>
      </w:pPr>
      <w:r>
        <w:rPr>
          <w:rFonts w:cs="David" w:hint="cs"/>
          <w:sz w:val="22"/>
          <w:szCs w:val="24"/>
          <w:rtl/>
        </w:rPr>
        <w:t xml:space="preserve">מאחר שהמחוקק - בתיקון שהוסיף את </w:t>
      </w:r>
      <w:hyperlink r:id="rId28" w:history="1">
        <w:r w:rsidR="00024933" w:rsidRPr="00024933">
          <w:rPr>
            <w:rStyle w:val="Hyperlink"/>
            <w:rFonts w:cs="David" w:hint="eastAsia"/>
            <w:sz w:val="22"/>
            <w:szCs w:val="24"/>
            <w:rtl/>
          </w:rPr>
          <w:t>סעיף</w:t>
        </w:r>
        <w:r w:rsidR="00024933" w:rsidRPr="00024933">
          <w:rPr>
            <w:rStyle w:val="Hyperlink"/>
            <w:rFonts w:cs="David"/>
            <w:sz w:val="22"/>
            <w:szCs w:val="24"/>
            <w:rtl/>
          </w:rPr>
          <w:t xml:space="preserve"> 54א(ב)</w:t>
        </w:r>
      </w:hyperlink>
      <w:r>
        <w:rPr>
          <w:rFonts w:cs="David" w:hint="cs"/>
          <w:sz w:val="22"/>
          <w:szCs w:val="24"/>
          <w:rtl/>
        </w:rPr>
        <w:t xml:space="preserve"> בענייננו - בחר כאמור לנקוט אותה לשון שהיתה נקוטה </w:t>
      </w:r>
      <w:hyperlink r:id="rId29" w:history="1">
        <w:r w:rsidR="00024933" w:rsidRPr="00024933">
          <w:rPr>
            <w:rStyle w:val="Hyperlink"/>
            <w:rFonts w:cs="David" w:hint="eastAsia"/>
            <w:sz w:val="22"/>
            <w:szCs w:val="24"/>
            <w:rtl/>
          </w:rPr>
          <w:t>בסעיף</w:t>
        </w:r>
        <w:r w:rsidR="00024933" w:rsidRPr="00024933">
          <w:rPr>
            <w:rStyle w:val="Hyperlink"/>
            <w:rFonts w:cs="David"/>
            <w:sz w:val="22"/>
            <w:szCs w:val="24"/>
            <w:rtl/>
          </w:rPr>
          <w:t xml:space="preserve"> 54</w:t>
        </w:r>
      </w:hyperlink>
      <w:r>
        <w:rPr>
          <w:rFonts w:cs="David" w:hint="cs"/>
          <w:sz w:val="22"/>
          <w:szCs w:val="24"/>
          <w:rtl/>
        </w:rPr>
        <w:t xml:space="preserve"> לפקודה לעניין דרישת ההנמקה במשפט האזרחי ליתן טעם להכרעה על-פי עדות יחיד, ניתן להקיש מהאמור בפסק הדין המצוטט לעיל </w:t>
      </w:r>
      <w:r>
        <w:rPr>
          <w:rFonts w:cs="David" w:hint="cs"/>
          <w:b w:val="0"/>
          <w:bCs w:val="0"/>
          <w:sz w:val="22"/>
          <w:szCs w:val="24"/>
          <w:rtl/>
        </w:rPr>
        <w:t>[</w:t>
      </w:r>
      <w:hyperlink r:id="rId30" w:history="1">
        <w:r w:rsidR="00B93D94" w:rsidRPr="00B93D94">
          <w:rPr>
            <w:rStyle w:val="Hyperlink"/>
            <w:rFonts w:cs="David" w:hint="eastAsia"/>
            <w:b w:val="0"/>
            <w:bCs w:val="0"/>
            <w:sz w:val="22"/>
            <w:szCs w:val="24"/>
            <w:rtl/>
          </w:rPr>
          <w:t>ע</w:t>
        </w:r>
        <w:r w:rsidR="00B93D94" w:rsidRPr="00B93D94">
          <w:rPr>
            <w:rStyle w:val="Hyperlink"/>
            <w:rFonts w:cs="David"/>
            <w:b w:val="0"/>
            <w:bCs w:val="0"/>
            <w:sz w:val="22"/>
            <w:szCs w:val="24"/>
            <w:rtl/>
          </w:rPr>
          <w:t>"א 79/72 האפוטרופוס לנכסי נפקדים נ' פולק, פ"ד כז</w:t>
        </w:r>
      </w:hyperlink>
      <w:r>
        <w:rPr>
          <w:rFonts w:cs="David" w:hint="cs"/>
          <w:b w:val="0"/>
          <w:bCs w:val="0"/>
          <w:sz w:val="22"/>
          <w:szCs w:val="24"/>
          <w:rtl/>
        </w:rPr>
        <w:t xml:space="preserve">'(1) 768- ש.ד.]. </w:t>
      </w:r>
      <w:r>
        <w:rPr>
          <w:rFonts w:cs="David" w:hint="cs"/>
          <w:sz w:val="22"/>
          <w:szCs w:val="24"/>
          <w:rtl/>
        </w:rPr>
        <w:t>על הנדון דידן."</w:t>
      </w:r>
      <w:r>
        <w:rPr>
          <w:rFonts w:cs="David" w:hint="cs"/>
          <w:b w:val="0"/>
          <w:bCs w:val="0"/>
          <w:sz w:val="22"/>
          <w:szCs w:val="24"/>
          <w:rtl/>
        </w:rPr>
        <w:t xml:space="preserve"> [</w:t>
      </w:r>
      <w:hyperlink r:id="rId31" w:history="1">
        <w:r w:rsidR="00B93D94" w:rsidRPr="00B93D94">
          <w:rPr>
            <w:rStyle w:val="Hyperlink"/>
            <w:rFonts w:cs="David" w:hint="eastAsia"/>
            <w:b w:val="0"/>
            <w:bCs w:val="0"/>
            <w:sz w:val="22"/>
            <w:szCs w:val="24"/>
            <w:rtl/>
          </w:rPr>
          <w:t>ע</w:t>
        </w:r>
        <w:r w:rsidR="00B93D94" w:rsidRPr="00B93D94">
          <w:rPr>
            <w:rStyle w:val="Hyperlink"/>
            <w:rFonts w:cs="David"/>
            <w:b w:val="0"/>
            <w:bCs w:val="0"/>
            <w:sz w:val="22"/>
            <w:szCs w:val="24"/>
            <w:rtl/>
          </w:rPr>
          <w:t>"פ 288/88 גנדור נ' מד"י פ"ד מב</w:t>
        </w:r>
      </w:hyperlink>
      <w:r>
        <w:rPr>
          <w:rFonts w:cs="David" w:hint="cs"/>
          <w:b w:val="0"/>
          <w:bCs w:val="0"/>
          <w:sz w:val="22"/>
          <w:szCs w:val="24"/>
          <w:rtl/>
        </w:rPr>
        <w:t>(4) 45, 48].</w:t>
      </w:r>
    </w:p>
    <w:p w14:paraId="37DD64EB" w14:textId="77777777" w:rsidR="00A55500" w:rsidRDefault="00A55500">
      <w:pPr>
        <w:pStyle w:val="a1"/>
        <w:spacing w:after="80" w:line="320" w:lineRule="exact"/>
        <w:ind w:left="0" w:right="0" w:firstLine="283"/>
        <w:rPr>
          <w:rFonts w:cs="David" w:hint="cs"/>
          <w:b w:val="0"/>
          <w:bCs w:val="0"/>
          <w:sz w:val="22"/>
          <w:szCs w:val="24"/>
          <w:rtl/>
        </w:rPr>
      </w:pPr>
    </w:p>
    <w:p w14:paraId="437556AD" w14:textId="77777777" w:rsidR="00A55500" w:rsidRDefault="00A55500">
      <w:pPr>
        <w:pStyle w:val="a1"/>
        <w:spacing w:after="80" w:line="320" w:lineRule="exact"/>
        <w:ind w:left="0" w:right="0" w:firstLine="283"/>
        <w:rPr>
          <w:rFonts w:cs="David" w:hint="cs"/>
          <w:b w:val="0"/>
          <w:bCs w:val="0"/>
          <w:sz w:val="22"/>
          <w:szCs w:val="24"/>
          <w:rtl/>
        </w:rPr>
      </w:pPr>
      <w:r>
        <w:rPr>
          <w:rFonts w:cs="David" w:hint="cs"/>
          <w:sz w:val="22"/>
          <w:szCs w:val="24"/>
          <w:u w:val="single"/>
          <w:rtl/>
        </w:rPr>
        <w:t xml:space="preserve">יש לזכור שלאחר שהוסף </w:t>
      </w:r>
      <w:hyperlink r:id="rId32" w:history="1">
        <w:r w:rsidR="00024933" w:rsidRPr="00024933">
          <w:rPr>
            <w:rStyle w:val="Hyperlink"/>
            <w:rFonts w:cs="David" w:hint="eastAsia"/>
            <w:sz w:val="22"/>
            <w:szCs w:val="24"/>
            <w:rtl/>
          </w:rPr>
          <w:t>סעיף</w:t>
        </w:r>
        <w:r w:rsidR="00024933" w:rsidRPr="00024933">
          <w:rPr>
            <w:rStyle w:val="Hyperlink"/>
            <w:rFonts w:cs="David"/>
            <w:sz w:val="22"/>
            <w:szCs w:val="24"/>
            <w:rtl/>
          </w:rPr>
          <w:t xml:space="preserve"> 54א'</w:t>
        </w:r>
      </w:hyperlink>
      <w:r>
        <w:rPr>
          <w:rFonts w:cs="David" w:hint="cs"/>
          <w:sz w:val="22"/>
          <w:szCs w:val="24"/>
          <w:u w:val="single"/>
          <w:rtl/>
        </w:rPr>
        <w:t xml:space="preserve"> ב</w:t>
      </w:r>
      <w:hyperlink r:id="rId33" w:history="1">
        <w:r w:rsidR="00B93D94" w:rsidRPr="00B93D94">
          <w:rPr>
            <w:rStyle w:val="Hyperlink"/>
            <w:rFonts w:cs="David" w:hint="eastAsia"/>
            <w:sz w:val="22"/>
            <w:szCs w:val="24"/>
            <w:rtl/>
          </w:rPr>
          <w:t>פקודת</w:t>
        </w:r>
        <w:r w:rsidR="00B93D94" w:rsidRPr="00B93D94">
          <w:rPr>
            <w:rStyle w:val="Hyperlink"/>
            <w:rFonts w:cs="David"/>
            <w:sz w:val="22"/>
            <w:szCs w:val="24"/>
            <w:rtl/>
          </w:rPr>
          <w:t xml:space="preserve"> הראיות</w:t>
        </w:r>
      </w:hyperlink>
      <w:r>
        <w:rPr>
          <w:rFonts w:cs="David" w:hint="cs"/>
          <w:sz w:val="22"/>
          <w:szCs w:val="24"/>
          <w:u w:val="single"/>
          <w:rtl/>
        </w:rPr>
        <w:t>, ובוטל הצורך בסיוע לעדות יחידה בעבירות מין, דרושה זהירות שלא יורשע אדם חף מפשע</w:t>
      </w:r>
      <w:r>
        <w:rPr>
          <w:rFonts w:cs="David" w:hint="cs"/>
          <w:b w:val="0"/>
          <w:bCs w:val="0"/>
          <w:sz w:val="22"/>
          <w:szCs w:val="24"/>
          <w:rtl/>
        </w:rPr>
        <w:t xml:space="preserve"> (ההדגשה שלי-ש.ד.) </w:t>
      </w:r>
      <w:r>
        <w:rPr>
          <w:rFonts w:cs="David" w:hint="cs"/>
          <w:sz w:val="22"/>
          <w:szCs w:val="24"/>
          <w:rtl/>
        </w:rPr>
        <w:t>בענייננו נראה לי שלא היה זה בטוח להשתית את הרשעת המערער על עדותה היחידה של המתלוננת, הלוקה, כאמור, בסתירות ובתמיהות."</w:t>
      </w:r>
      <w:r>
        <w:rPr>
          <w:rFonts w:cs="David" w:hint="cs"/>
          <w:b w:val="0"/>
          <w:bCs w:val="0"/>
          <w:sz w:val="22"/>
          <w:szCs w:val="24"/>
          <w:rtl/>
        </w:rPr>
        <w:t xml:space="preserve"> [</w:t>
      </w:r>
      <w:hyperlink r:id="rId34" w:history="1">
        <w:r w:rsidR="00B93D94" w:rsidRPr="00B93D94">
          <w:rPr>
            <w:rStyle w:val="Hyperlink"/>
            <w:rFonts w:cs="David" w:hint="eastAsia"/>
            <w:b w:val="0"/>
            <w:bCs w:val="0"/>
            <w:sz w:val="22"/>
            <w:szCs w:val="24"/>
            <w:rtl/>
          </w:rPr>
          <w:t>ע</w:t>
        </w:r>
        <w:r w:rsidR="00B93D94" w:rsidRPr="00B93D94">
          <w:rPr>
            <w:rStyle w:val="Hyperlink"/>
            <w:rFonts w:cs="David"/>
            <w:b w:val="0"/>
            <w:bCs w:val="0"/>
            <w:sz w:val="22"/>
            <w:szCs w:val="24"/>
            <w:rtl/>
          </w:rPr>
          <w:t>"פ 6378/95 ברוק נ' מד"י, פ"ד מט</w:t>
        </w:r>
      </w:hyperlink>
      <w:r>
        <w:rPr>
          <w:rFonts w:cs="David" w:hint="cs"/>
          <w:b w:val="0"/>
          <w:bCs w:val="0"/>
          <w:sz w:val="22"/>
          <w:szCs w:val="24"/>
          <w:rtl/>
        </w:rPr>
        <w:t>(5) 278, 283].</w:t>
      </w:r>
    </w:p>
    <w:p w14:paraId="078AF362" w14:textId="77777777" w:rsidR="00A55500" w:rsidRDefault="00A55500">
      <w:pPr>
        <w:pStyle w:val="a1"/>
        <w:spacing w:after="80" w:line="320" w:lineRule="exact"/>
        <w:ind w:left="0" w:right="0" w:firstLine="283"/>
        <w:rPr>
          <w:rFonts w:cs="David" w:hint="cs"/>
          <w:b w:val="0"/>
          <w:bCs w:val="0"/>
          <w:sz w:val="22"/>
          <w:szCs w:val="24"/>
          <w:rtl/>
        </w:rPr>
      </w:pPr>
    </w:p>
    <w:p w14:paraId="78A7A37B" w14:textId="77777777" w:rsidR="00A55500" w:rsidRDefault="00A55500">
      <w:pPr>
        <w:spacing w:after="80" w:line="320" w:lineRule="exact"/>
        <w:ind w:firstLine="283"/>
        <w:rPr>
          <w:rFonts w:hint="cs"/>
          <w:sz w:val="22"/>
          <w:szCs w:val="24"/>
          <w:rtl/>
        </w:rPr>
      </w:pPr>
      <w:r>
        <w:rPr>
          <w:rFonts w:hint="cs"/>
          <w:sz w:val="22"/>
          <w:szCs w:val="24"/>
          <w:rtl/>
        </w:rPr>
        <w:t>דברים אלו נכונים במיוחד בפרשה כגון הפרשה שלפני, שבה חלפו שנתיים בין המועד שבו ארע, לטענת המתלוננת, הארוע נושא כתב האישום לבין המועד שבו הוגשה התלונה במשטרה.</w:t>
      </w:r>
    </w:p>
    <w:p w14:paraId="52379E51" w14:textId="77777777" w:rsidR="00A55500" w:rsidRDefault="00A55500">
      <w:pPr>
        <w:spacing w:after="80" w:line="320" w:lineRule="exact"/>
        <w:ind w:firstLine="283"/>
        <w:rPr>
          <w:rFonts w:hint="cs"/>
          <w:sz w:val="22"/>
          <w:szCs w:val="24"/>
          <w:rtl/>
        </w:rPr>
      </w:pPr>
    </w:p>
    <w:p w14:paraId="3AC17459" w14:textId="77777777" w:rsidR="00A55500" w:rsidRDefault="00A55500">
      <w:pPr>
        <w:spacing w:after="80" w:line="320" w:lineRule="exact"/>
        <w:ind w:firstLine="283"/>
        <w:rPr>
          <w:rFonts w:hint="cs"/>
          <w:sz w:val="22"/>
          <w:szCs w:val="24"/>
          <w:rtl/>
        </w:rPr>
      </w:pPr>
      <w:r>
        <w:rPr>
          <w:rFonts w:hint="cs"/>
          <w:sz w:val="22"/>
          <w:szCs w:val="24"/>
          <w:rtl/>
        </w:rPr>
        <w:t>היות ועדותה של המתלוננת הינה בעיקרה עדות יחידה למעשה נושא כתב האישום, אינני סבורה כי ניתן להשתית את הרשעת הנאשם על עדותה זו, נוכח הפגמים הרבים הקיימים בה, כפי שתואר לעיל באריכות.</w:t>
      </w:r>
    </w:p>
    <w:p w14:paraId="2A995BE4" w14:textId="77777777" w:rsidR="00A55500" w:rsidRDefault="00A55500">
      <w:pPr>
        <w:spacing w:after="80" w:line="320" w:lineRule="exact"/>
        <w:ind w:firstLine="283"/>
        <w:rPr>
          <w:rFonts w:hint="cs"/>
          <w:sz w:val="22"/>
          <w:szCs w:val="24"/>
          <w:rtl/>
        </w:rPr>
      </w:pPr>
    </w:p>
    <w:p w14:paraId="58670056" w14:textId="77777777" w:rsidR="00A55500" w:rsidRDefault="00A55500">
      <w:pPr>
        <w:spacing w:after="80" w:line="320" w:lineRule="exact"/>
        <w:ind w:firstLine="283"/>
        <w:rPr>
          <w:rFonts w:hint="cs"/>
          <w:sz w:val="22"/>
          <w:szCs w:val="24"/>
          <w:rtl/>
        </w:rPr>
      </w:pPr>
      <w:r>
        <w:rPr>
          <w:rFonts w:hint="cs"/>
          <w:sz w:val="22"/>
          <w:szCs w:val="24"/>
          <w:rtl/>
        </w:rPr>
        <w:t>אשר על כן, החלטתי לזכות את הנאשם מן העבירה המיוחסת לו בכתב האישום, מחמת הספק.</w:t>
      </w:r>
    </w:p>
    <w:p w14:paraId="0284BA2A" w14:textId="77777777" w:rsidR="00A55500" w:rsidRDefault="00A55500">
      <w:pPr>
        <w:spacing w:after="80" w:line="320" w:lineRule="exact"/>
        <w:ind w:firstLine="283"/>
        <w:rPr>
          <w:rFonts w:hint="cs"/>
          <w:sz w:val="22"/>
          <w:szCs w:val="24"/>
          <w:rtl/>
        </w:rPr>
      </w:pPr>
    </w:p>
    <w:p w14:paraId="38E68558" w14:textId="77777777" w:rsidR="00A55500" w:rsidRDefault="00A55500">
      <w:pPr>
        <w:spacing w:after="80" w:line="320" w:lineRule="exact"/>
        <w:ind w:firstLine="283"/>
        <w:rPr>
          <w:rFonts w:hint="cs"/>
          <w:b/>
          <w:bCs/>
          <w:sz w:val="22"/>
          <w:szCs w:val="24"/>
          <w:rtl/>
        </w:rPr>
      </w:pPr>
      <w:r>
        <w:rPr>
          <w:rFonts w:hint="cs"/>
          <w:b/>
          <w:bCs/>
          <w:sz w:val="22"/>
          <w:szCs w:val="24"/>
          <w:rtl/>
        </w:rPr>
        <w:t>המזכירות תשלח העתק מנימוקי הכרעת הדין לבאי כח הצדדים.</w:t>
      </w:r>
    </w:p>
    <w:p w14:paraId="7E9661A0" w14:textId="77777777" w:rsidR="00A55500" w:rsidRDefault="00A55500">
      <w:pPr>
        <w:spacing w:after="80" w:line="320" w:lineRule="exact"/>
        <w:ind w:firstLine="283"/>
        <w:rPr>
          <w:rFonts w:hint="cs"/>
          <w:b/>
          <w:bCs/>
          <w:sz w:val="22"/>
          <w:szCs w:val="24"/>
          <w:rtl/>
        </w:rPr>
      </w:pPr>
    </w:p>
    <w:p w14:paraId="6A2C341A" w14:textId="77777777" w:rsidR="00A55500" w:rsidRDefault="00A55500">
      <w:pPr>
        <w:spacing w:after="80" w:line="320" w:lineRule="exact"/>
        <w:ind w:firstLine="283"/>
        <w:rPr>
          <w:rFonts w:hint="cs"/>
          <w:b/>
          <w:bCs/>
          <w:sz w:val="22"/>
          <w:szCs w:val="24"/>
          <w:rtl/>
        </w:rPr>
      </w:pPr>
      <w:r>
        <w:rPr>
          <w:rFonts w:hint="cs"/>
          <w:b/>
          <w:bCs/>
          <w:sz w:val="22"/>
          <w:szCs w:val="24"/>
          <w:rtl/>
        </w:rPr>
        <w:t>(מסיבה לא ברורה לא הועברו נימוקים אלה לצדדים סמוך לאחר הודעת הזיכוי לנאשם).</w:t>
      </w:r>
    </w:p>
    <w:p w14:paraId="3CD7C8C0" w14:textId="77777777" w:rsidR="00A55500" w:rsidRDefault="00A55500">
      <w:pPr>
        <w:spacing w:after="80" w:line="320" w:lineRule="exact"/>
        <w:ind w:firstLine="283"/>
        <w:rPr>
          <w:rFonts w:hint="cs"/>
          <w:b/>
          <w:bCs/>
          <w:sz w:val="22"/>
          <w:szCs w:val="24"/>
          <w:rtl/>
        </w:rPr>
      </w:pPr>
    </w:p>
    <w:p w14:paraId="3D3D3887" w14:textId="77777777" w:rsidR="00A55500" w:rsidRDefault="00A55500">
      <w:pPr>
        <w:spacing w:after="80" w:line="320" w:lineRule="exact"/>
        <w:ind w:firstLine="283"/>
        <w:rPr>
          <w:rFonts w:hint="cs"/>
          <w:b/>
          <w:bCs/>
          <w:sz w:val="22"/>
          <w:szCs w:val="24"/>
          <w:rtl/>
        </w:rPr>
      </w:pPr>
      <w:bookmarkStart w:id="10" w:name="Decision1"/>
      <w:r>
        <w:rPr>
          <w:rFonts w:hint="cs"/>
          <w:b/>
          <w:bCs/>
          <w:sz w:val="22"/>
          <w:szCs w:val="24"/>
          <w:rtl/>
        </w:rPr>
        <w:t>הודפסו היום ח' בחשון, תשס"ד (3 בנובמבר 2003) בהיעדר הצדדים.</w:t>
      </w:r>
    </w:p>
    <w:p w14:paraId="70AE7785" w14:textId="77777777" w:rsidR="00A55500" w:rsidRDefault="00A55500">
      <w:pPr>
        <w:spacing w:after="80" w:line="320" w:lineRule="exact"/>
        <w:ind w:firstLine="283"/>
        <w:rPr>
          <w:rFonts w:hint="cs"/>
          <w:b/>
          <w:bCs/>
          <w:color w:val="000080"/>
          <w:sz w:val="22"/>
          <w:szCs w:val="24"/>
          <w:rtl/>
        </w:rPr>
      </w:pPr>
    </w:p>
    <w:tbl>
      <w:tblPr>
        <w:tblW w:w="0" w:type="auto"/>
        <w:tblInd w:w="6153" w:type="dxa"/>
        <w:tblBorders>
          <w:top w:val="single" w:sz="4" w:space="0" w:color="auto"/>
        </w:tblBorders>
        <w:tblLook w:val="0000" w:firstRow="0" w:lastRow="0" w:firstColumn="0" w:lastColumn="0" w:noHBand="0" w:noVBand="0"/>
      </w:tblPr>
      <w:tblGrid>
        <w:gridCol w:w="2376"/>
      </w:tblGrid>
      <w:tr w:rsidR="00A55500" w14:paraId="794068E1" w14:textId="77777777">
        <w:tc>
          <w:tcPr>
            <w:tcW w:w="2376" w:type="dxa"/>
            <w:tcBorders>
              <w:top w:val="single" w:sz="4" w:space="0" w:color="auto"/>
              <w:left w:val="nil"/>
              <w:bottom w:val="nil"/>
              <w:right w:val="nil"/>
            </w:tcBorders>
          </w:tcPr>
          <w:p w14:paraId="702C1968" w14:textId="77777777" w:rsidR="00A55500" w:rsidRDefault="00A55500">
            <w:pPr>
              <w:pStyle w:val="Heading3"/>
              <w:keepNext w:val="0"/>
              <w:spacing w:after="80" w:line="320" w:lineRule="exact"/>
              <w:ind w:firstLine="283"/>
              <w:jc w:val="both"/>
              <w:rPr>
                <w:rFonts w:hint="cs"/>
                <w:color w:val="FFFFFF"/>
                <w:sz w:val="4"/>
                <w:szCs w:val="4"/>
                <w:rtl/>
              </w:rPr>
            </w:pPr>
          </w:p>
          <w:p w14:paraId="66D7A0CB" w14:textId="77777777" w:rsidR="00A55500" w:rsidRDefault="00A55500">
            <w:pPr>
              <w:pStyle w:val="Heading3"/>
              <w:keepNext w:val="0"/>
              <w:spacing w:after="80" w:line="320" w:lineRule="exact"/>
              <w:ind w:firstLine="283"/>
              <w:jc w:val="both"/>
              <w:rPr>
                <w:sz w:val="22"/>
                <w:szCs w:val="24"/>
              </w:rPr>
            </w:pPr>
            <w:r>
              <w:rPr>
                <w:color w:val="FFFFFF"/>
                <w:sz w:val="4"/>
                <w:szCs w:val="4"/>
                <w:rtl/>
              </w:rPr>
              <w:t>5129371</w:t>
            </w:r>
            <w:r>
              <w:rPr>
                <w:rFonts w:hint="cs"/>
                <w:sz w:val="22"/>
                <w:szCs w:val="24"/>
                <w:rtl/>
              </w:rPr>
              <w:t>שולמית דותן, ס.נשיא</w:t>
            </w:r>
          </w:p>
        </w:tc>
      </w:tr>
    </w:tbl>
    <w:p w14:paraId="37047779" w14:textId="77777777" w:rsidR="00A55500" w:rsidRDefault="00A55500">
      <w:pPr>
        <w:spacing w:after="80" w:line="320" w:lineRule="exact"/>
        <w:ind w:firstLine="283"/>
        <w:rPr>
          <w:sz w:val="22"/>
          <w:szCs w:val="24"/>
          <w:rtl/>
        </w:rPr>
      </w:pPr>
    </w:p>
    <w:bookmarkEnd w:id="10"/>
    <w:p w14:paraId="416840FD" w14:textId="77777777" w:rsidR="00A55500" w:rsidRDefault="00A55500">
      <w:pPr>
        <w:spacing w:after="80" w:line="320" w:lineRule="exact"/>
        <w:ind w:firstLine="283"/>
        <w:rPr>
          <w:rFonts w:hint="cs"/>
          <w:b/>
          <w:bCs/>
          <w:sz w:val="22"/>
          <w:szCs w:val="24"/>
          <w:rtl/>
        </w:rPr>
      </w:pPr>
      <w:r>
        <w:rPr>
          <w:rFonts w:hint="cs"/>
          <w:b/>
          <w:bCs/>
          <w:sz w:val="22"/>
          <w:szCs w:val="24"/>
          <w:rtl/>
        </w:rPr>
        <w:t>נאוה</w:t>
      </w:r>
    </w:p>
    <w:p w14:paraId="5791F031" w14:textId="77777777" w:rsidR="00A55500" w:rsidRDefault="00A55500">
      <w:pPr>
        <w:spacing w:after="80" w:line="320" w:lineRule="exact"/>
        <w:ind w:firstLine="283"/>
        <w:rPr>
          <w:b/>
          <w:bCs/>
          <w:sz w:val="22"/>
          <w:szCs w:val="24"/>
          <w:rtl/>
        </w:rPr>
      </w:pPr>
      <w:r>
        <w:rPr>
          <w:b/>
          <w:bCs/>
          <w:sz w:val="22"/>
          <w:szCs w:val="24"/>
          <w:rtl/>
        </w:rPr>
        <w:t>נוסח זה כפוף לשינויי עריכה וניסוח</w:t>
      </w:r>
    </w:p>
    <w:sectPr w:rsidR="00A55500">
      <w:headerReference w:type="even" r:id="rId35"/>
      <w:headerReference w:type="default" r:id="rId36"/>
      <w:footerReference w:type="even" r:id="rId37"/>
      <w:footerReference w:type="default" r:id="rId38"/>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84E2E" w14:textId="77777777" w:rsidR="009A6BE9" w:rsidRDefault="009A6BE9">
      <w:pPr>
        <w:spacing w:line="240" w:lineRule="auto"/>
      </w:pPr>
      <w:r>
        <w:separator/>
      </w:r>
    </w:p>
  </w:endnote>
  <w:endnote w:type="continuationSeparator" w:id="0">
    <w:p w14:paraId="6F886BA8" w14:textId="77777777" w:rsidR="009A6BE9" w:rsidRDefault="009A6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9EB7" w14:textId="77777777" w:rsidR="0008114B" w:rsidRDefault="0008114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7D77AE7D" w14:textId="77777777" w:rsidR="0008114B" w:rsidRDefault="0008114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36DF3B5" w14:textId="77777777" w:rsidR="0008114B" w:rsidRDefault="0008114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M:\00000000\katin\katin\03\s97002328-10.doc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19F08" w14:textId="77777777" w:rsidR="0008114B" w:rsidRDefault="0008114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A1536">
      <w:rPr>
        <w:rFonts w:hAnsi="FrankRuehl" w:cs="FrankRuehl"/>
        <w:noProof/>
        <w:sz w:val="24"/>
        <w:rtl/>
      </w:rPr>
      <w:t>1</w:t>
    </w:r>
    <w:r>
      <w:rPr>
        <w:rFonts w:hAnsi="FrankRuehl" w:cs="FrankRuehl"/>
        <w:sz w:val="24"/>
        <w:rtl/>
      </w:rPr>
      <w:fldChar w:fldCharType="end"/>
    </w:r>
  </w:p>
  <w:p w14:paraId="471EAB1B" w14:textId="77777777" w:rsidR="0008114B" w:rsidRDefault="0008114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E97034C" w14:textId="77777777" w:rsidR="0008114B" w:rsidRDefault="0008114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M:\00000000\katin\katin\03\s97002328-10.doc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8702E" w14:textId="77777777" w:rsidR="009A6BE9" w:rsidRDefault="009A6BE9">
      <w:pPr>
        <w:spacing w:line="240" w:lineRule="auto"/>
      </w:pPr>
      <w:r>
        <w:separator/>
      </w:r>
    </w:p>
  </w:footnote>
  <w:footnote w:type="continuationSeparator" w:id="0">
    <w:p w14:paraId="5967896D" w14:textId="77777777" w:rsidR="009A6BE9" w:rsidRDefault="009A6B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EF7B3" w14:textId="77777777" w:rsidR="0008114B" w:rsidRDefault="0008114B">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2328/97</w:t>
    </w:r>
    <w:r>
      <w:rPr>
        <w:rFonts w:hAnsi="David"/>
        <w:color w:val="000000"/>
        <w:sz w:val="22"/>
        <w:szCs w:val="22"/>
        <w:rtl/>
      </w:rPr>
      <w:tab/>
      <w:t xml:space="preserve"> תביעות מחוז ש"י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44F9A" w14:textId="77777777" w:rsidR="0008114B" w:rsidRDefault="0008114B">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2328/97</w:t>
    </w:r>
    <w:r>
      <w:rPr>
        <w:rFonts w:hAnsi="David"/>
        <w:color w:val="000000"/>
        <w:sz w:val="22"/>
        <w:szCs w:val="22"/>
        <w:rtl/>
      </w:rPr>
      <w:tab/>
      <w:t xml:space="preserve"> תביעות מחוז ש"י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1947D7"/>
    <w:rsid w:val="00024933"/>
    <w:rsid w:val="0008114B"/>
    <w:rsid w:val="001947D7"/>
    <w:rsid w:val="009A6BE9"/>
    <w:rsid w:val="00A55500"/>
    <w:rsid w:val="00B93D94"/>
    <w:rsid w:val="00DD477E"/>
    <w:rsid w:val="00EA1536"/>
    <w:rsid w:val="00FB56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CEED695"/>
  <w15:chartTrackingRefBased/>
  <w15:docId w15:val="{2A33D376-F807-4268-910A-1B00DBA4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spacing w:line="240" w:lineRule="auto"/>
      <w:jc w:val="center"/>
      <w:outlineLvl w:val="2"/>
    </w:pPr>
    <w:rPr>
      <w:b/>
      <w:bCs/>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u w:val="single"/>
    </w:rPr>
  </w:style>
  <w:style w:type="paragraph" w:styleId="Heading6">
    <w:name w:val="heading 6"/>
    <w:basedOn w:val="Normal"/>
    <w:next w:val="Normal"/>
    <w:qFormat/>
    <w:pPr>
      <w:keepNext/>
      <w:spacing w:line="240" w:lineRule="auto"/>
      <w:outlineLvl w:val="5"/>
    </w:pPr>
    <w:rPr>
      <w:b/>
      <w:bCs/>
      <w:sz w:val="26"/>
      <w:u w:val="single"/>
    </w:rPr>
  </w:style>
  <w:style w:type="paragraph" w:styleId="Heading7">
    <w:name w:val="heading 7"/>
    <w:basedOn w:val="Normal"/>
    <w:next w:val="Normal"/>
    <w:qFormat/>
    <w:pPr>
      <w:keepNext/>
      <w:spacing w:after="80" w:line="320" w:lineRule="exact"/>
      <w:ind w:firstLine="283"/>
      <w:jc w:val="center"/>
      <w:outlineLvl w:val="6"/>
    </w:pPr>
    <w:rPr>
      <w:b/>
      <w:bCs/>
      <w:sz w:val="22"/>
      <w:szCs w:val="24"/>
    </w:rPr>
  </w:style>
  <w:style w:type="paragraph" w:styleId="Heading8">
    <w:name w:val="heading 8"/>
    <w:basedOn w:val="Normal"/>
    <w:next w:val="Normal"/>
    <w:qFormat/>
    <w:pPr>
      <w:keepNext/>
      <w:spacing w:after="80" w:line="320" w:lineRule="exact"/>
      <w:ind w:firstLine="283"/>
      <w:jc w:val="center"/>
      <w:outlineLvl w:val="7"/>
    </w:pPr>
    <w:rPr>
      <w:b/>
      <w:bCs/>
      <w:sz w:val="22"/>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customStyle="1" w:styleId="a">
    <w:name w:val="רגיל"/>
    <w:pPr>
      <w:bidi/>
      <w:snapToGrid w:val="0"/>
    </w:pPr>
    <w:rPr>
      <w:rFonts w:cs="David"/>
      <w:szCs w:val="24"/>
      <w:lang w:eastAsia="he-IL"/>
    </w:rPr>
  </w:style>
  <w:style w:type="paragraph" w:customStyle="1" w:styleId="a0">
    <w:name w:val="שמות"/>
    <w:basedOn w:val="Normal"/>
    <w:pPr>
      <w:suppressLineNumbers/>
      <w:snapToGrid w:val="0"/>
    </w:pPr>
    <w:rPr>
      <w:b/>
      <w:bCs/>
      <w:sz w:val="22"/>
      <w:szCs w:val="24"/>
    </w:rPr>
  </w:style>
  <w:style w:type="paragraph" w:customStyle="1" w:styleId="a1">
    <w:name w:val="צטוט"/>
    <w:basedOn w:val="Normal"/>
    <w:pPr>
      <w:ind w:left="567" w:right="567"/>
    </w:pPr>
    <w:rPr>
      <w:rFonts w:cs="Narkisim"/>
      <w:b/>
      <w:bCs/>
      <w:sz w:val="28"/>
      <w:szCs w:val="28"/>
    </w:rPr>
  </w:style>
  <w:style w:type="paragraph" w:customStyle="1" w:styleId="a2">
    <w:name w:val="חתימה"/>
    <w:basedOn w:val="Heading2"/>
    <w:pPr>
      <w:suppressLineNumbers/>
    </w:pPr>
    <w:rPr>
      <w:rFonts w:hAnsi="Arial"/>
      <w:bCs w:val="0"/>
      <w:szCs w:val="24"/>
    </w:rPr>
  </w:style>
  <w:style w:type="paragraph" w:customStyle="1" w:styleId="a3">
    <w:name w:val="החלטה"/>
    <w:basedOn w:val="a"/>
    <w:pPr>
      <w:suppressLineNumbers/>
    </w:pPr>
    <w:rPr>
      <w:bCs/>
    </w:rPr>
  </w:style>
  <w:style w:type="paragraph" w:customStyle="1" w:styleId="a4">
    <w:name w:val="חקירה"/>
    <w:basedOn w:val="a"/>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B93D94"/>
    <w:rPr>
      <w:color w:val="0000FF"/>
      <w:u w:val="single"/>
    </w:rPr>
  </w:style>
  <w:style w:type="character" w:styleId="UnresolvedMention">
    <w:name w:val="Unresolved Mention"/>
    <w:uiPriority w:val="99"/>
    <w:semiHidden/>
    <w:unhideWhenUsed/>
    <w:rsid w:val="000249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54" TargetMode="External"/><Relationship Id="rId18" Type="http://schemas.openxmlformats.org/officeDocument/2006/relationships/hyperlink" Target="http://www.nevo.co.il/law/70301/345.a.1" TargetMode="External"/><Relationship Id="rId26" Type="http://schemas.openxmlformats.org/officeDocument/2006/relationships/hyperlink" Target="http://www.nevo.co.il/law/70301" TargetMode="External"/><Relationship Id="rId39" Type="http://schemas.openxmlformats.org/officeDocument/2006/relationships/fontTable" Target="fontTable.xml"/><Relationship Id="rId21" Type="http://schemas.openxmlformats.org/officeDocument/2006/relationships/hyperlink" Target="http://www.nevo.co.il/law/70301/345.a.3" TargetMode="External"/><Relationship Id="rId34" Type="http://schemas.openxmlformats.org/officeDocument/2006/relationships/hyperlink" Target="http://www.nevo.co.il/case/17929311" TargetMode="External"/><Relationship Id="rId7" Type="http://schemas.openxmlformats.org/officeDocument/2006/relationships/hyperlink" Target="http://www.nevo.co.il/law/70301/345.a.1" TargetMode="External"/><Relationship Id="rId12" Type="http://schemas.openxmlformats.org/officeDocument/2006/relationships/hyperlink" Target="http://www.nevo.co.il/law/98569" TargetMode="External"/><Relationship Id="rId17" Type="http://schemas.openxmlformats.org/officeDocument/2006/relationships/hyperlink" Target="http://www.nevo.co.il/law/70301" TargetMode="External"/><Relationship Id="rId25" Type="http://schemas.openxmlformats.org/officeDocument/2006/relationships/hyperlink" Target="http://www.nevo.co.il/law/98569" TargetMode="External"/><Relationship Id="rId33" Type="http://schemas.openxmlformats.org/officeDocument/2006/relationships/hyperlink" Target="http://www.nevo.co.il/law/98569"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348.a" TargetMode="External"/><Relationship Id="rId20" Type="http://schemas.openxmlformats.org/officeDocument/2006/relationships/hyperlink" Target="http://www.nevo.co.il/law/70301/348.a" TargetMode="External"/><Relationship Id="rId29" Type="http://schemas.openxmlformats.org/officeDocument/2006/relationships/hyperlink" Target="http://www.nevo.co.il/law/98569/54"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68d.d" TargetMode="External"/><Relationship Id="rId24" Type="http://schemas.openxmlformats.org/officeDocument/2006/relationships/hyperlink" Target="http://www.nevo.co.il/law/98569/54a.b" TargetMode="External"/><Relationship Id="rId32" Type="http://schemas.openxmlformats.org/officeDocument/2006/relationships/hyperlink" Target="http://www.nevo.co.il/law/98569/54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98569/54a.b" TargetMode="External"/><Relationship Id="rId23" Type="http://schemas.openxmlformats.org/officeDocument/2006/relationships/hyperlink" Target="http://www.nevo.co.il/law/70301/368d.d" TargetMode="External"/><Relationship Id="rId28" Type="http://schemas.openxmlformats.org/officeDocument/2006/relationships/hyperlink" Target="http://www.nevo.co.il/law/98569/54a.b" TargetMode="External"/><Relationship Id="rId36" Type="http://schemas.openxmlformats.org/officeDocument/2006/relationships/header" Target="header2.xml"/><Relationship Id="rId10" Type="http://schemas.openxmlformats.org/officeDocument/2006/relationships/hyperlink" Target="http://www.nevo.co.il/law/70301/348.a" TargetMode="External"/><Relationship Id="rId19" Type="http://schemas.openxmlformats.org/officeDocument/2006/relationships/hyperlink" Target="http://www.nevo.co.il/law/70301/345.a.5" TargetMode="External"/><Relationship Id="rId31" Type="http://schemas.openxmlformats.org/officeDocument/2006/relationships/hyperlink" Target="http://www.nevo.co.il/case/17946334" TargetMode="External"/><Relationship Id="rId4" Type="http://schemas.openxmlformats.org/officeDocument/2006/relationships/footnotes" Target="footnotes.xml"/><Relationship Id="rId9" Type="http://schemas.openxmlformats.org/officeDocument/2006/relationships/hyperlink" Target="http://www.nevo.co.il/law/70301/345.a.5" TargetMode="External"/><Relationship Id="rId14" Type="http://schemas.openxmlformats.org/officeDocument/2006/relationships/hyperlink" Target="http://www.nevo.co.il/law/98569/54a" TargetMode="External"/><Relationship Id="rId22" Type="http://schemas.openxmlformats.org/officeDocument/2006/relationships/hyperlink" Target="http://www.nevo.co.il/case/5877951" TargetMode="External"/><Relationship Id="rId27" Type="http://schemas.openxmlformats.org/officeDocument/2006/relationships/hyperlink" Target="http://www.nevo.co.il/case/17931683" TargetMode="External"/><Relationship Id="rId30" Type="http://schemas.openxmlformats.org/officeDocument/2006/relationships/hyperlink" Target="http://www.nevo.co.il/case/17931683" TargetMode="External"/><Relationship Id="rId35" Type="http://schemas.openxmlformats.org/officeDocument/2006/relationships/header" Target="header1.xml"/><Relationship Id="rId8" Type="http://schemas.openxmlformats.org/officeDocument/2006/relationships/hyperlink" Target="http://www.nevo.co.il/law/70301/345.a.3"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5212</Words>
  <Characters>29710</Characters>
  <Application>Microsoft Office Word</Application>
  <DocSecurity>0</DocSecurity>
  <Lines>247</Lines>
  <Paragraphs>69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34853</CharactersWithSpaces>
  <SharedDoc>false</SharedDoc>
  <HLinks>
    <vt:vector size="174" baseType="variant">
      <vt:variant>
        <vt:i4>3145842</vt:i4>
      </vt:variant>
      <vt:variant>
        <vt:i4>84</vt:i4>
      </vt:variant>
      <vt:variant>
        <vt:i4>0</vt:i4>
      </vt:variant>
      <vt:variant>
        <vt:i4>5</vt:i4>
      </vt:variant>
      <vt:variant>
        <vt:lpwstr>http://www.nevo.co.il/case/17929311</vt:lpwstr>
      </vt:variant>
      <vt:variant>
        <vt:lpwstr/>
      </vt:variant>
      <vt:variant>
        <vt:i4>7602284</vt:i4>
      </vt:variant>
      <vt:variant>
        <vt:i4>81</vt:i4>
      </vt:variant>
      <vt:variant>
        <vt:i4>0</vt:i4>
      </vt:variant>
      <vt:variant>
        <vt:i4>5</vt:i4>
      </vt:variant>
      <vt:variant>
        <vt:lpwstr>http://www.nevo.co.il/law/98569</vt:lpwstr>
      </vt:variant>
      <vt:variant>
        <vt:lpwstr/>
      </vt:variant>
      <vt:variant>
        <vt:i4>7274592</vt:i4>
      </vt:variant>
      <vt:variant>
        <vt:i4>78</vt:i4>
      </vt:variant>
      <vt:variant>
        <vt:i4>0</vt:i4>
      </vt:variant>
      <vt:variant>
        <vt:i4>5</vt:i4>
      </vt:variant>
      <vt:variant>
        <vt:lpwstr>http://www.nevo.co.il/law/98569/54a</vt:lpwstr>
      </vt:variant>
      <vt:variant>
        <vt:lpwstr/>
      </vt:variant>
      <vt:variant>
        <vt:i4>3997812</vt:i4>
      </vt:variant>
      <vt:variant>
        <vt:i4>75</vt:i4>
      </vt:variant>
      <vt:variant>
        <vt:i4>0</vt:i4>
      </vt:variant>
      <vt:variant>
        <vt:i4>5</vt:i4>
      </vt:variant>
      <vt:variant>
        <vt:lpwstr>http://www.nevo.co.il/case/17946334</vt:lpwstr>
      </vt:variant>
      <vt:variant>
        <vt:lpwstr/>
      </vt:variant>
      <vt:variant>
        <vt:i4>3211382</vt:i4>
      </vt:variant>
      <vt:variant>
        <vt:i4>72</vt:i4>
      </vt:variant>
      <vt:variant>
        <vt:i4>0</vt:i4>
      </vt:variant>
      <vt:variant>
        <vt:i4>5</vt:i4>
      </vt:variant>
      <vt:variant>
        <vt:lpwstr>http://www.nevo.co.il/case/17931683</vt:lpwstr>
      </vt:variant>
      <vt:variant>
        <vt:lpwstr/>
      </vt:variant>
      <vt:variant>
        <vt:i4>7274592</vt:i4>
      </vt:variant>
      <vt:variant>
        <vt:i4>69</vt:i4>
      </vt:variant>
      <vt:variant>
        <vt:i4>0</vt:i4>
      </vt:variant>
      <vt:variant>
        <vt:i4>5</vt:i4>
      </vt:variant>
      <vt:variant>
        <vt:lpwstr>http://www.nevo.co.il/law/98569/54</vt:lpwstr>
      </vt:variant>
      <vt:variant>
        <vt:lpwstr/>
      </vt:variant>
      <vt:variant>
        <vt:i4>4259841</vt:i4>
      </vt:variant>
      <vt:variant>
        <vt:i4>66</vt:i4>
      </vt:variant>
      <vt:variant>
        <vt:i4>0</vt:i4>
      </vt:variant>
      <vt:variant>
        <vt:i4>5</vt:i4>
      </vt:variant>
      <vt:variant>
        <vt:lpwstr>http://www.nevo.co.il/law/98569/54a.b</vt:lpwstr>
      </vt:variant>
      <vt:variant>
        <vt:lpwstr/>
      </vt:variant>
      <vt:variant>
        <vt:i4>3211382</vt:i4>
      </vt:variant>
      <vt:variant>
        <vt:i4>63</vt:i4>
      </vt:variant>
      <vt:variant>
        <vt:i4>0</vt:i4>
      </vt:variant>
      <vt:variant>
        <vt:i4>5</vt:i4>
      </vt:variant>
      <vt:variant>
        <vt:lpwstr>http://www.nevo.co.il/case/17931683</vt:lpwstr>
      </vt:variant>
      <vt:variant>
        <vt:lpwstr/>
      </vt:variant>
      <vt:variant>
        <vt:i4>7995492</vt:i4>
      </vt:variant>
      <vt:variant>
        <vt:i4>60</vt:i4>
      </vt:variant>
      <vt:variant>
        <vt:i4>0</vt:i4>
      </vt:variant>
      <vt:variant>
        <vt:i4>5</vt:i4>
      </vt:variant>
      <vt:variant>
        <vt:lpwstr>http://www.nevo.co.il/law/70301</vt:lpwstr>
      </vt:variant>
      <vt:variant>
        <vt:lpwstr/>
      </vt:variant>
      <vt:variant>
        <vt:i4>7602284</vt:i4>
      </vt:variant>
      <vt:variant>
        <vt:i4>57</vt:i4>
      </vt:variant>
      <vt:variant>
        <vt:i4>0</vt:i4>
      </vt:variant>
      <vt:variant>
        <vt:i4>5</vt:i4>
      </vt:variant>
      <vt:variant>
        <vt:lpwstr>http://www.nevo.co.il/law/98569</vt:lpwstr>
      </vt:variant>
      <vt:variant>
        <vt:lpwstr/>
      </vt:variant>
      <vt:variant>
        <vt:i4>4259841</vt:i4>
      </vt:variant>
      <vt:variant>
        <vt:i4>54</vt:i4>
      </vt:variant>
      <vt:variant>
        <vt:i4>0</vt:i4>
      </vt:variant>
      <vt:variant>
        <vt:i4>5</vt:i4>
      </vt:variant>
      <vt:variant>
        <vt:lpwstr>http://www.nevo.co.il/law/98569/54a.b</vt:lpwstr>
      </vt:variant>
      <vt:variant>
        <vt:lpwstr/>
      </vt:variant>
      <vt:variant>
        <vt:i4>6488176</vt:i4>
      </vt:variant>
      <vt:variant>
        <vt:i4>51</vt:i4>
      </vt:variant>
      <vt:variant>
        <vt:i4>0</vt:i4>
      </vt:variant>
      <vt:variant>
        <vt:i4>5</vt:i4>
      </vt:variant>
      <vt:variant>
        <vt:lpwstr>http://www.nevo.co.il/law/70301/368d.d</vt:lpwstr>
      </vt:variant>
      <vt:variant>
        <vt:lpwstr/>
      </vt:variant>
      <vt:variant>
        <vt:i4>3801214</vt:i4>
      </vt:variant>
      <vt:variant>
        <vt:i4>48</vt:i4>
      </vt:variant>
      <vt:variant>
        <vt:i4>0</vt:i4>
      </vt:variant>
      <vt:variant>
        <vt:i4>5</vt:i4>
      </vt:variant>
      <vt:variant>
        <vt:lpwstr>http://www.nevo.co.il/case/5877951</vt:lpwstr>
      </vt:variant>
      <vt:variant>
        <vt:lpwstr/>
      </vt:variant>
      <vt:variant>
        <vt:i4>6357042</vt:i4>
      </vt:variant>
      <vt:variant>
        <vt:i4>45</vt:i4>
      </vt:variant>
      <vt:variant>
        <vt:i4>0</vt:i4>
      </vt:variant>
      <vt:variant>
        <vt:i4>5</vt:i4>
      </vt:variant>
      <vt:variant>
        <vt:lpwstr>http://www.nevo.co.il/law/70301/345.a.3</vt:lpwstr>
      </vt:variant>
      <vt:variant>
        <vt:lpwstr/>
      </vt:variant>
      <vt:variant>
        <vt:i4>5177438</vt:i4>
      </vt:variant>
      <vt:variant>
        <vt:i4>42</vt:i4>
      </vt:variant>
      <vt:variant>
        <vt:i4>0</vt:i4>
      </vt:variant>
      <vt:variant>
        <vt:i4>5</vt:i4>
      </vt:variant>
      <vt:variant>
        <vt:lpwstr>http://www.nevo.co.il/law/70301/348.a</vt:lpwstr>
      </vt:variant>
      <vt:variant>
        <vt:lpwstr/>
      </vt:variant>
      <vt:variant>
        <vt:i4>6357042</vt:i4>
      </vt:variant>
      <vt:variant>
        <vt:i4>39</vt:i4>
      </vt:variant>
      <vt:variant>
        <vt:i4>0</vt:i4>
      </vt:variant>
      <vt:variant>
        <vt:i4>5</vt:i4>
      </vt:variant>
      <vt:variant>
        <vt:lpwstr>http://www.nevo.co.il/law/70301/345.a.5</vt:lpwstr>
      </vt:variant>
      <vt:variant>
        <vt:lpwstr/>
      </vt:variant>
      <vt:variant>
        <vt:i4>6357042</vt:i4>
      </vt:variant>
      <vt:variant>
        <vt:i4>36</vt:i4>
      </vt:variant>
      <vt:variant>
        <vt:i4>0</vt:i4>
      </vt:variant>
      <vt:variant>
        <vt:i4>5</vt:i4>
      </vt:variant>
      <vt:variant>
        <vt:lpwstr>http://www.nevo.co.il/law/70301/345.a.1</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http://www.nevo.co.il/law/70301/348.a</vt:lpwstr>
      </vt:variant>
      <vt:variant>
        <vt:lpwstr/>
      </vt:variant>
      <vt:variant>
        <vt:i4>4259841</vt:i4>
      </vt:variant>
      <vt:variant>
        <vt:i4>27</vt:i4>
      </vt:variant>
      <vt:variant>
        <vt:i4>0</vt:i4>
      </vt:variant>
      <vt:variant>
        <vt:i4>5</vt:i4>
      </vt:variant>
      <vt:variant>
        <vt:lpwstr>http://www.nevo.co.il/law/98569/54a.b</vt:lpwstr>
      </vt:variant>
      <vt:variant>
        <vt:lpwstr/>
      </vt:variant>
      <vt:variant>
        <vt:i4>7274592</vt:i4>
      </vt:variant>
      <vt:variant>
        <vt:i4>24</vt:i4>
      </vt:variant>
      <vt:variant>
        <vt:i4>0</vt:i4>
      </vt:variant>
      <vt:variant>
        <vt:i4>5</vt:i4>
      </vt:variant>
      <vt:variant>
        <vt:lpwstr>http://www.nevo.co.il/law/98569/54a</vt:lpwstr>
      </vt:variant>
      <vt:variant>
        <vt:lpwstr/>
      </vt:variant>
      <vt:variant>
        <vt:i4>7274592</vt:i4>
      </vt:variant>
      <vt:variant>
        <vt:i4>21</vt:i4>
      </vt:variant>
      <vt:variant>
        <vt:i4>0</vt:i4>
      </vt:variant>
      <vt:variant>
        <vt:i4>5</vt:i4>
      </vt:variant>
      <vt:variant>
        <vt:lpwstr>http://www.nevo.co.il/law/98569/54</vt:lpwstr>
      </vt:variant>
      <vt:variant>
        <vt:lpwstr/>
      </vt:variant>
      <vt:variant>
        <vt:i4>7602284</vt:i4>
      </vt:variant>
      <vt:variant>
        <vt:i4>18</vt:i4>
      </vt:variant>
      <vt:variant>
        <vt:i4>0</vt:i4>
      </vt:variant>
      <vt:variant>
        <vt:i4>5</vt:i4>
      </vt:variant>
      <vt:variant>
        <vt:lpwstr>http://www.nevo.co.il/law/98569</vt:lpwstr>
      </vt:variant>
      <vt:variant>
        <vt:lpwstr/>
      </vt:variant>
      <vt:variant>
        <vt:i4>6488176</vt:i4>
      </vt:variant>
      <vt:variant>
        <vt:i4>15</vt:i4>
      </vt:variant>
      <vt:variant>
        <vt:i4>0</vt:i4>
      </vt:variant>
      <vt:variant>
        <vt:i4>5</vt:i4>
      </vt:variant>
      <vt:variant>
        <vt:lpwstr>http://www.nevo.co.il/law/70301/368d.d</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6357042</vt:i4>
      </vt:variant>
      <vt:variant>
        <vt:i4>9</vt:i4>
      </vt:variant>
      <vt:variant>
        <vt:i4>0</vt:i4>
      </vt:variant>
      <vt:variant>
        <vt:i4>5</vt:i4>
      </vt:variant>
      <vt:variant>
        <vt:lpwstr>http://www.nevo.co.il/law/70301/345.a.5</vt:lpwstr>
      </vt:variant>
      <vt:variant>
        <vt:lpwstr/>
      </vt:variant>
      <vt:variant>
        <vt:i4>6357042</vt:i4>
      </vt:variant>
      <vt:variant>
        <vt:i4>6</vt:i4>
      </vt:variant>
      <vt:variant>
        <vt:i4>0</vt:i4>
      </vt:variant>
      <vt:variant>
        <vt:i4>5</vt:i4>
      </vt:variant>
      <vt:variant>
        <vt:lpwstr>http://www.nevo.co.il/law/70301/345.a.3</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2022-05-24T10:28:00Z</dcterms:created>
  <dcterms:modified xsi:type="dcterms:W3CDTF">2022-05-24T10:28:00Z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 דין</vt:lpwstr>
  </property>
  <property fmtid="{D5CDD505-2E9C-101B-9397-08002B2CF9AE}" pid="4" name="PROCESS">
    <vt:lpwstr>תפ</vt:lpwstr>
  </property>
  <property fmtid="{D5CDD505-2E9C-101B-9397-08002B2CF9AE}" pid="5" name="PROCNUM">
    <vt:lpwstr>2328</vt:lpwstr>
  </property>
  <property fmtid="{D5CDD505-2E9C-101B-9397-08002B2CF9AE}" pid="6" name="PROCYEAR">
    <vt:lpwstr>97</vt:lpwstr>
  </property>
  <property fmtid="{D5CDD505-2E9C-101B-9397-08002B2CF9AE}" pid="7" name="APPELLANT">
    <vt:lpwstr>תביעות מחוז ש#י</vt:lpwstr>
  </property>
  <property fmtid="{D5CDD505-2E9C-101B-9397-08002B2CF9AE}" pid="8" name="APPELLEE">
    <vt:lpwstr>פלוני</vt:lpwstr>
  </property>
  <property fmtid="{D5CDD505-2E9C-101B-9397-08002B2CF9AE}" pid="9" name="JUDGE">
    <vt:lpwstr>שולמית דותן</vt:lpwstr>
  </property>
  <property fmtid="{D5CDD505-2E9C-101B-9397-08002B2CF9AE}" pid="10" name="CITY">
    <vt:lpwstr>י-ם</vt:lpwstr>
  </property>
  <property fmtid="{D5CDD505-2E9C-101B-9397-08002B2CF9AE}" pid="11" name="DATE">
    <vt:lpwstr>20031103</vt:lpwstr>
  </property>
  <property fmtid="{D5CDD505-2E9C-101B-9397-08002B2CF9AE}" pid="12" name="WORDNUMPAGES">
    <vt:lpwstr>17</vt:lpwstr>
  </property>
  <property fmtid="{D5CDD505-2E9C-101B-9397-08002B2CF9AE}" pid="13" name="ISABSTRACT">
    <vt:lpwstr>Y</vt:lpwstr>
  </property>
  <property fmtid="{D5CDD505-2E9C-101B-9397-08002B2CF9AE}" pid="14" name="LAWYER">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CASESLISTTMP1">
    <vt:lpwstr>5877951;17931683:2;17946334;17929311</vt:lpwstr>
  </property>
  <property fmtid="{D5CDD505-2E9C-101B-9397-08002B2CF9AE}" pid="35" name="CASENOTES1">
    <vt:lpwstr>ProcID=213&amp;PartA=32&amp;PartC=30</vt:lpwstr>
  </property>
  <property fmtid="{D5CDD505-2E9C-101B-9397-08002B2CF9AE}" pid="36" name="CASENOTES2">
    <vt:lpwstr>ProcID=213&amp;PartA=19&amp;PartC=20</vt:lpwstr>
  </property>
  <property fmtid="{D5CDD505-2E9C-101B-9397-08002B2CF9AE}" pid="37" name="CASENOTES3">
    <vt:lpwstr>ProcID=213&amp;PartA=17&amp;PartC=19</vt:lpwstr>
  </property>
  <property fmtid="{D5CDD505-2E9C-101B-9397-08002B2CF9AE}" pid="38" name="CASENOTES4">
    <vt:lpwstr>ProcID=213&amp;PartA=11&amp;PartC=12</vt:lpwstr>
  </property>
  <property fmtid="{D5CDD505-2E9C-101B-9397-08002B2CF9AE}" pid="39" name="CASENOTES5">
    <vt:lpwstr>ProcID=213&amp;PartA=22&amp;PartC=28</vt:lpwstr>
  </property>
  <property fmtid="{D5CDD505-2E9C-101B-9397-08002B2CF9AE}" pid="40" name="CASENOTES6">
    <vt:lpwstr>ProcID=213&amp;PartA=18&amp;PartC=20</vt:lpwstr>
  </property>
  <property fmtid="{D5CDD505-2E9C-101B-9397-08002B2CF9AE}" pid="41" name="CASENOTES7">
    <vt:lpwstr>ProcID=213&amp;PartA=28&amp;PartC=31</vt:lpwstr>
  </property>
  <property fmtid="{D5CDD505-2E9C-101B-9397-08002B2CF9AE}" pid="42" name="CASENOTES8">
    <vt:lpwstr>ProcID=213&amp;PartA=33&amp;PartC=34</vt:lpwstr>
  </property>
  <property fmtid="{D5CDD505-2E9C-101B-9397-08002B2CF9AE}" pid="43" name="CASENOTES9">
    <vt:lpwstr>ProcID=213&amp;PartA=12&amp;PartC=15</vt:lpwstr>
  </property>
  <property fmtid="{D5CDD505-2E9C-101B-9397-08002B2CF9AE}" pid="44" name="CASENOTES10">
    <vt:lpwstr>ProcID=213&amp;PartA=27&amp;PartC=28</vt:lpwstr>
  </property>
  <property fmtid="{D5CDD505-2E9C-101B-9397-08002B2CF9AE}" pid="45" name="CASENOTES11">
    <vt:lpwstr>ProcID=213&amp;PartA=24&amp;PartC=27</vt:lpwstr>
  </property>
  <property fmtid="{D5CDD505-2E9C-101B-9397-08002B2CF9AE}" pid="46" name="CASENOTES12">
    <vt:lpwstr>ProcID=213&amp;PartA=20&amp;PartC=25</vt:lpwstr>
  </property>
  <property fmtid="{D5CDD505-2E9C-101B-9397-08002B2CF9AE}" pid="47" name="CASENOTES13">
    <vt:lpwstr>ProcID=213&amp;PartA=26&amp;PartC=37</vt:lpwstr>
  </property>
  <property fmtid="{D5CDD505-2E9C-101B-9397-08002B2CF9AE}" pid="48" name="CASENOTES14">
    <vt:lpwstr>ProcID=213&amp;PartA=16&amp;PartC=17</vt:lpwstr>
  </property>
  <property fmtid="{D5CDD505-2E9C-101B-9397-08002B2CF9AE}" pid="49" name="CASENOTES15">
    <vt:lpwstr>ProcID=213&amp;PartA=24&amp;PartC=25</vt:lpwstr>
  </property>
  <property fmtid="{D5CDD505-2E9C-101B-9397-08002B2CF9AE}" pid="50" name="LAWLISTTMP1">
    <vt:lpwstr>70301/348.a:3;345.a.1:2;345.a.5:2;345.a.3:2;368d.d:2</vt:lpwstr>
  </property>
  <property fmtid="{D5CDD505-2E9C-101B-9397-08002B2CF9AE}" pid="51" name="LAWLISTTMP2">
    <vt:lpwstr>98569/054a.b:3;054:2;054a:2</vt:lpwstr>
  </property>
</Properties>
</file>