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429E" w14:textId="77777777" w:rsidR="00AF7F13" w:rsidRDefault="00AF7F13">
      <w:pPr>
        <w:pStyle w:val="Header"/>
        <w:framePr w:wrap="auto" w:vAnchor="text" w:hAnchor="margin" w:xAlign="center" w:y="1"/>
        <w:rPr>
          <w:rtl/>
        </w:rPr>
      </w:pPr>
    </w:p>
    <w:p w14:paraId="67F6630B" w14:textId="77777777" w:rsidR="00AF7F13" w:rsidRDefault="00AF7F13">
      <w:pPr>
        <w:jc w:val="center"/>
        <w:rPr>
          <w:rFonts w:hint="cs"/>
          <w:rtl/>
        </w:rPr>
      </w:pPr>
    </w:p>
    <w:p w14:paraId="72427DF1" w14:textId="77777777" w:rsidR="00AF7F13" w:rsidRDefault="00AF7F13">
      <w:pPr>
        <w:jc w:val="center"/>
        <w:rPr>
          <w:rFonts w:hint="cs"/>
          <w:rtl/>
        </w:rPr>
      </w:pPr>
      <w:r>
        <w:t xml:space="preserve">    </w:t>
      </w:r>
    </w:p>
    <w:p w14:paraId="7BE6791D" w14:textId="77777777" w:rsidR="00AF7F13" w:rsidRDefault="00AF7F13">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40"/>
        <w:gridCol w:w="3568"/>
        <w:gridCol w:w="1106"/>
        <w:gridCol w:w="1808"/>
      </w:tblGrid>
      <w:tr w:rsidR="00932897" w14:paraId="0E0FEA3B" w14:textId="77777777" w:rsidTr="0093289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3C14365" w14:textId="77777777" w:rsidR="00932897" w:rsidRDefault="00932897">
            <w:pPr>
              <w:rPr>
                <w:sz w:val="28"/>
              </w:rPr>
            </w:pPr>
            <w:r>
              <w:rPr>
                <w:rFonts w:hint="cs"/>
                <w:sz w:val="28"/>
                <w:rtl/>
              </w:rPr>
              <w:t>בית משפט השלום כפר-סבא</w:t>
            </w:r>
          </w:p>
        </w:tc>
        <w:tc>
          <w:tcPr>
            <w:tcW w:w="2915" w:type="dxa"/>
            <w:gridSpan w:val="2"/>
            <w:tcBorders>
              <w:top w:val="single" w:sz="4" w:space="0" w:color="auto"/>
              <w:left w:val="single" w:sz="4" w:space="0" w:color="auto"/>
              <w:bottom w:val="single" w:sz="4" w:space="0" w:color="auto"/>
              <w:right w:val="single" w:sz="4" w:space="0" w:color="auto"/>
            </w:tcBorders>
          </w:tcPr>
          <w:p w14:paraId="38436F41" w14:textId="77777777" w:rsidR="00932897" w:rsidRDefault="00932897">
            <w:pPr>
              <w:rPr>
                <w:sz w:val="28"/>
              </w:rPr>
            </w:pPr>
            <w:r>
              <w:rPr>
                <w:rFonts w:hint="cs"/>
                <w:sz w:val="28"/>
                <w:rtl/>
              </w:rPr>
              <w:t>פ  002373/98</w:t>
            </w:r>
          </w:p>
        </w:tc>
      </w:tr>
      <w:tr w:rsidR="00932897" w14:paraId="2F5E7F42" w14:textId="77777777" w:rsidTr="0093289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3999634" w14:textId="77777777" w:rsidR="00932897" w:rsidRDefault="00932897">
            <w:pPr>
              <w:bidi w:val="0"/>
              <w:spacing w:line="240" w:lineRule="auto"/>
              <w:rPr>
                <w:sz w:val="28"/>
              </w:rPr>
            </w:pPr>
          </w:p>
        </w:tc>
        <w:tc>
          <w:tcPr>
            <w:tcW w:w="2915" w:type="dxa"/>
            <w:gridSpan w:val="2"/>
            <w:tcBorders>
              <w:top w:val="single" w:sz="4" w:space="0" w:color="auto"/>
              <w:left w:val="single" w:sz="4" w:space="0" w:color="auto"/>
              <w:bottom w:val="single" w:sz="4" w:space="0" w:color="auto"/>
              <w:right w:val="single" w:sz="4" w:space="0" w:color="auto"/>
            </w:tcBorders>
          </w:tcPr>
          <w:p w14:paraId="06240849" w14:textId="77777777" w:rsidR="00932897" w:rsidRDefault="00932897">
            <w:pPr>
              <w:rPr>
                <w:sz w:val="28"/>
              </w:rPr>
            </w:pPr>
          </w:p>
        </w:tc>
      </w:tr>
      <w:tr w:rsidR="00932897" w14:paraId="518149E4" w14:textId="77777777" w:rsidTr="00932897">
        <w:trPr>
          <w:trHeight w:val="286"/>
        </w:trPr>
        <w:tc>
          <w:tcPr>
            <w:tcW w:w="2042" w:type="dxa"/>
            <w:tcBorders>
              <w:top w:val="single" w:sz="4" w:space="0" w:color="auto"/>
              <w:left w:val="single" w:sz="4" w:space="0" w:color="auto"/>
              <w:bottom w:val="single" w:sz="4" w:space="0" w:color="auto"/>
              <w:right w:val="single" w:sz="4" w:space="0" w:color="auto"/>
            </w:tcBorders>
          </w:tcPr>
          <w:p w14:paraId="5744DD4B" w14:textId="77777777" w:rsidR="00932897" w:rsidRDefault="00932897">
            <w:pPr>
              <w:rPr>
                <w:sz w:val="28"/>
              </w:rPr>
            </w:pPr>
            <w:r>
              <w:rPr>
                <w:rFonts w:hint="cs"/>
                <w:sz w:val="28"/>
                <w:rtl/>
              </w:rPr>
              <w:t>בפני כב' השופטת</w:t>
            </w:r>
          </w:p>
        </w:tc>
        <w:tc>
          <w:tcPr>
            <w:tcW w:w="3572" w:type="dxa"/>
            <w:tcBorders>
              <w:top w:val="single" w:sz="4" w:space="0" w:color="auto"/>
              <w:left w:val="single" w:sz="4" w:space="0" w:color="auto"/>
              <w:bottom w:val="single" w:sz="4" w:space="0" w:color="auto"/>
              <w:right w:val="single" w:sz="4" w:space="0" w:color="auto"/>
            </w:tcBorders>
          </w:tcPr>
          <w:p w14:paraId="07EA69AE" w14:textId="77777777" w:rsidR="00932897" w:rsidRDefault="00932897">
            <w:pPr>
              <w:rPr>
                <w:sz w:val="28"/>
              </w:rPr>
            </w:pPr>
            <w:r>
              <w:rPr>
                <w:rFonts w:hint="cs"/>
                <w:sz w:val="28"/>
                <w:rtl/>
              </w:rPr>
              <w:t>גלית ציגלר</w:t>
            </w:r>
          </w:p>
          <w:p w14:paraId="46E4ED1C" w14:textId="77777777" w:rsidR="00932897" w:rsidRDefault="00932897">
            <w:pPr>
              <w:rPr>
                <w:sz w:val="28"/>
              </w:rPr>
            </w:pP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7692E27" w14:textId="77777777" w:rsidR="00932897" w:rsidRDefault="00932897">
            <w:pPr>
              <w:rPr>
                <w:sz w:val="28"/>
              </w:rPr>
            </w:pPr>
            <w:r>
              <w:rPr>
                <w:rFonts w:hint="cs"/>
                <w:sz w:val="28"/>
                <w:rtl/>
              </w:rPr>
              <w:t>תאריך:</w:t>
            </w:r>
          </w:p>
        </w:tc>
        <w:tc>
          <w:tcPr>
            <w:tcW w:w="1809" w:type="dxa"/>
            <w:tcBorders>
              <w:top w:val="single" w:sz="4" w:space="0" w:color="auto"/>
              <w:left w:val="single" w:sz="4" w:space="0" w:color="auto"/>
              <w:bottom w:val="single" w:sz="4" w:space="0" w:color="auto"/>
              <w:right w:val="single" w:sz="4" w:space="0" w:color="auto"/>
            </w:tcBorders>
          </w:tcPr>
          <w:p w14:paraId="791C65FB" w14:textId="77777777" w:rsidR="00932897" w:rsidRDefault="00932897">
            <w:pPr>
              <w:rPr>
                <w:sz w:val="28"/>
              </w:rPr>
            </w:pPr>
            <w:r>
              <w:rPr>
                <w:rFonts w:hint="cs"/>
                <w:sz w:val="28"/>
                <w:rtl/>
              </w:rPr>
              <w:t>05/12/2000</w:t>
            </w:r>
          </w:p>
        </w:tc>
      </w:tr>
    </w:tbl>
    <w:p w14:paraId="67FC8578" w14:textId="77777777" w:rsidR="00AF7F13" w:rsidRDefault="00AF7F13">
      <w:pPr>
        <w:rPr>
          <w:rFonts w:hint="cs"/>
          <w:szCs w:val="22"/>
          <w:rtl/>
        </w:rPr>
      </w:pPr>
    </w:p>
    <w:p w14:paraId="5D993E09" w14:textId="77777777" w:rsidR="00AF7F13" w:rsidRDefault="00AF7F13">
      <w:pPr>
        <w:pStyle w:val="Header"/>
        <w:jc w:val="left"/>
        <w:rPr>
          <w:rFonts w:hint="cs"/>
          <w:szCs w:val="20"/>
          <w:rtl/>
        </w:rPr>
      </w:pPr>
    </w:p>
    <w:p w14:paraId="5AEDB942" w14:textId="77777777" w:rsidR="00AF7F13" w:rsidRDefault="00AF7F13">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932897" w14:paraId="60A7412A" w14:textId="77777777" w:rsidTr="00932897">
        <w:tc>
          <w:tcPr>
            <w:tcW w:w="1418" w:type="dxa"/>
          </w:tcPr>
          <w:p w14:paraId="6CE8F895" w14:textId="77777777" w:rsidR="00932897" w:rsidRDefault="00932897">
            <w:bookmarkStart w:id="0" w:name="FirstAppellant"/>
            <w:r>
              <w:rPr>
                <w:rFonts w:hint="cs"/>
                <w:rtl/>
              </w:rPr>
              <w:t>בעניין:</w:t>
            </w:r>
          </w:p>
        </w:tc>
        <w:tc>
          <w:tcPr>
            <w:tcW w:w="4820" w:type="dxa"/>
            <w:gridSpan w:val="2"/>
          </w:tcPr>
          <w:p w14:paraId="409563A4" w14:textId="77777777" w:rsidR="00932897" w:rsidRDefault="00932897">
            <w:r>
              <w:rPr>
                <w:rFonts w:hint="cs"/>
                <w:rtl/>
              </w:rPr>
              <w:t>מדינת ישראל</w:t>
            </w:r>
          </w:p>
        </w:tc>
        <w:tc>
          <w:tcPr>
            <w:tcW w:w="2409" w:type="dxa"/>
          </w:tcPr>
          <w:p w14:paraId="3E1C59A1" w14:textId="77777777" w:rsidR="00932897" w:rsidRDefault="00932897"/>
        </w:tc>
      </w:tr>
      <w:tr w:rsidR="00932897" w14:paraId="021AB075" w14:textId="77777777" w:rsidTr="00932897">
        <w:tc>
          <w:tcPr>
            <w:tcW w:w="1418" w:type="dxa"/>
          </w:tcPr>
          <w:p w14:paraId="0B7BD3A2" w14:textId="77777777" w:rsidR="00932897" w:rsidRDefault="00932897">
            <w:bookmarkStart w:id="1" w:name="כינוי_א" w:colFirst="3" w:colLast="3"/>
            <w:bookmarkStart w:id="2" w:name="FirstLawyer"/>
            <w:bookmarkEnd w:id="0"/>
          </w:p>
        </w:tc>
        <w:tc>
          <w:tcPr>
            <w:tcW w:w="1757" w:type="dxa"/>
          </w:tcPr>
          <w:p w14:paraId="2872AC7E" w14:textId="77777777" w:rsidR="00932897" w:rsidRDefault="00932897">
            <w:r>
              <w:rPr>
                <w:rFonts w:hint="cs"/>
                <w:rtl/>
              </w:rPr>
              <w:t>ע"י ב"כ עוה"ד</w:t>
            </w:r>
          </w:p>
        </w:tc>
        <w:tc>
          <w:tcPr>
            <w:tcW w:w="3063" w:type="dxa"/>
          </w:tcPr>
          <w:p w14:paraId="525031EB" w14:textId="77777777" w:rsidR="00932897" w:rsidRDefault="00932897">
            <w:r>
              <w:rPr>
                <w:rFonts w:hint="cs"/>
                <w:rtl/>
              </w:rPr>
              <w:t>איילת שמיר</w:t>
            </w:r>
          </w:p>
        </w:tc>
        <w:tc>
          <w:tcPr>
            <w:tcW w:w="2409" w:type="dxa"/>
          </w:tcPr>
          <w:p w14:paraId="6997DD89" w14:textId="77777777" w:rsidR="00932897" w:rsidRDefault="00932897">
            <w:r>
              <w:rPr>
                <w:rFonts w:hint="cs"/>
                <w:rtl/>
              </w:rPr>
              <w:t>המאשימה</w:t>
            </w:r>
          </w:p>
        </w:tc>
      </w:tr>
      <w:bookmarkEnd w:id="1"/>
      <w:bookmarkEnd w:id="2"/>
      <w:tr w:rsidR="00932897" w14:paraId="44F7D690" w14:textId="77777777" w:rsidTr="00932897">
        <w:tc>
          <w:tcPr>
            <w:tcW w:w="1418" w:type="dxa"/>
          </w:tcPr>
          <w:p w14:paraId="54F02A41" w14:textId="77777777" w:rsidR="00932897" w:rsidRDefault="00932897"/>
        </w:tc>
        <w:tc>
          <w:tcPr>
            <w:tcW w:w="4820" w:type="dxa"/>
            <w:gridSpan w:val="2"/>
          </w:tcPr>
          <w:p w14:paraId="1C91F0D6" w14:textId="77777777" w:rsidR="00932897" w:rsidRDefault="00932897">
            <w:r>
              <w:rPr>
                <w:rFonts w:hint="cs"/>
                <w:rtl/>
              </w:rPr>
              <w:t>נגד</w:t>
            </w:r>
          </w:p>
          <w:p w14:paraId="25D0F778" w14:textId="77777777" w:rsidR="00932897" w:rsidRDefault="00932897"/>
        </w:tc>
        <w:tc>
          <w:tcPr>
            <w:tcW w:w="2409" w:type="dxa"/>
          </w:tcPr>
          <w:p w14:paraId="5CB27322" w14:textId="77777777" w:rsidR="00932897" w:rsidRDefault="00932897"/>
        </w:tc>
      </w:tr>
      <w:tr w:rsidR="00932897" w14:paraId="1701DF39" w14:textId="77777777" w:rsidTr="00932897">
        <w:tc>
          <w:tcPr>
            <w:tcW w:w="1418" w:type="dxa"/>
          </w:tcPr>
          <w:p w14:paraId="72EF2BC6" w14:textId="77777777" w:rsidR="00932897" w:rsidRDefault="00932897">
            <w:bookmarkStart w:id="3" w:name="שם_ב" w:colFirst="1" w:colLast="1"/>
          </w:p>
        </w:tc>
        <w:tc>
          <w:tcPr>
            <w:tcW w:w="4820" w:type="dxa"/>
            <w:gridSpan w:val="2"/>
          </w:tcPr>
          <w:p w14:paraId="5C6F467C" w14:textId="77777777" w:rsidR="00932897" w:rsidRDefault="00932897">
            <w:r>
              <w:rPr>
                <w:rFonts w:hint="cs"/>
                <w:rtl/>
              </w:rPr>
              <w:t>עאזם בהא</w:t>
            </w:r>
          </w:p>
        </w:tc>
        <w:tc>
          <w:tcPr>
            <w:tcW w:w="2409" w:type="dxa"/>
          </w:tcPr>
          <w:p w14:paraId="33EFF11E" w14:textId="77777777" w:rsidR="00932897" w:rsidRDefault="00932897"/>
        </w:tc>
      </w:tr>
      <w:tr w:rsidR="00932897" w14:paraId="178C93FE" w14:textId="77777777" w:rsidTr="00932897">
        <w:tc>
          <w:tcPr>
            <w:tcW w:w="1418" w:type="dxa"/>
          </w:tcPr>
          <w:p w14:paraId="3DDD4095" w14:textId="77777777" w:rsidR="00932897" w:rsidRDefault="00932897">
            <w:bookmarkStart w:id="4" w:name="כינוי_ב" w:colFirst="3" w:colLast="3"/>
            <w:bookmarkEnd w:id="3"/>
          </w:p>
        </w:tc>
        <w:tc>
          <w:tcPr>
            <w:tcW w:w="1757" w:type="dxa"/>
          </w:tcPr>
          <w:p w14:paraId="6C037AC7" w14:textId="77777777" w:rsidR="00932897" w:rsidRDefault="00932897">
            <w:r>
              <w:rPr>
                <w:rFonts w:hint="cs"/>
                <w:rtl/>
              </w:rPr>
              <w:t>ע"י ב"כ עוה"ד</w:t>
            </w:r>
          </w:p>
        </w:tc>
        <w:tc>
          <w:tcPr>
            <w:tcW w:w="3063" w:type="dxa"/>
          </w:tcPr>
          <w:p w14:paraId="5C8A1EA6" w14:textId="77777777" w:rsidR="00932897" w:rsidRDefault="00932897">
            <w:r>
              <w:rPr>
                <w:rFonts w:hint="cs"/>
                <w:rtl/>
              </w:rPr>
              <w:t>אקעיק</w:t>
            </w:r>
          </w:p>
        </w:tc>
        <w:tc>
          <w:tcPr>
            <w:tcW w:w="2409" w:type="dxa"/>
          </w:tcPr>
          <w:p w14:paraId="39C6B7F9" w14:textId="77777777" w:rsidR="00932897" w:rsidRDefault="00932897">
            <w:r>
              <w:rPr>
                <w:rFonts w:hint="cs"/>
                <w:rtl/>
              </w:rPr>
              <w:t>הנאשם</w:t>
            </w:r>
          </w:p>
        </w:tc>
      </w:tr>
    </w:tbl>
    <w:p w14:paraId="07162429" w14:textId="77777777" w:rsidR="00D910F9" w:rsidRDefault="00D910F9">
      <w:pPr>
        <w:rPr>
          <w:rtl/>
        </w:rPr>
      </w:pPr>
      <w:bookmarkStart w:id="5" w:name="LawTable"/>
      <w:bookmarkEnd w:id="4"/>
      <w:bookmarkEnd w:id="5"/>
    </w:p>
    <w:p w14:paraId="7775E4CD" w14:textId="77777777" w:rsidR="00D910F9" w:rsidRPr="00D910F9" w:rsidRDefault="00D910F9" w:rsidP="00D910F9">
      <w:pPr>
        <w:spacing w:after="120" w:line="240" w:lineRule="exact"/>
        <w:ind w:left="283" w:hanging="283"/>
        <w:jc w:val="both"/>
        <w:rPr>
          <w:rFonts w:ascii="FrankRuehl" w:hAnsi="FrankRuehl" w:cs="FrankRuehl"/>
          <w:sz w:val="24"/>
          <w:szCs w:val="24"/>
          <w:rtl/>
        </w:rPr>
      </w:pPr>
    </w:p>
    <w:p w14:paraId="00D77740" w14:textId="77777777" w:rsidR="00D910F9" w:rsidRPr="00D910F9" w:rsidRDefault="00D910F9" w:rsidP="00D910F9">
      <w:pPr>
        <w:spacing w:after="120" w:line="240" w:lineRule="exact"/>
        <w:ind w:left="283" w:hanging="283"/>
        <w:jc w:val="both"/>
        <w:rPr>
          <w:rFonts w:ascii="FrankRuehl" w:hAnsi="FrankRuehl" w:cs="FrankRuehl"/>
          <w:sz w:val="24"/>
          <w:szCs w:val="24"/>
          <w:rtl/>
        </w:rPr>
      </w:pPr>
      <w:r w:rsidRPr="00D910F9">
        <w:rPr>
          <w:rFonts w:ascii="FrankRuehl" w:hAnsi="FrankRuehl" w:cs="FrankRuehl"/>
          <w:sz w:val="24"/>
          <w:szCs w:val="24"/>
          <w:rtl/>
        </w:rPr>
        <w:t xml:space="preserve">חקיקה שאוזכרה: </w:t>
      </w:r>
    </w:p>
    <w:p w14:paraId="65067F94" w14:textId="77777777" w:rsidR="00D910F9" w:rsidRPr="00D910F9" w:rsidRDefault="00D910F9" w:rsidP="00D910F9">
      <w:pPr>
        <w:spacing w:after="120" w:line="240" w:lineRule="exact"/>
        <w:ind w:left="283" w:hanging="283"/>
        <w:jc w:val="both"/>
        <w:rPr>
          <w:rFonts w:ascii="FrankRuehl" w:hAnsi="FrankRuehl" w:cs="FrankRuehl"/>
          <w:sz w:val="24"/>
          <w:szCs w:val="24"/>
          <w:rtl/>
        </w:rPr>
      </w:pPr>
      <w:hyperlink r:id="rId6" w:history="1">
        <w:r w:rsidRPr="00D910F9">
          <w:rPr>
            <w:rFonts w:ascii="FrankRuehl" w:hAnsi="FrankRuehl" w:cs="FrankRuehl"/>
            <w:color w:val="0000FF"/>
            <w:sz w:val="24"/>
            <w:szCs w:val="24"/>
            <w:u w:val="single"/>
            <w:rtl/>
          </w:rPr>
          <w:t>חוק העונשין, תשל"ז-1977</w:t>
        </w:r>
      </w:hyperlink>
      <w:r w:rsidRPr="00D910F9">
        <w:rPr>
          <w:rFonts w:ascii="FrankRuehl" w:hAnsi="FrankRuehl" w:cs="FrankRuehl"/>
          <w:sz w:val="24"/>
          <w:szCs w:val="24"/>
          <w:rtl/>
        </w:rPr>
        <w:t xml:space="preserve">: סע'  </w:t>
      </w:r>
      <w:hyperlink r:id="rId7" w:history="1">
        <w:r w:rsidRPr="00D910F9">
          <w:rPr>
            <w:rFonts w:ascii="FrankRuehl" w:hAnsi="FrankRuehl" w:cs="FrankRuehl"/>
            <w:color w:val="0000FF"/>
            <w:sz w:val="24"/>
            <w:szCs w:val="24"/>
            <w:u w:val="single"/>
            <w:rtl/>
          </w:rPr>
          <w:t>349(א)</w:t>
        </w:r>
      </w:hyperlink>
    </w:p>
    <w:p w14:paraId="45594CD9" w14:textId="77777777" w:rsidR="00D910F9" w:rsidRPr="00D910F9" w:rsidRDefault="00D910F9" w:rsidP="00D910F9">
      <w:pPr>
        <w:spacing w:after="120" w:line="240" w:lineRule="exact"/>
        <w:ind w:left="283" w:hanging="283"/>
        <w:jc w:val="both"/>
        <w:rPr>
          <w:rFonts w:ascii="FrankRuehl" w:hAnsi="FrankRuehl" w:cs="FrankRuehl"/>
          <w:sz w:val="24"/>
          <w:szCs w:val="24"/>
          <w:rtl/>
        </w:rPr>
      </w:pPr>
    </w:p>
    <w:p w14:paraId="0DE5FE59" w14:textId="77777777" w:rsidR="00D910F9" w:rsidRPr="00D910F9" w:rsidRDefault="00D910F9">
      <w:pPr>
        <w:rPr>
          <w:rtl/>
        </w:rPr>
      </w:pPr>
      <w:bookmarkStart w:id="6" w:name="LawTable_End"/>
      <w:bookmarkEnd w:id="6"/>
    </w:p>
    <w:p w14:paraId="4B5B43D2" w14:textId="77777777" w:rsidR="00D910F9" w:rsidRPr="00D910F9" w:rsidRDefault="00D910F9">
      <w:pPr>
        <w:rPr>
          <w:rtl/>
        </w:rPr>
      </w:pPr>
    </w:p>
    <w:p w14:paraId="07459E91" w14:textId="77777777" w:rsidR="00D910F9" w:rsidRPr="00D910F9" w:rsidRDefault="00D910F9">
      <w:pPr>
        <w:rPr>
          <w:rtl/>
        </w:rPr>
      </w:pPr>
    </w:p>
    <w:p w14:paraId="14E0DAE6" w14:textId="77777777" w:rsidR="00AF7F13" w:rsidRPr="00D910F9" w:rsidRDefault="00AF7F13">
      <w:pPr>
        <w:rPr>
          <w:rFonts w:hint="cs"/>
          <w:rtl/>
        </w:rPr>
      </w:pPr>
    </w:p>
    <w:p w14:paraId="113A6234" w14:textId="77777777" w:rsidR="0030084A" w:rsidRPr="0030084A" w:rsidRDefault="0030084A">
      <w:pPr>
        <w:jc w:val="center"/>
        <w:rPr>
          <w:rtl/>
        </w:rPr>
      </w:pPr>
      <w:bookmarkStart w:id="7" w:name="סוג_מסמך"/>
      <w:bookmarkEnd w:id="7"/>
    </w:p>
    <w:p w14:paraId="07D624A9" w14:textId="77777777" w:rsidR="0030084A" w:rsidRPr="0030084A" w:rsidRDefault="0030084A">
      <w:pPr>
        <w:jc w:val="center"/>
        <w:rPr>
          <w:b/>
          <w:bCs/>
          <w:rtl/>
        </w:rPr>
      </w:pPr>
    </w:p>
    <w:p w14:paraId="3D490A9C" w14:textId="77777777" w:rsidR="00AF7F13" w:rsidRPr="0030084A" w:rsidRDefault="00AF7F13">
      <w:pPr>
        <w:jc w:val="center"/>
        <w:rPr>
          <w:b/>
          <w:bCs/>
          <w:rtl/>
        </w:rPr>
      </w:pPr>
    </w:p>
    <w:p w14:paraId="3628EAC0" w14:textId="77777777" w:rsidR="00AF7F13" w:rsidRDefault="00AF7F13">
      <w:pPr>
        <w:jc w:val="center"/>
        <w:rPr>
          <w:b/>
          <w:bCs/>
          <w:u w:val="single"/>
          <w:rtl/>
        </w:rPr>
      </w:pPr>
      <w:bookmarkStart w:id="8" w:name="PsakDin"/>
      <w:r>
        <w:rPr>
          <w:b/>
          <w:bCs/>
          <w:u w:val="single"/>
          <w:rtl/>
        </w:rPr>
        <w:t>הכרעת דין</w:t>
      </w:r>
    </w:p>
    <w:bookmarkEnd w:id="8"/>
    <w:p w14:paraId="5AC286B0" w14:textId="77777777" w:rsidR="00AF7F13" w:rsidRDefault="00AF7F13">
      <w:pPr>
        <w:jc w:val="center"/>
        <w:rPr>
          <w:b/>
          <w:bCs/>
          <w:u w:val="single"/>
          <w:rtl/>
        </w:rPr>
      </w:pPr>
    </w:p>
    <w:p w14:paraId="73B5FDF4" w14:textId="77777777" w:rsidR="00AF7F13" w:rsidRDefault="00AF7F13">
      <w:pPr>
        <w:jc w:val="both"/>
        <w:rPr>
          <w:b/>
          <w:bCs/>
          <w:sz w:val="28"/>
          <w:rtl/>
        </w:rPr>
      </w:pPr>
      <w:r>
        <w:rPr>
          <w:rFonts w:hint="cs"/>
          <w:b/>
          <w:bCs/>
          <w:sz w:val="28"/>
          <w:rtl/>
        </w:rPr>
        <w:t>אני מרשיעה את הנאשם בעבירות המיוחסות לו בכתב האישום.</w:t>
      </w:r>
    </w:p>
    <w:p w14:paraId="27DC68B0" w14:textId="77777777" w:rsidR="00AF7F13" w:rsidRDefault="00AF7F13">
      <w:pPr>
        <w:jc w:val="center"/>
        <w:rPr>
          <w:rFonts w:hint="cs"/>
          <w:i/>
          <w:iCs/>
          <w:sz w:val="28"/>
          <w:rtl/>
        </w:rPr>
      </w:pPr>
    </w:p>
    <w:p w14:paraId="4DA8E2E8" w14:textId="77777777" w:rsidR="00AF7F13" w:rsidRDefault="00AF7F13">
      <w:pPr>
        <w:ind w:left="720" w:hanging="720"/>
        <w:jc w:val="both"/>
        <w:rPr>
          <w:rFonts w:hint="cs"/>
          <w:sz w:val="28"/>
          <w:rtl/>
        </w:rPr>
      </w:pPr>
      <w:r>
        <w:rPr>
          <w:rFonts w:hint="cs"/>
          <w:sz w:val="28"/>
          <w:rtl/>
        </w:rPr>
        <w:lastRenderedPageBreak/>
        <w:t>1.</w:t>
      </w:r>
      <w:r>
        <w:rPr>
          <w:rFonts w:hint="cs"/>
          <w:sz w:val="28"/>
          <w:rtl/>
        </w:rPr>
        <w:tab/>
      </w:r>
      <w:bookmarkStart w:id="9" w:name="ABSTRACT_START"/>
      <w:bookmarkEnd w:id="9"/>
      <w:r>
        <w:rPr>
          <w:rFonts w:hint="cs"/>
          <w:sz w:val="28"/>
          <w:rtl/>
        </w:rPr>
        <w:t>כתב האישום מייחס לנאשם שתי עבירות של מעשים מגונים, שהתרחשו בשני מועדים שונים בעיר רעננה</w:t>
      </w:r>
      <w:bookmarkStart w:id="10" w:name="ABSTRACT_END"/>
      <w:bookmarkEnd w:id="10"/>
      <w:r>
        <w:rPr>
          <w:rFonts w:hint="cs"/>
          <w:sz w:val="28"/>
          <w:rtl/>
        </w:rPr>
        <w:t xml:space="preserve">; </w:t>
      </w:r>
    </w:p>
    <w:p w14:paraId="6315B63F" w14:textId="77777777" w:rsidR="00AF7F13" w:rsidRDefault="00AF7F13">
      <w:pPr>
        <w:ind w:left="720"/>
        <w:jc w:val="both"/>
        <w:rPr>
          <w:rFonts w:hint="cs"/>
          <w:color w:val="FFFFFF"/>
          <w:sz w:val="4"/>
          <w:szCs w:val="4"/>
          <w:rtl/>
        </w:rPr>
      </w:pPr>
    </w:p>
    <w:p w14:paraId="52FD722A" w14:textId="77777777" w:rsidR="00AF7F13" w:rsidRDefault="00AF7F13">
      <w:pPr>
        <w:ind w:left="720"/>
        <w:jc w:val="both"/>
        <w:rPr>
          <w:rFonts w:hint="cs"/>
          <w:color w:val="FFFFFF"/>
          <w:sz w:val="4"/>
          <w:szCs w:val="4"/>
          <w:rtl/>
        </w:rPr>
      </w:pPr>
      <w:r>
        <w:rPr>
          <w:color w:val="FFFFFF"/>
          <w:sz w:val="4"/>
          <w:szCs w:val="4"/>
          <w:rtl/>
        </w:rPr>
        <w:t>5129371</w:t>
      </w:r>
    </w:p>
    <w:p w14:paraId="6011A8F2" w14:textId="77777777" w:rsidR="00AF7F13" w:rsidRDefault="00AF7F13">
      <w:pPr>
        <w:ind w:left="720"/>
        <w:jc w:val="both"/>
        <w:rPr>
          <w:rFonts w:hint="cs"/>
          <w:sz w:val="28"/>
          <w:rtl/>
        </w:rPr>
      </w:pPr>
      <w:r>
        <w:rPr>
          <w:color w:val="FFFFFF"/>
          <w:sz w:val="4"/>
          <w:szCs w:val="4"/>
          <w:rtl/>
        </w:rPr>
        <w:t>5129371</w:t>
      </w:r>
      <w:r>
        <w:rPr>
          <w:rFonts w:hint="cs"/>
          <w:sz w:val="28"/>
          <w:rtl/>
        </w:rPr>
        <w:t xml:space="preserve">באישום הראשון נטען כי באחד מימי חודש אוקטובר 1997, עת נהג הנאשם ברכבו ברעננה, הבחין לפתע במתלוננת ל"פ, עצר בסמוך אליה כשמכנסיו מופשלות והחל לאונן. </w:t>
      </w:r>
    </w:p>
    <w:p w14:paraId="208B3724" w14:textId="77777777" w:rsidR="00AF7F13" w:rsidRDefault="00AF7F13">
      <w:pPr>
        <w:ind w:left="720"/>
        <w:jc w:val="both"/>
        <w:rPr>
          <w:rFonts w:hint="cs"/>
          <w:sz w:val="28"/>
          <w:rtl/>
        </w:rPr>
      </w:pPr>
      <w:r>
        <w:rPr>
          <w:rFonts w:hint="cs"/>
          <w:sz w:val="28"/>
          <w:rtl/>
        </w:rPr>
        <w:t>באישום השני נטען כי בשעות הבוקר המוקדמות של יום ה- 23.11.97, עת נהג הנאשם ברכבו, הוא הבחין במתלוננת ס"א, עצר לידה ואונן.</w:t>
      </w:r>
      <w:r>
        <w:rPr>
          <w:color w:val="FFFFFF"/>
          <w:sz w:val="4"/>
          <w:szCs w:val="4"/>
          <w:rtl/>
        </w:rPr>
        <w:t>נ</w:t>
      </w:r>
    </w:p>
    <w:p w14:paraId="17CF10C9" w14:textId="77777777" w:rsidR="00AF7F13" w:rsidRDefault="00AF7F13">
      <w:pPr>
        <w:jc w:val="both"/>
        <w:rPr>
          <w:rFonts w:hint="cs"/>
          <w:sz w:val="28"/>
          <w:rtl/>
        </w:rPr>
      </w:pPr>
    </w:p>
    <w:p w14:paraId="7DC3A50A" w14:textId="77777777" w:rsidR="00AF7F13" w:rsidRDefault="00AF7F13">
      <w:pPr>
        <w:ind w:left="720"/>
        <w:jc w:val="both"/>
        <w:rPr>
          <w:rFonts w:hint="cs"/>
          <w:sz w:val="28"/>
          <w:rtl/>
        </w:rPr>
      </w:pPr>
      <w:r>
        <w:rPr>
          <w:rFonts w:hint="cs"/>
          <w:sz w:val="28"/>
          <w:rtl/>
        </w:rPr>
        <w:t xml:space="preserve">כתב האישום מייחס לנאשם שתי עבירות לפי </w:t>
      </w:r>
      <w:hyperlink r:id="rId8" w:history="1">
        <w:r w:rsidR="00D910F9" w:rsidRPr="00D910F9">
          <w:rPr>
            <w:color w:val="0000FF"/>
            <w:sz w:val="28"/>
            <w:u w:val="single"/>
            <w:rtl/>
          </w:rPr>
          <w:t>סעיף 349(א)</w:t>
        </w:r>
      </w:hyperlink>
      <w:r>
        <w:rPr>
          <w:rFonts w:hint="cs"/>
          <w:sz w:val="28"/>
          <w:rtl/>
        </w:rPr>
        <w:t xml:space="preserve"> ל</w:t>
      </w:r>
      <w:hyperlink r:id="rId9" w:history="1">
        <w:r w:rsidR="0030084A" w:rsidRPr="0030084A">
          <w:rPr>
            <w:rStyle w:val="Hyperlink"/>
            <w:rFonts w:hint="eastAsia"/>
            <w:sz w:val="28"/>
            <w:rtl/>
          </w:rPr>
          <w:t>חוק</w:t>
        </w:r>
        <w:r w:rsidR="0030084A" w:rsidRPr="0030084A">
          <w:rPr>
            <w:rStyle w:val="Hyperlink"/>
            <w:sz w:val="28"/>
            <w:rtl/>
          </w:rPr>
          <w:t xml:space="preserve"> העונשין</w:t>
        </w:r>
      </w:hyperlink>
      <w:r>
        <w:rPr>
          <w:rFonts w:hint="cs"/>
          <w:sz w:val="28"/>
          <w:rtl/>
        </w:rPr>
        <w:t xml:space="preserve"> - מעשה מגונה בפומבי. </w:t>
      </w:r>
    </w:p>
    <w:p w14:paraId="559F6F69" w14:textId="77777777" w:rsidR="00AF7F13" w:rsidRDefault="00AF7F13">
      <w:pPr>
        <w:jc w:val="both"/>
        <w:rPr>
          <w:rFonts w:hint="cs"/>
          <w:sz w:val="28"/>
          <w:u w:val="single"/>
          <w:rtl/>
        </w:rPr>
      </w:pPr>
    </w:p>
    <w:p w14:paraId="6081F5DF" w14:textId="77777777" w:rsidR="00AF7F13" w:rsidRDefault="00AF7F13">
      <w:pPr>
        <w:ind w:left="720" w:hanging="720"/>
        <w:jc w:val="both"/>
        <w:rPr>
          <w:rFonts w:hint="cs"/>
          <w:sz w:val="28"/>
          <w:rtl/>
        </w:rPr>
      </w:pPr>
      <w:r>
        <w:rPr>
          <w:rFonts w:hint="cs"/>
          <w:sz w:val="28"/>
          <w:rtl/>
        </w:rPr>
        <w:t>2.</w:t>
      </w:r>
      <w:r>
        <w:rPr>
          <w:rFonts w:hint="cs"/>
          <w:sz w:val="28"/>
          <w:rtl/>
        </w:rPr>
        <w:tab/>
        <w:t xml:space="preserve">בשלב ההקראה כפר הנאשם בעובדות כתב האישום, וטען כי הוא לא ביצע את המעשים, כי יש לו טענת אליבי שתוצג וכי העובדה שבחזקתו רכב דומה אינה קושרת אותו למעשים משום שברכב נוהגים מספר אנשים. </w:t>
      </w:r>
    </w:p>
    <w:p w14:paraId="74C246F9" w14:textId="77777777" w:rsidR="00AF7F13" w:rsidRDefault="00AF7F13">
      <w:pPr>
        <w:ind w:left="720"/>
        <w:jc w:val="both"/>
        <w:rPr>
          <w:rFonts w:hint="cs"/>
          <w:sz w:val="28"/>
          <w:rtl/>
        </w:rPr>
      </w:pPr>
      <w:r>
        <w:rPr>
          <w:rFonts w:hint="cs"/>
          <w:sz w:val="28"/>
          <w:rtl/>
        </w:rPr>
        <w:t>לדבריו, הזיהוי קשה עוד יותר בשעה שהוא נהג לחבוש כובע ולהרכיב משקפי שמש.</w:t>
      </w:r>
      <w:r>
        <w:rPr>
          <w:color w:val="FFFFFF"/>
          <w:sz w:val="4"/>
          <w:szCs w:val="4"/>
          <w:rtl/>
        </w:rPr>
        <w:t>ב</w:t>
      </w:r>
    </w:p>
    <w:p w14:paraId="5C29ABED" w14:textId="77777777" w:rsidR="00AF7F13" w:rsidRDefault="00AF7F13">
      <w:pPr>
        <w:ind w:left="720" w:hanging="720"/>
        <w:jc w:val="both"/>
        <w:rPr>
          <w:rFonts w:hint="cs"/>
          <w:sz w:val="28"/>
          <w:rtl/>
        </w:rPr>
      </w:pPr>
    </w:p>
    <w:p w14:paraId="45B58B79" w14:textId="77777777" w:rsidR="00AF7F13" w:rsidRDefault="00AF7F13">
      <w:pPr>
        <w:ind w:left="720" w:hanging="720"/>
        <w:jc w:val="both"/>
        <w:rPr>
          <w:rFonts w:hint="cs"/>
          <w:sz w:val="28"/>
          <w:rtl/>
        </w:rPr>
      </w:pPr>
      <w:r>
        <w:rPr>
          <w:rFonts w:hint="cs"/>
          <w:sz w:val="28"/>
          <w:rtl/>
        </w:rPr>
        <w:t>3.</w:t>
      </w:r>
      <w:r>
        <w:rPr>
          <w:rFonts w:hint="cs"/>
          <w:sz w:val="28"/>
          <w:rtl/>
        </w:rPr>
        <w:tab/>
        <w:t xml:space="preserve">לאור הכפירה לא היה מנוס משמיעת כל הראיות בתיק, כשמטעם התביעה העידו שתי המתלוננות ועדים נוספים, ואילו מטעם הנאשם העידו הוא עצמו ושלושה מחבריו לעבודה. </w:t>
      </w:r>
    </w:p>
    <w:p w14:paraId="60B47BC5" w14:textId="77777777" w:rsidR="00AF7F13" w:rsidRDefault="00AF7F13">
      <w:pPr>
        <w:jc w:val="both"/>
        <w:rPr>
          <w:rFonts w:hint="cs"/>
          <w:b/>
          <w:bCs/>
          <w:sz w:val="28"/>
          <w:u w:val="single"/>
          <w:rtl/>
        </w:rPr>
      </w:pPr>
    </w:p>
    <w:p w14:paraId="06FD141B" w14:textId="77777777" w:rsidR="00AF7F13" w:rsidRDefault="00AF7F13">
      <w:pPr>
        <w:jc w:val="both"/>
        <w:rPr>
          <w:rFonts w:hint="cs"/>
          <w:b/>
          <w:bCs/>
          <w:sz w:val="28"/>
          <w:u w:val="single"/>
          <w:rtl/>
        </w:rPr>
      </w:pPr>
      <w:r>
        <w:rPr>
          <w:rFonts w:hint="cs"/>
          <w:b/>
          <w:bCs/>
          <w:sz w:val="28"/>
          <w:u w:val="single"/>
          <w:rtl/>
        </w:rPr>
        <w:t>עדויות המתלוננות:</w:t>
      </w:r>
    </w:p>
    <w:p w14:paraId="35F8F3A0" w14:textId="77777777" w:rsidR="00AF7F13" w:rsidRDefault="00AF7F13">
      <w:pPr>
        <w:jc w:val="both"/>
        <w:rPr>
          <w:rFonts w:hint="cs"/>
          <w:sz w:val="28"/>
          <w:rtl/>
        </w:rPr>
      </w:pPr>
    </w:p>
    <w:p w14:paraId="2AA71439" w14:textId="77777777" w:rsidR="00AF7F13" w:rsidRDefault="00AF7F13">
      <w:pPr>
        <w:jc w:val="both"/>
        <w:rPr>
          <w:rFonts w:hint="cs"/>
          <w:sz w:val="28"/>
          <w:u w:val="single"/>
          <w:rtl/>
        </w:rPr>
      </w:pPr>
      <w:r>
        <w:rPr>
          <w:rFonts w:hint="cs"/>
          <w:sz w:val="28"/>
          <w:u w:val="single"/>
          <w:rtl/>
        </w:rPr>
        <w:t xml:space="preserve">האישום הראשון - האירוע מחודש אוקטובר 1997 </w:t>
      </w:r>
    </w:p>
    <w:p w14:paraId="66BF930A" w14:textId="77777777" w:rsidR="00AF7F13" w:rsidRDefault="00AF7F13">
      <w:pPr>
        <w:jc w:val="both"/>
        <w:rPr>
          <w:rFonts w:hint="cs"/>
          <w:sz w:val="28"/>
          <w:u w:val="single"/>
          <w:rtl/>
        </w:rPr>
      </w:pPr>
    </w:p>
    <w:p w14:paraId="5E78D9A5" w14:textId="77777777" w:rsidR="00AF7F13" w:rsidRDefault="00AF7F13">
      <w:pPr>
        <w:ind w:left="720" w:hanging="720"/>
        <w:jc w:val="both"/>
        <w:rPr>
          <w:rFonts w:hint="cs"/>
          <w:sz w:val="28"/>
          <w:rtl/>
        </w:rPr>
      </w:pPr>
      <w:r>
        <w:rPr>
          <w:rFonts w:hint="cs"/>
          <w:sz w:val="28"/>
          <w:rtl/>
        </w:rPr>
        <w:t>4.</w:t>
      </w:r>
      <w:r>
        <w:rPr>
          <w:rFonts w:hint="cs"/>
          <w:sz w:val="28"/>
          <w:rtl/>
        </w:rPr>
        <w:tab/>
        <w:t>המתלוננת ל"פ סיפרה כי ביום המקרה בעת שעמדה על אי תנועה במטרה לחצות רחוב ברעננה, ראתה את הנאשם כשהוא נוהג ברכבו - מסוג רנו אקספרס בצבע לבן. הנאשם עלה על מעבר החצייה, והמתלוננת - שהמתינה שיחלוף על פניה, הביטה לתוך חלון הרכב מצדו השמאלי והבחינה כי הנאשם מאונן:</w:t>
      </w:r>
    </w:p>
    <w:p w14:paraId="5D42882D" w14:textId="77777777" w:rsidR="00AF7F13" w:rsidRDefault="00AF7F13">
      <w:pPr>
        <w:jc w:val="both"/>
        <w:rPr>
          <w:rFonts w:hint="cs"/>
          <w:sz w:val="28"/>
          <w:rtl/>
        </w:rPr>
      </w:pPr>
      <w:r>
        <w:rPr>
          <w:rFonts w:hint="cs"/>
          <w:sz w:val="28"/>
          <w:rtl/>
        </w:rPr>
        <w:t xml:space="preserve">  </w:t>
      </w:r>
    </w:p>
    <w:p w14:paraId="5C6EFC24" w14:textId="77777777" w:rsidR="00AF7F13" w:rsidRDefault="00AF7F13">
      <w:pPr>
        <w:ind w:left="1440"/>
        <w:jc w:val="both"/>
        <w:rPr>
          <w:rFonts w:hint="cs"/>
          <w:b/>
          <w:bCs/>
          <w:sz w:val="28"/>
          <w:rtl/>
        </w:rPr>
      </w:pPr>
      <w:r>
        <w:rPr>
          <w:rFonts w:hint="cs"/>
          <w:b/>
          <w:bCs/>
          <w:sz w:val="28"/>
          <w:rtl/>
        </w:rPr>
        <w:lastRenderedPageBreak/>
        <w:t>"...הסתכלתי עליו ואז הרמתי ראשי והסתכלתי לתוך חלון האוטו וראיתי אותו מאונן...</w:t>
      </w:r>
      <w:r>
        <w:rPr>
          <w:b/>
          <w:bCs/>
          <w:color w:val="FFFFFF"/>
          <w:sz w:val="4"/>
          <w:szCs w:val="4"/>
          <w:rtl/>
        </w:rPr>
        <w:t>ו</w:t>
      </w:r>
    </w:p>
    <w:p w14:paraId="28CBCA18" w14:textId="77777777" w:rsidR="00AF7F13" w:rsidRDefault="00AF7F13">
      <w:pPr>
        <w:ind w:left="1440"/>
        <w:jc w:val="both"/>
        <w:rPr>
          <w:rFonts w:hint="cs"/>
          <w:b/>
          <w:bCs/>
          <w:sz w:val="28"/>
          <w:rtl/>
        </w:rPr>
      </w:pPr>
      <w:r>
        <w:rPr>
          <w:rFonts w:hint="cs"/>
          <w:b/>
          <w:bCs/>
          <w:sz w:val="28"/>
          <w:rtl/>
        </w:rPr>
        <w:t>המכנס שלו היה פתוח די למטה, והאיבר שלו היה בחוץ... "</w:t>
      </w:r>
    </w:p>
    <w:p w14:paraId="2D14CC78" w14:textId="77777777" w:rsidR="00AF7F13" w:rsidRDefault="00AF7F13">
      <w:pPr>
        <w:ind w:left="5040" w:firstLine="720"/>
        <w:jc w:val="both"/>
        <w:rPr>
          <w:rFonts w:hint="cs"/>
          <w:sz w:val="28"/>
          <w:rtl/>
        </w:rPr>
      </w:pPr>
      <w:r>
        <w:rPr>
          <w:rFonts w:hint="cs"/>
          <w:sz w:val="28"/>
          <w:rtl/>
        </w:rPr>
        <w:t xml:space="preserve"> (עמוד 26 לפרוטוקול).</w:t>
      </w:r>
      <w:r>
        <w:rPr>
          <w:color w:val="FFFFFF"/>
          <w:sz w:val="4"/>
          <w:szCs w:val="4"/>
          <w:rtl/>
        </w:rPr>
        <w:t>נ</w:t>
      </w:r>
    </w:p>
    <w:p w14:paraId="11F4D197" w14:textId="77777777" w:rsidR="00AF7F13" w:rsidRDefault="00AF7F13">
      <w:pPr>
        <w:ind w:left="720"/>
        <w:jc w:val="both"/>
        <w:rPr>
          <w:rFonts w:hint="cs"/>
          <w:sz w:val="28"/>
          <w:rtl/>
        </w:rPr>
      </w:pPr>
      <w:r>
        <w:rPr>
          <w:rFonts w:hint="cs"/>
          <w:sz w:val="28"/>
          <w:rtl/>
        </w:rPr>
        <w:t xml:space="preserve">וכן: </w:t>
      </w:r>
    </w:p>
    <w:p w14:paraId="781957F5" w14:textId="77777777" w:rsidR="00AF7F13" w:rsidRDefault="00AF7F13">
      <w:pPr>
        <w:ind w:left="720"/>
        <w:jc w:val="both"/>
        <w:rPr>
          <w:rFonts w:hint="cs"/>
          <w:sz w:val="28"/>
          <w:rtl/>
        </w:rPr>
      </w:pPr>
    </w:p>
    <w:p w14:paraId="7F50447E" w14:textId="77777777" w:rsidR="00AF7F13" w:rsidRDefault="00AF7F13">
      <w:pPr>
        <w:ind w:left="1440"/>
        <w:jc w:val="both"/>
        <w:rPr>
          <w:rFonts w:hint="cs"/>
          <w:b/>
          <w:bCs/>
          <w:sz w:val="28"/>
          <w:rtl/>
        </w:rPr>
      </w:pPr>
      <w:r>
        <w:rPr>
          <w:rFonts w:hint="cs"/>
          <w:b/>
          <w:bCs/>
          <w:sz w:val="28"/>
          <w:rtl/>
        </w:rPr>
        <w:t xml:space="preserve">"החלון היה ממש ככה לידי, ראיתי הכל, זה היה אפילו פחות מחצי מטר". </w:t>
      </w:r>
    </w:p>
    <w:p w14:paraId="45608498" w14:textId="77777777" w:rsidR="00AF7F13" w:rsidRDefault="00AF7F13">
      <w:pPr>
        <w:ind w:left="1440"/>
        <w:jc w:val="both"/>
        <w:rPr>
          <w:rFonts w:hint="cs"/>
          <w:b/>
          <w:bCs/>
          <w:sz w:val="28"/>
          <w:rtl/>
        </w:rPr>
      </w:pPr>
    </w:p>
    <w:p w14:paraId="22CB8793" w14:textId="77777777" w:rsidR="00AF7F13" w:rsidRDefault="00AF7F13">
      <w:pPr>
        <w:ind w:left="1440"/>
        <w:rPr>
          <w:rFonts w:hint="cs"/>
          <w:sz w:val="28"/>
          <w:rtl/>
        </w:rPr>
      </w:pPr>
      <w:r>
        <w:rPr>
          <w:rFonts w:hint="cs"/>
          <w:b/>
          <w:bCs/>
          <w:sz w:val="28"/>
          <w:rtl/>
        </w:rPr>
        <w:tab/>
      </w:r>
      <w:r>
        <w:rPr>
          <w:rFonts w:hint="cs"/>
          <w:b/>
          <w:bCs/>
          <w:sz w:val="28"/>
          <w:rtl/>
        </w:rPr>
        <w:tab/>
      </w:r>
      <w:r>
        <w:rPr>
          <w:rFonts w:hint="cs"/>
          <w:b/>
          <w:bCs/>
          <w:sz w:val="28"/>
          <w:rtl/>
        </w:rPr>
        <w:tab/>
      </w:r>
      <w:r>
        <w:rPr>
          <w:rFonts w:hint="cs"/>
          <w:b/>
          <w:bCs/>
          <w:sz w:val="28"/>
          <w:rtl/>
        </w:rPr>
        <w:tab/>
      </w:r>
      <w:r>
        <w:rPr>
          <w:rFonts w:hint="cs"/>
          <w:b/>
          <w:bCs/>
          <w:sz w:val="28"/>
          <w:rtl/>
        </w:rPr>
        <w:tab/>
      </w:r>
      <w:r>
        <w:rPr>
          <w:rFonts w:hint="cs"/>
          <w:b/>
          <w:bCs/>
          <w:sz w:val="28"/>
          <w:rtl/>
        </w:rPr>
        <w:tab/>
      </w:r>
      <w:r>
        <w:rPr>
          <w:rFonts w:hint="cs"/>
          <w:sz w:val="28"/>
          <w:rtl/>
        </w:rPr>
        <w:t xml:space="preserve">(עמוד 30 שורה 19).  </w:t>
      </w:r>
    </w:p>
    <w:p w14:paraId="751CC966" w14:textId="77777777" w:rsidR="00AF7F13" w:rsidRDefault="00AF7F13">
      <w:pPr>
        <w:ind w:left="1440"/>
        <w:rPr>
          <w:rFonts w:hint="cs"/>
          <w:sz w:val="28"/>
          <w:rtl/>
        </w:rPr>
      </w:pPr>
    </w:p>
    <w:p w14:paraId="6C673454" w14:textId="77777777" w:rsidR="00AF7F13" w:rsidRDefault="00AF7F13">
      <w:pPr>
        <w:ind w:left="720"/>
        <w:rPr>
          <w:rFonts w:hint="cs"/>
          <w:sz w:val="28"/>
          <w:rtl/>
        </w:rPr>
      </w:pPr>
      <w:r>
        <w:rPr>
          <w:rFonts w:hint="cs"/>
          <w:sz w:val="28"/>
          <w:rtl/>
        </w:rPr>
        <w:t>לדברי המתלוננת, במהלך התקופה שלאחר האירוע הראשון, היא הבחינה עוד כמה פעמים בנאשם כשהוא עוקב אחריה ושורק לעברה, והיא אף זיהתה את הרכב בו נהג:</w:t>
      </w:r>
    </w:p>
    <w:p w14:paraId="4E4F7878" w14:textId="77777777" w:rsidR="00AF7F13" w:rsidRDefault="00AF7F13">
      <w:pPr>
        <w:jc w:val="both"/>
        <w:rPr>
          <w:rFonts w:hint="cs"/>
          <w:sz w:val="28"/>
          <w:rtl/>
        </w:rPr>
      </w:pPr>
    </w:p>
    <w:p w14:paraId="59CD7A78" w14:textId="77777777" w:rsidR="00AF7F13" w:rsidRDefault="00AF7F13">
      <w:pPr>
        <w:ind w:left="1440"/>
        <w:jc w:val="both"/>
        <w:rPr>
          <w:rFonts w:hint="cs"/>
          <w:b/>
          <w:bCs/>
          <w:sz w:val="28"/>
          <w:rtl/>
        </w:rPr>
      </w:pPr>
      <w:r>
        <w:rPr>
          <w:rFonts w:hint="cs"/>
          <w:b/>
          <w:bCs/>
          <w:sz w:val="28"/>
          <w:rtl/>
        </w:rPr>
        <w:t>"ראיתי אותו כמעט כל יום בדרך לביה"ס, הוא היה עוקב אחרי. אני הייתי הולכת בצד אחד של הכביש והוא היה נוסע לאט ואז הייתי עוברת לצד השני והוא היה מתחיל לנסוע מהר ופתאום חוזר מהצד השני של הכביש והוא היה מסתכל עלי, ושורק עלי וקורא לי".</w:t>
      </w:r>
      <w:r>
        <w:rPr>
          <w:b/>
          <w:bCs/>
          <w:color w:val="FFFFFF"/>
          <w:sz w:val="4"/>
          <w:szCs w:val="4"/>
          <w:rtl/>
        </w:rPr>
        <w:t>ב</w:t>
      </w:r>
    </w:p>
    <w:p w14:paraId="3AE0367E" w14:textId="77777777" w:rsidR="00AF7F13" w:rsidRDefault="00AF7F13">
      <w:pPr>
        <w:jc w:val="both"/>
        <w:rPr>
          <w:rFonts w:hint="cs"/>
          <w:sz w:val="28"/>
          <w:rtl/>
        </w:rPr>
      </w:pPr>
    </w:p>
    <w:p w14:paraId="46976500" w14:textId="77777777" w:rsidR="00AF7F13" w:rsidRDefault="00AF7F13">
      <w:pPr>
        <w:ind w:left="4320"/>
        <w:jc w:val="both"/>
        <w:rPr>
          <w:rFonts w:hint="cs"/>
          <w:sz w:val="28"/>
          <w:rtl/>
        </w:rPr>
      </w:pPr>
      <w:r>
        <w:rPr>
          <w:rFonts w:hint="cs"/>
          <w:sz w:val="28"/>
          <w:rtl/>
        </w:rPr>
        <w:t>(עמוד 26 לפרוטוקול, שורות 12-15).</w:t>
      </w:r>
      <w:r>
        <w:rPr>
          <w:color w:val="FFFFFF"/>
          <w:sz w:val="4"/>
          <w:szCs w:val="4"/>
          <w:rtl/>
        </w:rPr>
        <w:t>ו</w:t>
      </w:r>
    </w:p>
    <w:p w14:paraId="390A9A0D" w14:textId="77777777" w:rsidR="00AF7F13" w:rsidRDefault="00AF7F13">
      <w:pPr>
        <w:jc w:val="both"/>
        <w:rPr>
          <w:rFonts w:hint="cs"/>
          <w:sz w:val="28"/>
          <w:u w:val="single"/>
          <w:rtl/>
        </w:rPr>
      </w:pPr>
    </w:p>
    <w:p w14:paraId="66C4B186" w14:textId="77777777" w:rsidR="00AF7F13" w:rsidRDefault="00AF7F13">
      <w:pPr>
        <w:ind w:left="720"/>
        <w:jc w:val="both"/>
        <w:rPr>
          <w:rFonts w:hint="cs"/>
          <w:sz w:val="28"/>
          <w:rtl/>
        </w:rPr>
      </w:pPr>
      <w:r>
        <w:rPr>
          <w:rFonts w:hint="cs"/>
          <w:sz w:val="28"/>
          <w:rtl/>
        </w:rPr>
        <w:t xml:space="preserve">המתלוננת לא היססה כלל באשר לזיהוי הודאי של הנאשם, כולל סוג הרכב, מספרו ומדבקות שהיו עליו, וכן בנוגע לעובדה שנהג לחבוש לראשו כובע (עמוד 26 ו-32 לפרוטוקול). </w:t>
      </w:r>
    </w:p>
    <w:p w14:paraId="22DB427D" w14:textId="77777777" w:rsidR="00AF7F13" w:rsidRDefault="00AF7F13">
      <w:pPr>
        <w:jc w:val="both"/>
        <w:rPr>
          <w:rFonts w:hint="cs"/>
          <w:sz w:val="28"/>
          <w:u w:val="single"/>
          <w:rtl/>
        </w:rPr>
      </w:pPr>
    </w:p>
    <w:p w14:paraId="509282F6" w14:textId="77777777" w:rsidR="00AF7F13" w:rsidRDefault="00AF7F13">
      <w:pPr>
        <w:jc w:val="both"/>
        <w:rPr>
          <w:rFonts w:hint="cs"/>
          <w:sz w:val="28"/>
          <w:u w:val="single"/>
          <w:rtl/>
        </w:rPr>
      </w:pPr>
      <w:r>
        <w:rPr>
          <w:rFonts w:hint="cs"/>
          <w:sz w:val="28"/>
          <w:u w:val="single"/>
          <w:rtl/>
        </w:rPr>
        <w:br w:type="page"/>
      </w:r>
      <w:r>
        <w:rPr>
          <w:rFonts w:hint="cs"/>
          <w:sz w:val="28"/>
          <w:u w:val="single"/>
          <w:rtl/>
        </w:rPr>
        <w:lastRenderedPageBreak/>
        <w:t>האישום השני - אירוע מיום 23.11.97</w:t>
      </w:r>
    </w:p>
    <w:p w14:paraId="1FB6F122" w14:textId="77777777" w:rsidR="00AF7F13" w:rsidRDefault="00AF7F13">
      <w:pPr>
        <w:jc w:val="both"/>
        <w:rPr>
          <w:rFonts w:hint="cs"/>
          <w:sz w:val="28"/>
          <w:u w:val="single"/>
          <w:rtl/>
        </w:rPr>
      </w:pPr>
    </w:p>
    <w:p w14:paraId="484D700E" w14:textId="77777777" w:rsidR="00AF7F13" w:rsidRDefault="00AF7F13">
      <w:pPr>
        <w:ind w:left="720" w:hanging="720"/>
        <w:jc w:val="both"/>
        <w:rPr>
          <w:rFonts w:hint="cs"/>
          <w:sz w:val="28"/>
          <w:rtl/>
        </w:rPr>
      </w:pPr>
      <w:r>
        <w:rPr>
          <w:rFonts w:hint="cs"/>
          <w:sz w:val="28"/>
          <w:rtl/>
        </w:rPr>
        <w:t>5.</w:t>
      </w:r>
      <w:r>
        <w:rPr>
          <w:rFonts w:hint="cs"/>
          <w:sz w:val="28"/>
          <w:rtl/>
        </w:rPr>
        <w:tab/>
        <w:t>מתלוננת נוספת היתה ס"א, אשר סיפרה כי בעת שהייתה בדרכה לעבודה בבוקרו של יום ה- 23.11.97, ראתה את הנאשם נוסע במכוניתו סביבה בא ויוצא מרחובות שונים מספר פעמים, עד שעצר לידה. היא שאלה לפשר עצירתו, וכשהתקרבה הבחינה כי מכנסיו מופשלים עד לברכיו והוא עושה מעשה מגונה עם איברו:</w:t>
      </w:r>
    </w:p>
    <w:p w14:paraId="5DD0A698" w14:textId="77777777" w:rsidR="00AF7F13" w:rsidRDefault="00AF7F13">
      <w:pPr>
        <w:jc w:val="both"/>
        <w:rPr>
          <w:rFonts w:hint="cs"/>
          <w:sz w:val="28"/>
          <w:rtl/>
        </w:rPr>
      </w:pPr>
    </w:p>
    <w:p w14:paraId="2894096F" w14:textId="77777777" w:rsidR="00AF7F13" w:rsidRDefault="00AF7F13">
      <w:pPr>
        <w:ind w:left="1440"/>
        <w:jc w:val="both"/>
        <w:rPr>
          <w:rFonts w:hint="cs"/>
          <w:b/>
          <w:bCs/>
          <w:sz w:val="28"/>
          <w:rtl/>
        </w:rPr>
      </w:pPr>
      <w:r>
        <w:rPr>
          <w:rFonts w:hint="cs"/>
          <w:b/>
          <w:bCs/>
          <w:sz w:val="28"/>
          <w:rtl/>
        </w:rPr>
        <w:t>"...הוא נסע מולי עם האוטו, התחיל לחייך אלי, עשיתי לו עם היד "מה אתה רוצה" ואז הוא התקרב עם האוטו והסתכלתי מה הוא עשה, חצי מהמכנסים עד לברכיים ועושה מעשה מגונים".</w:t>
      </w:r>
      <w:r>
        <w:rPr>
          <w:b/>
          <w:bCs/>
          <w:color w:val="FFFFFF"/>
          <w:sz w:val="4"/>
          <w:szCs w:val="4"/>
          <w:rtl/>
        </w:rPr>
        <w:t>נ</w:t>
      </w:r>
    </w:p>
    <w:p w14:paraId="523AB699" w14:textId="77777777" w:rsidR="00AF7F13" w:rsidRDefault="00AF7F13">
      <w:pPr>
        <w:ind w:left="2160" w:firstLine="720"/>
        <w:jc w:val="both"/>
        <w:rPr>
          <w:rFonts w:hint="cs"/>
          <w:sz w:val="28"/>
          <w:rtl/>
        </w:rPr>
      </w:pPr>
    </w:p>
    <w:p w14:paraId="317BEC2A" w14:textId="77777777" w:rsidR="00AF7F13" w:rsidRDefault="00AF7F13">
      <w:pPr>
        <w:ind w:left="5760"/>
        <w:jc w:val="both"/>
        <w:rPr>
          <w:rFonts w:hint="cs"/>
          <w:sz w:val="28"/>
          <w:rtl/>
        </w:rPr>
      </w:pPr>
      <w:r>
        <w:rPr>
          <w:rFonts w:hint="cs"/>
          <w:sz w:val="28"/>
          <w:rtl/>
        </w:rPr>
        <w:t>(עמוד 19 לפרוטוקול).</w:t>
      </w:r>
      <w:r>
        <w:rPr>
          <w:color w:val="FFFFFF"/>
          <w:sz w:val="4"/>
          <w:szCs w:val="4"/>
          <w:rtl/>
        </w:rPr>
        <w:t>ב</w:t>
      </w:r>
    </w:p>
    <w:p w14:paraId="7A1FE643" w14:textId="77777777" w:rsidR="00AF7F13" w:rsidRDefault="00AF7F13">
      <w:pPr>
        <w:ind w:left="720"/>
        <w:jc w:val="both"/>
        <w:rPr>
          <w:rFonts w:hint="cs"/>
          <w:sz w:val="28"/>
          <w:rtl/>
        </w:rPr>
      </w:pPr>
    </w:p>
    <w:p w14:paraId="34D1A4D5" w14:textId="77777777" w:rsidR="00AF7F13" w:rsidRDefault="00AF7F13">
      <w:pPr>
        <w:ind w:left="720"/>
        <w:jc w:val="both"/>
        <w:rPr>
          <w:rFonts w:hint="cs"/>
          <w:b/>
          <w:bCs/>
          <w:sz w:val="28"/>
          <w:u w:val="single"/>
          <w:rtl/>
        </w:rPr>
      </w:pPr>
      <w:r>
        <w:rPr>
          <w:rFonts w:hint="cs"/>
          <w:sz w:val="28"/>
          <w:rtl/>
        </w:rPr>
        <w:t>המתלוננת הוסיפה, כי במהלך השבועיים שלאחר המקרה נהג הנאשם לעקוב אחריה בדרכה לעבודה ולהציק לה, ואף היא ידעה לציין את סוג הרכב בו נסע, את מספרו (כפי שמסרה בהודעתה), זכרה את המדבקה שהיתה עליו כמו גם את העובדה שהנאשם חבש על ראשו כובע בכל פעם שנתקלה בו:</w:t>
      </w:r>
    </w:p>
    <w:p w14:paraId="69AD4908" w14:textId="77777777" w:rsidR="00AF7F13" w:rsidRDefault="00AF7F13">
      <w:pPr>
        <w:rPr>
          <w:rFonts w:hint="cs"/>
          <w:sz w:val="28"/>
          <w:rtl/>
        </w:rPr>
      </w:pPr>
    </w:p>
    <w:p w14:paraId="37D7A6F3" w14:textId="77777777" w:rsidR="00AF7F13" w:rsidRDefault="00AF7F13">
      <w:pPr>
        <w:ind w:left="1440"/>
        <w:rPr>
          <w:rFonts w:hint="cs"/>
          <w:b/>
          <w:bCs/>
          <w:sz w:val="28"/>
          <w:rtl/>
        </w:rPr>
      </w:pPr>
      <w:r>
        <w:rPr>
          <w:rFonts w:hint="cs"/>
          <w:b/>
          <w:bCs/>
          <w:sz w:val="28"/>
          <w:rtl/>
        </w:rPr>
        <w:t>"יום למחרת, שוב בדרכי לעבודה, ואני רואה את הבן אדם...</w:t>
      </w:r>
      <w:r>
        <w:rPr>
          <w:b/>
          <w:bCs/>
          <w:color w:val="FFFFFF"/>
          <w:sz w:val="4"/>
          <w:szCs w:val="4"/>
          <w:rtl/>
        </w:rPr>
        <w:t>ו</w:t>
      </w:r>
    </w:p>
    <w:p w14:paraId="672C9975" w14:textId="77777777" w:rsidR="00AF7F13" w:rsidRDefault="00AF7F13">
      <w:pPr>
        <w:ind w:left="1440"/>
        <w:rPr>
          <w:rFonts w:hint="cs"/>
          <w:b/>
          <w:bCs/>
          <w:sz w:val="28"/>
          <w:rtl/>
        </w:rPr>
      </w:pPr>
      <w:r>
        <w:rPr>
          <w:rFonts w:hint="cs"/>
          <w:b/>
          <w:bCs/>
          <w:sz w:val="28"/>
          <w:rtl/>
        </w:rPr>
        <w:t>אותו בן אדם עושה סיבובים כמה פעמים מסביבי...</w:t>
      </w:r>
      <w:r>
        <w:rPr>
          <w:b/>
          <w:bCs/>
          <w:color w:val="FFFFFF"/>
          <w:sz w:val="4"/>
          <w:szCs w:val="4"/>
          <w:rtl/>
        </w:rPr>
        <w:t>נ</w:t>
      </w:r>
    </w:p>
    <w:p w14:paraId="35080DE6" w14:textId="77777777" w:rsidR="00AF7F13" w:rsidRDefault="00AF7F13">
      <w:pPr>
        <w:ind w:left="1440"/>
        <w:rPr>
          <w:rFonts w:hint="cs"/>
          <w:b/>
          <w:bCs/>
          <w:sz w:val="28"/>
          <w:rtl/>
        </w:rPr>
      </w:pPr>
      <w:r>
        <w:rPr>
          <w:rFonts w:hint="cs"/>
          <w:b/>
          <w:bCs/>
          <w:sz w:val="28"/>
          <w:rtl/>
        </w:rPr>
        <w:t xml:space="preserve">וכך זה נמשך שבועיים, עד שלאחר שבועיים זה התחיל להיות מפחיד". </w:t>
      </w:r>
    </w:p>
    <w:p w14:paraId="1109F5B7" w14:textId="77777777" w:rsidR="00AF7F13" w:rsidRDefault="00AF7F13">
      <w:pPr>
        <w:ind w:left="4320"/>
        <w:rPr>
          <w:rFonts w:hint="cs"/>
          <w:sz w:val="28"/>
          <w:rtl/>
        </w:rPr>
      </w:pPr>
      <w:r>
        <w:rPr>
          <w:rFonts w:hint="cs"/>
          <w:sz w:val="28"/>
          <w:rtl/>
        </w:rPr>
        <w:t xml:space="preserve"> (עמוד 17 לפרוטוקול, שורות 1-11).</w:t>
      </w:r>
      <w:r>
        <w:rPr>
          <w:color w:val="FFFFFF"/>
          <w:sz w:val="4"/>
          <w:szCs w:val="4"/>
          <w:rtl/>
        </w:rPr>
        <w:t>ב</w:t>
      </w:r>
    </w:p>
    <w:p w14:paraId="46243A0F" w14:textId="77777777" w:rsidR="00AF7F13" w:rsidRDefault="00AF7F13">
      <w:pPr>
        <w:jc w:val="both"/>
        <w:rPr>
          <w:rFonts w:hint="cs"/>
          <w:b/>
          <w:bCs/>
          <w:sz w:val="28"/>
          <w:u w:val="single"/>
          <w:rtl/>
        </w:rPr>
      </w:pPr>
      <w:r>
        <w:rPr>
          <w:rFonts w:hint="cs"/>
          <w:b/>
          <w:bCs/>
          <w:sz w:val="28"/>
          <w:u w:val="single"/>
          <w:rtl/>
        </w:rPr>
        <w:t>עדות הנאשם:</w:t>
      </w:r>
    </w:p>
    <w:p w14:paraId="76D41D59" w14:textId="77777777" w:rsidR="00AF7F13" w:rsidRDefault="00AF7F13">
      <w:pPr>
        <w:jc w:val="both"/>
        <w:rPr>
          <w:rFonts w:hint="cs"/>
          <w:b/>
          <w:bCs/>
          <w:sz w:val="28"/>
          <w:u w:val="single"/>
          <w:rtl/>
        </w:rPr>
      </w:pPr>
    </w:p>
    <w:p w14:paraId="4276DF9C" w14:textId="77777777" w:rsidR="00AF7F13" w:rsidRDefault="00AF7F13">
      <w:pPr>
        <w:ind w:left="720" w:hanging="720"/>
        <w:jc w:val="both"/>
        <w:rPr>
          <w:rFonts w:hint="cs"/>
          <w:sz w:val="28"/>
          <w:rtl/>
        </w:rPr>
      </w:pPr>
      <w:r>
        <w:rPr>
          <w:rFonts w:hint="cs"/>
          <w:sz w:val="28"/>
          <w:rtl/>
        </w:rPr>
        <w:t>6.</w:t>
      </w:r>
      <w:r>
        <w:rPr>
          <w:rFonts w:hint="cs"/>
          <w:sz w:val="28"/>
          <w:rtl/>
        </w:rPr>
        <w:tab/>
        <w:t>בעדותו הכחיש הנאשם מכל וכל את המיוחס לו בכתב האישום, טען כי אינו מכיר את המתלוננות ולא ראה אותן עד למתן עדותן בבית המשפט.</w:t>
      </w:r>
      <w:r>
        <w:rPr>
          <w:color w:val="FFFFFF"/>
          <w:sz w:val="4"/>
          <w:szCs w:val="4"/>
          <w:rtl/>
        </w:rPr>
        <w:t>ו</w:t>
      </w:r>
    </w:p>
    <w:p w14:paraId="656D3C4F" w14:textId="77777777" w:rsidR="00AF7F13" w:rsidRDefault="00AF7F13">
      <w:pPr>
        <w:jc w:val="both"/>
        <w:rPr>
          <w:rFonts w:hint="cs"/>
          <w:sz w:val="28"/>
          <w:rtl/>
        </w:rPr>
      </w:pPr>
    </w:p>
    <w:p w14:paraId="2AAF9E55" w14:textId="77777777" w:rsidR="00AF7F13" w:rsidRDefault="00AF7F13">
      <w:pPr>
        <w:ind w:left="720"/>
        <w:jc w:val="both"/>
        <w:rPr>
          <w:rFonts w:hint="cs"/>
          <w:sz w:val="28"/>
          <w:rtl/>
        </w:rPr>
      </w:pPr>
      <w:r>
        <w:rPr>
          <w:rFonts w:hint="cs"/>
          <w:sz w:val="28"/>
          <w:rtl/>
        </w:rPr>
        <w:t xml:space="preserve">הנאשם הודה כי הפרטים שנמסרו ואשר קושרים אותו לעבירות - כגון רכב הרנו בו הוא נוהג לנסוע, מקום עבודתו והכובע אותו הוא חובש - אכן נכונים, אך הסביר כי הרכב הוא "רכב חברה" המשמש לצורכי עבודה, וישנם עובדים נוספים המורשים לנהוג בו, ואף אם בפועל הוא נהג בו הרי שאופי עבודתו מחייב ניידות מפעם לפעם, ובהחלט יתכן שנסע באותם רחובות בהם הסתובבו המתלוננות, שחשבו כי הוא עוקב אחריהן. </w:t>
      </w:r>
    </w:p>
    <w:p w14:paraId="2E59F17B" w14:textId="77777777" w:rsidR="00AF7F13" w:rsidRDefault="00AF7F13">
      <w:pPr>
        <w:jc w:val="both"/>
        <w:rPr>
          <w:rFonts w:hint="cs"/>
          <w:sz w:val="28"/>
          <w:rtl/>
        </w:rPr>
      </w:pPr>
    </w:p>
    <w:p w14:paraId="4B91C3EA" w14:textId="77777777" w:rsidR="00AF7F13" w:rsidRDefault="00AF7F13">
      <w:pPr>
        <w:ind w:left="720" w:hanging="720"/>
        <w:jc w:val="both"/>
        <w:rPr>
          <w:rFonts w:hint="cs"/>
          <w:sz w:val="28"/>
          <w:rtl/>
        </w:rPr>
      </w:pPr>
      <w:r>
        <w:rPr>
          <w:rFonts w:hint="cs"/>
          <w:sz w:val="28"/>
          <w:rtl/>
        </w:rPr>
        <w:t>7.</w:t>
      </w:r>
      <w:r>
        <w:rPr>
          <w:rFonts w:hint="cs"/>
          <w:sz w:val="28"/>
          <w:rtl/>
        </w:rPr>
        <w:tab/>
        <w:t>בהשוואת עדויות המתלוננות מול עדותו של הנאשם, אני מעדיפה ללא ספק את גרסת המתלוננות, אשר מסרו עדות שוטפת ובטוחה, כששתיהן הצביעו ללא היסוס על הנאשם כמי שמעורב במעשים המגונים.</w:t>
      </w:r>
      <w:r>
        <w:rPr>
          <w:color w:val="FFFFFF"/>
          <w:sz w:val="4"/>
          <w:szCs w:val="4"/>
          <w:rtl/>
        </w:rPr>
        <w:t>נ</w:t>
      </w:r>
    </w:p>
    <w:p w14:paraId="3215C5BF" w14:textId="77777777" w:rsidR="00AF7F13" w:rsidRDefault="00AF7F13">
      <w:pPr>
        <w:ind w:left="720"/>
        <w:jc w:val="both"/>
        <w:rPr>
          <w:rFonts w:hint="cs"/>
          <w:sz w:val="28"/>
          <w:rtl/>
        </w:rPr>
      </w:pPr>
    </w:p>
    <w:p w14:paraId="084FECC8" w14:textId="77777777" w:rsidR="00AF7F13" w:rsidRDefault="00AF7F13">
      <w:pPr>
        <w:ind w:left="720"/>
        <w:jc w:val="both"/>
        <w:rPr>
          <w:rFonts w:hint="cs"/>
          <w:sz w:val="28"/>
          <w:rtl/>
        </w:rPr>
      </w:pPr>
      <w:r>
        <w:rPr>
          <w:rFonts w:hint="cs"/>
          <w:sz w:val="28"/>
          <w:rtl/>
        </w:rPr>
        <w:t xml:space="preserve">הנאשם זוהה על ידי ס"א במסדר זיהוי שנערך במשטרה, בעת שהגיעה לשם לצורך ביצוע העימות, וגם ל"פ זיהתה אותו ללא כל ספק במועד הדיון. </w:t>
      </w:r>
    </w:p>
    <w:p w14:paraId="7D3B7790" w14:textId="77777777" w:rsidR="00AF7F13" w:rsidRDefault="00AF7F13">
      <w:pPr>
        <w:jc w:val="both"/>
        <w:rPr>
          <w:rFonts w:hint="cs"/>
          <w:sz w:val="28"/>
          <w:u w:val="single"/>
          <w:rtl/>
        </w:rPr>
      </w:pPr>
    </w:p>
    <w:p w14:paraId="6D66D761" w14:textId="77777777" w:rsidR="00AF7F13" w:rsidRDefault="00AF7F13">
      <w:pPr>
        <w:ind w:left="720"/>
        <w:jc w:val="both"/>
        <w:rPr>
          <w:rFonts w:hint="cs"/>
          <w:sz w:val="28"/>
          <w:rtl/>
        </w:rPr>
      </w:pPr>
      <w:r>
        <w:rPr>
          <w:rFonts w:hint="cs"/>
          <w:sz w:val="28"/>
          <w:rtl/>
        </w:rPr>
        <w:t xml:space="preserve">שתי המתלוננות מאזור רעננה, אך אינן מכירות זו את זו ואין ביניהן שום קשר, סיפרו סיפור כמעט זהה, כאשר בכל פעם שהבחינו בנאשם, הוא נהג ברכב מסוג רנו בעל אותו מספר רישוי שמסרו במשטרה (נ/2 ו-נ/4), וכן ציינו מדבקות מסויימות שראו על הרכב, למרות שאת הכתוב בהן לא הצליחו לזכור במדוייק (עמודים 18 ו-27 לפרוטוקול). </w:t>
      </w:r>
    </w:p>
    <w:p w14:paraId="1D619F0C" w14:textId="77777777" w:rsidR="00AF7F13" w:rsidRDefault="00AF7F13">
      <w:pPr>
        <w:ind w:left="720"/>
        <w:jc w:val="both"/>
        <w:rPr>
          <w:rFonts w:hint="cs"/>
          <w:sz w:val="28"/>
          <w:rtl/>
        </w:rPr>
      </w:pPr>
      <w:r>
        <w:rPr>
          <w:rFonts w:hint="cs"/>
          <w:sz w:val="28"/>
          <w:rtl/>
        </w:rPr>
        <w:t xml:space="preserve">המתלוננות הצביעו על הנאשם כמי שחבש על ראשו כובע בעת שנהג ברכב, ואכן כאשר עוכב נמצא חובש את אותו כובע (ת/9), ואף עובדה זו מוסיפה נדבך נוסף של אמינות לזיהוי. </w:t>
      </w:r>
    </w:p>
    <w:p w14:paraId="451F5E1C" w14:textId="77777777" w:rsidR="00AF7F13" w:rsidRDefault="00AF7F13">
      <w:pPr>
        <w:ind w:left="720"/>
        <w:jc w:val="both"/>
        <w:rPr>
          <w:rFonts w:hint="cs"/>
          <w:sz w:val="28"/>
          <w:rtl/>
        </w:rPr>
      </w:pPr>
    </w:p>
    <w:p w14:paraId="5F6A2E56" w14:textId="77777777" w:rsidR="00AF7F13" w:rsidRDefault="00AF7F13">
      <w:pPr>
        <w:ind w:left="720" w:hanging="720"/>
        <w:jc w:val="both"/>
        <w:rPr>
          <w:rFonts w:hint="cs"/>
          <w:sz w:val="28"/>
          <w:rtl/>
        </w:rPr>
      </w:pPr>
      <w:r>
        <w:rPr>
          <w:rFonts w:hint="cs"/>
          <w:sz w:val="28"/>
          <w:rtl/>
        </w:rPr>
        <w:t>8.</w:t>
      </w:r>
      <w:r>
        <w:rPr>
          <w:rFonts w:hint="cs"/>
          <w:sz w:val="28"/>
          <w:rtl/>
        </w:rPr>
        <w:tab/>
        <w:t xml:space="preserve">המדובר בשני אישומים בעלי רקע עובדתי דומה, שניהם התרחשו בסמיכות זמנים באותו אזור, בפני כל אחת מן המתלוננות בנפרד, ובכל זאת מסרו שתיהן במדוייק את אותם </w:t>
      </w:r>
      <w:r>
        <w:rPr>
          <w:rFonts w:hint="cs"/>
          <w:b/>
          <w:bCs/>
          <w:sz w:val="28"/>
          <w:u w:val="single"/>
          <w:rtl/>
        </w:rPr>
        <w:t>פרטים מזהים</w:t>
      </w:r>
      <w:r>
        <w:rPr>
          <w:rFonts w:hint="cs"/>
          <w:sz w:val="28"/>
          <w:rtl/>
        </w:rPr>
        <w:t xml:space="preserve"> הן בנוגע לרכבו של הנאשם, מספרו ומראהו, והן בנוגע למעשיו של הנאשם, למעקב אחריהן ולשיטת הביצוע בה נקט בשלב המעשה המגונה ולאחריו.</w:t>
      </w:r>
      <w:r>
        <w:rPr>
          <w:color w:val="FFFFFF"/>
          <w:sz w:val="4"/>
          <w:szCs w:val="4"/>
          <w:rtl/>
        </w:rPr>
        <w:t>ב</w:t>
      </w:r>
    </w:p>
    <w:p w14:paraId="0780951A" w14:textId="77777777" w:rsidR="00AF7F13" w:rsidRDefault="00AF7F13">
      <w:pPr>
        <w:jc w:val="both"/>
        <w:rPr>
          <w:rFonts w:hint="cs"/>
          <w:sz w:val="28"/>
          <w:rtl/>
        </w:rPr>
      </w:pPr>
    </w:p>
    <w:p w14:paraId="6AE4C396" w14:textId="77777777" w:rsidR="00AF7F13" w:rsidRDefault="00AF7F13">
      <w:pPr>
        <w:ind w:left="720"/>
        <w:jc w:val="both"/>
        <w:rPr>
          <w:rFonts w:hint="cs"/>
          <w:sz w:val="28"/>
          <w:rtl/>
        </w:rPr>
      </w:pPr>
      <w:r>
        <w:rPr>
          <w:rFonts w:hint="cs"/>
          <w:sz w:val="28"/>
          <w:rtl/>
        </w:rPr>
        <w:t xml:space="preserve">לטעמי, צירוף מקרים כזה, בו זוהה אותו רכב ותוארה דמות בעלת קווי דמיון משותפים על ידי שתי המתלוננות הינו כמעט בלתי אפשרי, ואין שום דרך הגיונית להסביר את הדברים, ואכן לנאשם לא היה הסבר שכזה. </w:t>
      </w:r>
    </w:p>
    <w:p w14:paraId="653033B9" w14:textId="77777777" w:rsidR="00AF7F13" w:rsidRDefault="00AF7F13">
      <w:pPr>
        <w:ind w:left="720"/>
        <w:jc w:val="both"/>
        <w:rPr>
          <w:rFonts w:hint="cs"/>
          <w:sz w:val="28"/>
          <w:rtl/>
        </w:rPr>
      </w:pPr>
    </w:p>
    <w:p w14:paraId="053D1F25" w14:textId="77777777" w:rsidR="00AF7F13" w:rsidRDefault="00AF7F13">
      <w:pPr>
        <w:ind w:left="720"/>
        <w:jc w:val="both"/>
        <w:rPr>
          <w:rFonts w:hint="cs"/>
          <w:sz w:val="28"/>
          <w:rtl/>
        </w:rPr>
      </w:pPr>
      <w:r>
        <w:rPr>
          <w:rFonts w:hint="cs"/>
          <w:sz w:val="28"/>
          <w:rtl/>
        </w:rPr>
        <w:t xml:space="preserve">עוד אני רואה לציין כי שתי המתלוננות סיפרו על הפחד והבהלה שחשו כשהבחינו במעשי הנאשם, ולמרות זאת הן לא פנו מיד למשטרה. שתיהן הסבירו את השיהוי בכך שחשבו שבמעשה האחד לו היו עדות יסתיים הענין, והן לא יראו יותר את הנאשם, אלא שהן התבדו, ושתיהן מספרות שהנאשם עקב אחריהן במשך מספר ימים, ולכן החליטו להתלונן על כך במשטרה. </w:t>
      </w:r>
    </w:p>
    <w:p w14:paraId="14E0873D" w14:textId="77777777" w:rsidR="00AF7F13" w:rsidRDefault="00AF7F13">
      <w:pPr>
        <w:ind w:left="720"/>
        <w:jc w:val="both"/>
        <w:rPr>
          <w:rFonts w:hint="cs"/>
          <w:sz w:val="28"/>
          <w:rtl/>
        </w:rPr>
      </w:pPr>
    </w:p>
    <w:p w14:paraId="04B0FCDD" w14:textId="77777777" w:rsidR="00AF7F13" w:rsidRDefault="00AF7F13">
      <w:pPr>
        <w:ind w:left="720"/>
        <w:jc w:val="both"/>
        <w:rPr>
          <w:rFonts w:hint="cs"/>
          <w:sz w:val="28"/>
          <w:rtl/>
        </w:rPr>
      </w:pPr>
      <w:r>
        <w:rPr>
          <w:rFonts w:hint="cs"/>
          <w:sz w:val="28"/>
          <w:rtl/>
        </w:rPr>
        <w:t xml:space="preserve">אמנם במהלך הראיות ניסה הסניגור להטיל ספק בזיהוי ולהציג את חוסר יכולתן של המתלוננות להתבונן לתוך הרכב ולראות את המעשה, אלא ששתיהן כאחת עמדו על דעתן שהדבר אפשרי וכי שדה הראייה שלהן היה חופשי לחלוטין, ועובדה זו בהחלט הגיונית וסבירה, משום שכאשר אדם יושב ברכב הרי שהוא נמוך יותר מהולך הרגל המצוי בצידו, ואם הרכב עומד בסמוך והמרחק אינו גדול ניתן לראות לתוך הרכב פנימה, ללא שום קושי וללא שום גורם חוצץ או מסתיר. </w:t>
      </w:r>
    </w:p>
    <w:p w14:paraId="14E16BA0" w14:textId="77777777" w:rsidR="00AF7F13" w:rsidRDefault="00AF7F13">
      <w:pPr>
        <w:ind w:left="720"/>
        <w:jc w:val="both"/>
        <w:rPr>
          <w:rFonts w:hint="cs"/>
          <w:sz w:val="28"/>
          <w:rtl/>
        </w:rPr>
      </w:pPr>
    </w:p>
    <w:p w14:paraId="26EA9B97" w14:textId="77777777" w:rsidR="00AF7F13" w:rsidRDefault="00AF7F13">
      <w:pPr>
        <w:ind w:left="720"/>
        <w:jc w:val="both"/>
        <w:rPr>
          <w:rFonts w:hint="cs"/>
          <w:sz w:val="28"/>
          <w:rtl/>
        </w:rPr>
      </w:pPr>
      <w:r>
        <w:rPr>
          <w:rFonts w:hint="cs"/>
          <w:sz w:val="28"/>
          <w:rtl/>
        </w:rPr>
        <w:t xml:space="preserve">גם נסיונו של הסניגור לייחס את המעשים לאדם אחר שנתפס באזור בביצוע מעשים מגונים נדון לכשלון, משום שלא הובאו כל ראיות ממשיות, חשוד אחר או עדות שיכולה לשפוך אור על טענה זו, וברור שכתבה בעיתון שהציג הסניגור איננה יכולה לשמש כראייה לצורך הענין. </w:t>
      </w:r>
    </w:p>
    <w:p w14:paraId="115FA7C1" w14:textId="77777777" w:rsidR="00AF7F13" w:rsidRDefault="00AF7F13">
      <w:pPr>
        <w:jc w:val="both"/>
        <w:rPr>
          <w:rFonts w:hint="cs"/>
          <w:sz w:val="28"/>
          <w:rtl/>
        </w:rPr>
      </w:pPr>
    </w:p>
    <w:p w14:paraId="1DB35DEC" w14:textId="77777777" w:rsidR="00AF7F13" w:rsidRDefault="00AF7F13">
      <w:pPr>
        <w:ind w:left="720" w:hanging="720"/>
        <w:jc w:val="both"/>
        <w:rPr>
          <w:rFonts w:hint="cs"/>
          <w:sz w:val="28"/>
          <w:rtl/>
        </w:rPr>
      </w:pPr>
      <w:r>
        <w:rPr>
          <w:rFonts w:hint="cs"/>
          <w:sz w:val="28"/>
          <w:rtl/>
        </w:rPr>
        <w:t>9.</w:t>
      </w:r>
      <w:r>
        <w:rPr>
          <w:rFonts w:hint="cs"/>
          <w:sz w:val="28"/>
          <w:rtl/>
        </w:rPr>
        <w:tab/>
        <w:t xml:space="preserve">להבדיל מגרסת המתלוננות שנמסרה בצורה שוטפת וודאית, היו הסבריו של הנאשם בלתי משכנעים, ולימדו על נסיון להרחיק את עצמו מהמעשים המיוחסים לו. </w:t>
      </w:r>
    </w:p>
    <w:p w14:paraId="0526F32A" w14:textId="77777777" w:rsidR="00AF7F13" w:rsidRDefault="00AF7F13">
      <w:pPr>
        <w:ind w:left="720"/>
        <w:jc w:val="both"/>
        <w:rPr>
          <w:rFonts w:hint="cs"/>
          <w:sz w:val="28"/>
          <w:rtl/>
        </w:rPr>
      </w:pPr>
    </w:p>
    <w:p w14:paraId="424B5039" w14:textId="77777777" w:rsidR="00AF7F13" w:rsidRDefault="00AF7F13">
      <w:pPr>
        <w:ind w:left="720" w:hanging="720"/>
        <w:jc w:val="both"/>
        <w:rPr>
          <w:rFonts w:hint="cs"/>
          <w:sz w:val="28"/>
          <w:rtl/>
        </w:rPr>
      </w:pPr>
      <w:r>
        <w:rPr>
          <w:rFonts w:hint="cs"/>
          <w:sz w:val="28"/>
          <w:rtl/>
        </w:rPr>
        <w:tab/>
        <w:t xml:space="preserve">ואולם, מקריאת ההודעות שמסר במשטרה עולה כי הסיטואציה עליה סיפרו המתלוננות, מוכרת לו בחלקה, לפחות בנושא "צפצופים לבחורות" ואף "דיבור" כלשהו איתן, והוא חוזר על כך מספר פעמים, כשבהודעה ת/3 הוא אף אומר: "אולי צפצפתי </w:t>
      </w:r>
      <w:r>
        <w:rPr>
          <w:rFonts w:hint="cs"/>
          <w:b/>
          <w:bCs/>
          <w:sz w:val="28"/>
          <w:u w:val="single"/>
          <w:rtl/>
        </w:rPr>
        <w:t>לאותה בחורה</w:t>
      </w:r>
      <w:r>
        <w:rPr>
          <w:rFonts w:hint="cs"/>
          <w:sz w:val="28"/>
          <w:rtl/>
        </w:rPr>
        <w:t>" (עמוד 2 שורה 62 - ההדגשה שלי - ג.צ.), וכן: "אולי שריקה או דיברתי איתן או שאלתי אותן מה נשמע. אבל לא עצרתי ממש" (עמוד 4 שורות 33-35), ובת/4 הוא שוב מסביר כי לעיתים כשהוא רואה בחורה יפה הוא מצפצף וממשיך לנסוע (ת/4, שורות 18-23, וראה גם ת/1, עמוד 2, שורות 43-50, ו-ת/3, עמוד 2, שורות 48-62).</w:t>
      </w:r>
      <w:r>
        <w:rPr>
          <w:color w:val="FFFFFF"/>
          <w:sz w:val="4"/>
          <w:szCs w:val="4"/>
          <w:rtl/>
        </w:rPr>
        <w:t>ו</w:t>
      </w:r>
    </w:p>
    <w:p w14:paraId="5E517CDD" w14:textId="77777777" w:rsidR="00AF7F13" w:rsidRDefault="00AF7F13">
      <w:pPr>
        <w:ind w:left="720" w:hanging="720"/>
        <w:jc w:val="both"/>
        <w:rPr>
          <w:rFonts w:hint="cs"/>
          <w:sz w:val="28"/>
          <w:rtl/>
        </w:rPr>
      </w:pPr>
    </w:p>
    <w:p w14:paraId="7730022C" w14:textId="77777777" w:rsidR="00AF7F13" w:rsidRDefault="00AF7F13">
      <w:pPr>
        <w:ind w:left="720" w:hanging="720"/>
        <w:jc w:val="both"/>
        <w:rPr>
          <w:rFonts w:hint="cs"/>
          <w:sz w:val="28"/>
          <w:rtl/>
        </w:rPr>
      </w:pPr>
      <w:r>
        <w:rPr>
          <w:rFonts w:hint="cs"/>
          <w:sz w:val="28"/>
          <w:rtl/>
        </w:rPr>
        <w:tab/>
      </w:r>
    </w:p>
    <w:p w14:paraId="07D054AA" w14:textId="77777777" w:rsidR="00AF7F13" w:rsidRDefault="00AF7F13">
      <w:pPr>
        <w:ind w:left="720"/>
        <w:jc w:val="both"/>
        <w:rPr>
          <w:rFonts w:hint="cs"/>
          <w:sz w:val="28"/>
          <w:rtl/>
        </w:rPr>
      </w:pPr>
      <w:r>
        <w:rPr>
          <w:rFonts w:hint="cs"/>
          <w:sz w:val="28"/>
          <w:rtl/>
        </w:rPr>
        <w:t xml:space="preserve">ומכאן ניתן ללמוד כי אין מדובר ב"תמימות" כפי שהציג זאת הסניגור, אלא בהתנהגות החורגת מכך, וקשה לקבל שריקות, צפצופיים ודיבורים כמשהו תמים לחלוטין. </w:t>
      </w:r>
    </w:p>
    <w:p w14:paraId="5E4CA8D7" w14:textId="77777777" w:rsidR="00AF7F13" w:rsidRDefault="00AF7F13">
      <w:pPr>
        <w:ind w:left="720" w:hanging="720"/>
        <w:jc w:val="both"/>
        <w:rPr>
          <w:rFonts w:hint="cs"/>
          <w:sz w:val="28"/>
          <w:rtl/>
        </w:rPr>
      </w:pPr>
    </w:p>
    <w:p w14:paraId="3DF62AF4" w14:textId="77777777" w:rsidR="00AF7F13" w:rsidRDefault="00AF7F13">
      <w:pPr>
        <w:ind w:left="720" w:hanging="720"/>
        <w:jc w:val="both"/>
        <w:rPr>
          <w:rFonts w:hint="cs"/>
          <w:sz w:val="28"/>
          <w:rtl/>
        </w:rPr>
      </w:pPr>
      <w:r>
        <w:rPr>
          <w:rFonts w:hint="cs"/>
          <w:sz w:val="28"/>
          <w:rtl/>
        </w:rPr>
        <w:t>10.</w:t>
      </w:r>
      <w:r>
        <w:rPr>
          <w:rFonts w:hint="cs"/>
          <w:sz w:val="28"/>
          <w:rtl/>
        </w:rPr>
        <w:tab/>
        <w:t xml:space="preserve">מלבד הכחשה גורפת של טענות המתלוננות, לא מסר הנאשם טענת אליבי כפי גרסתו במועד ההקראה, ואף עדי ההגנה מטעמו לא תרמו דבר בנושא זה, משום שמלבד הכרותם את הנאשם והעובדה שהיו מרוצים מעבודתו, אינם יודעים דבר על העבירות בהן הוא מואשם, הם לא היו נוכחים באותו מועד, ואף אינם יכולים להתייחס במדוייק לזמן העדרותו מהעבודה. </w:t>
      </w:r>
    </w:p>
    <w:p w14:paraId="27DAAD3B" w14:textId="77777777" w:rsidR="00AF7F13" w:rsidRDefault="00AF7F13">
      <w:pPr>
        <w:ind w:left="720" w:hanging="720"/>
        <w:jc w:val="both"/>
        <w:rPr>
          <w:rFonts w:hint="cs"/>
          <w:sz w:val="28"/>
          <w:rtl/>
        </w:rPr>
      </w:pPr>
    </w:p>
    <w:p w14:paraId="0B347B11" w14:textId="77777777" w:rsidR="00AF7F13" w:rsidRDefault="00AF7F13">
      <w:pPr>
        <w:ind w:left="720" w:hanging="720"/>
        <w:jc w:val="both"/>
        <w:rPr>
          <w:rFonts w:hint="cs"/>
          <w:sz w:val="28"/>
          <w:rtl/>
        </w:rPr>
      </w:pPr>
      <w:r>
        <w:rPr>
          <w:rFonts w:hint="cs"/>
          <w:sz w:val="28"/>
          <w:rtl/>
        </w:rPr>
        <w:tab/>
        <w:t xml:space="preserve">יחד עם זאת, ידעו העדים לספר כי רכב הרנו אקספרס, שזוהה על ידי המתלוננות, נמצא ברשותו של הנאשם והוא זה שמחזיק בו בדרך קבע, כשהעד גבי חסן שהינו מנהל עבודה באתרים בהם עובד הנאשם העיד בחקירה הראשית, כי עד כמה שידוע לו בדרך כלל אף אחד אחר לא היה לוקח את הרכב או משתמש בו חוץ מהנאשם (עמוד 50 לפרוטוקול), ועובדה זו אינה מתיישבת עם גירסת הנאשם בדבר שימוש אחרים ברכב. </w:t>
      </w:r>
    </w:p>
    <w:p w14:paraId="7761EB5A" w14:textId="77777777" w:rsidR="00AF7F13" w:rsidRDefault="00AF7F13">
      <w:pPr>
        <w:ind w:left="720" w:hanging="720"/>
        <w:jc w:val="both"/>
        <w:rPr>
          <w:rFonts w:hint="cs"/>
          <w:sz w:val="28"/>
          <w:rtl/>
        </w:rPr>
      </w:pPr>
    </w:p>
    <w:p w14:paraId="028ED409" w14:textId="77777777" w:rsidR="00AF7F13" w:rsidRDefault="00AF7F13">
      <w:pPr>
        <w:ind w:left="720" w:hanging="720"/>
        <w:jc w:val="both"/>
        <w:rPr>
          <w:rFonts w:hint="cs"/>
          <w:sz w:val="28"/>
          <w:rtl/>
        </w:rPr>
      </w:pPr>
      <w:r>
        <w:rPr>
          <w:rFonts w:hint="cs"/>
          <w:sz w:val="28"/>
          <w:rtl/>
        </w:rPr>
        <w:tab/>
        <w:t xml:space="preserve">זאת ועוד, גם התנהגותו של הנאשם במהלך העימות שנערך עם המתלוננת ס"א נראית תמוהה. הנאשם לא מסר שום גרסה בנוגע לזיהוי הודאי, ולהאשמות שהטיחה בו המתלוננת, ומלבד להכחיש כל קשר למעשים לא אמר דבר, עד שהחוקר שהיה מעורב בעימות שאל אותו מדוע הוא יושב בשקט בידיים שלובות ואינו מגיב. תשובת הנאשם היתה כי הוא לא עשה את זה ולכן הוא יושב בשקט, כשגם בעדותו הסביר כי השיב לכל השאלות שנשאלו, ואין זו מדרכו לצעוק (ת/5, עמוד 2, ת/6 עמוד 41 לפרוטוקול). </w:t>
      </w:r>
    </w:p>
    <w:p w14:paraId="3C6905F5" w14:textId="77777777" w:rsidR="00AF7F13" w:rsidRDefault="00AF7F13">
      <w:pPr>
        <w:ind w:left="720" w:hanging="720"/>
        <w:jc w:val="both"/>
        <w:rPr>
          <w:rFonts w:hint="cs"/>
          <w:sz w:val="28"/>
          <w:rtl/>
        </w:rPr>
      </w:pPr>
      <w:r>
        <w:rPr>
          <w:rFonts w:hint="cs"/>
          <w:sz w:val="28"/>
          <w:rtl/>
        </w:rPr>
        <w:tab/>
        <w:t xml:space="preserve">יתכן שתגובה זו היא תגובה אפשרית, אולם יותר מתקבל על הדעת כי מי שמאשימים אותו במעשים מגונים שכאלה, והוא אינו מעורב בהם יגיב בצורה חריפה יותר, ישיב לכל האשמות תשובות נוקבות, יסביר היכן היה במועדים הנטענים כלפיו, או לפחות באחד המועדים הספציפיים ולא ישיב בלשון רפה רק לשאלות עליהן הוא נשאל. </w:t>
      </w:r>
    </w:p>
    <w:p w14:paraId="241653B0" w14:textId="77777777" w:rsidR="00AF7F13" w:rsidRDefault="00AF7F13">
      <w:pPr>
        <w:ind w:left="720" w:hanging="720"/>
        <w:jc w:val="both"/>
        <w:rPr>
          <w:rFonts w:hint="cs"/>
          <w:sz w:val="28"/>
          <w:rtl/>
        </w:rPr>
      </w:pPr>
    </w:p>
    <w:p w14:paraId="07953C97" w14:textId="77777777" w:rsidR="00AF7F13" w:rsidRDefault="00AF7F13">
      <w:pPr>
        <w:ind w:left="720" w:hanging="720"/>
        <w:jc w:val="both"/>
        <w:rPr>
          <w:rFonts w:hint="cs"/>
          <w:sz w:val="28"/>
          <w:rtl/>
        </w:rPr>
      </w:pPr>
      <w:r>
        <w:rPr>
          <w:rFonts w:hint="cs"/>
          <w:sz w:val="28"/>
          <w:rtl/>
        </w:rPr>
        <w:tab/>
        <w:t xml:space="preserve">הפער בין האשמות המתלוננת ס"א לתשובות הנאשם ניכר היטב בעימות שנערך ביניהם, כאשר היא מטיחה בו דברים קשים ובאריכות, ותשובותיו קצרות ולאקוניות וניתן אף לומר מתחמקות, באופן שקשה עד מאד להאמין לדבריו ולקבל את גרסתו. </w:t>
      </w:r>
    </w:p>
    <w:p w14:paraId="0342226F" w14:textId="77777777" w:rsidR="00AF7F13" w:rsidRDefault="00AF7F13">
      <w:pPr>
        <w:ind w:left="720" w:hanging="720"/>
        <w:jc w:val="both"/>
        <w:rPr>
          <w:rFonts w:hint="cs"/>
          <w:sz w:val="28"/>
          <w:rtl/>
        </w:rPr>
      </w:pPr>
    </w:p>
    <w:p w14:paraId="1B2FAAEF" w14:textId="77777777" w:rsidR="00AF7F13" w:rsidRDefault="00AF7F13">
      <w:pPr>
        <w:ind w:left="720" w:hanging="720"/>
        <w:jc w:val="both"/>
        <w:rPr>
          <w:rFonts w:hint="cs"/>
          <w:sz w:val="28"/>
          <w:rtl/>
        </w:rPr>
      </w:pPr>
      <w:r>
        <w:rPr>
          <w:rFonts w:hint="cs"/>
          <w:sz w:val="28"/>
          <w:rtl/>
        </w:rPr>
        <w:t>11.</w:t>
      </w:r>
      <w:r>
        <w:rPr>
          <w:rFonts w:hint="cs"/>
          <w:sz w:val="28"/>
          <w:rtl/>
        </w:rPr>
        <w:tab/>
        <w:t xml:space="preserve">כשאני מצרפת את כל הנתונים שעולים מעדויות המתלוננות, ותואמים זה את זה להפליא, אל מול התנהגותו וגרסתו של הנאשם, אני דוחה את דבריו כבלתי מהימנים וקובעת כי כל הראיות כמכלול מצביעות עליו כמי שנהג ברכב וכמי שביצע את המעשים המיוחסים לו בכתב האישום. </w:t>
      </w:r>
    </w:p>
    <w:p w14:paraId="0EBD458E" w14:textId="77777777" w:rsidR="00AF7F13" w:rsidRDefault="00AF7F13">
      <w:pPr>
        <w:ind w:left="720" w:hanging="720"/>
        <w:jc w:val="both"/>
        <w:rPr>
          <w:rFonts w:hint="cs"/>
          <w:sz w:val="28"/>
          <w:rtl/>
        </w:rPr>
      </w:pPr>
    </w:p>
    <w:p w14:paraId="0E2221F2" w14:textId="77777777" w:rsidR="00AF7F13" w:rsidRDefault="00AF7F13">
      <w:pPr>
        <w:ind w:left="720" w:hanging="720"/>
        <w:jc w:val="both"/>
        <w:rPr>
          <w:rFonts w:hint="cs"/>
          <w:sz w:val="28"/>
          <w:rtl/>
        </w:rPr>
      </w:pPr>
      <w:r>
        <w:rPr>
          <w:rFonts w:hint="cs"/>
          <w:sz w:val="28"/>
          <w:rtl/>
        </w:rPr>
        <w:tab/>
        <w:t xml:space="preserve">לאור כל זאת, אני מרשיעה את הנאשם בשתי עבירות של מעשה מגונה, כמיוחס לו בכתב האישום. </w:t>
      </w:r>
    </w:p>
    <w:p w14:paraId="4E7CEDB8" w14:textId="77777777" w:rsidR="00AF7F13" w:rsidRDefault="00AF7F13">
      <w:pPr>
        <w:rPr>
          <w:rFonts w:hint="cs"/>
          <w:b/>
          <w:bCs/>
          <w:rtl/>
        </w:rPr>
      </w:pPr>
      <w:bookmarkStart w:id="11" w:name="Decision1"/>
    </w:p>
    <w:p w14:paraId="29B89D83" w14:textId="77777777" w:rsidR="00AF7F13" w:rsidRDefault="00AF7F13">
      <w:pPr>
        <w:rPr>
          <w:rFonts w:hint="cs"/>
          <w:rtl/>
        </w:rPr>
      </w:pPr>
      <w:r>
        <w:rPr>
          <w:rFonts w:hint="cs"/>
          <w:b/>
          <w:bCs/>
          <w:rtl/>
        </w:rPr>
        <w:t xml:space="preserve">ניתנה היום 05.12.00, בפומבי, במעמד הצדדים. </w:t>
      </w:r>
      <w:r>
        <w:rPr>
          <w:rFonts w:hint="cs"/>
          <w:rtl/>
        </w:rPr>
        <w:t xml:space="preserve">                                                                                </w:t>
      </w:r>
    </w:p>
    <w:tbl>
      <w:tblPr>
        <w:tblW w:w="0" w:type="auto"/>
        <w:tblBorders>
          <w:bottom w:val="single" w:sz="4" w:space="0" w:color="auto"/>
        </w:tblBorders>
        <w:tblLook w:val="0000" w:firstRow="0" w:lastRow="0" w:firstColumn="0" w:lastColumn="0" w:noHBand="0" w:noVBand="0"/>
      </w:tblPr>
      <w:tblGrid>
        <w:gridCol w:w="2093"/>
      </w:tblGrid>
      <w:tr w:rsidR="00AF7F13" w14:paraId="76703F81" w14:textId="77777777">
        <w:tc>
          <w:tcPr>
            <w:tcW w:w="2093" w:type="dxa"/>
            <w:tcBorders>
              <w:top w:val="nil"/>
              <w:left w:val="nil"/>
              <w:bottom w:val="single" w:sz="4" w:space="0" w:color="auto"/>
              <w:right w:val="nil"/>
            </w:tcBorders>
          </w:tcPr>
          <w:p w14:paraId="2A7F731F" w14:textId="77777777" w:rsidR="00AF7F13" w:rsidRDefault="00AF7F13">
            <w:pPr>
              <w:jc w:val="right"/>
            </w:pPr>
          </w:p>
        </w:tc>
      </w:tr>
    </w:tbl>
    <w:p w14:paraId="4B41307F" w14:textId="77777777" w:rsidR="00AF7F13" w:rsidRDefault="00AF7F13">
      <w:pPr>
        <w:jc w:val="right"/>
        <w:rPr>
          <w:rFonts w:hint="cs"/>
          <w:rtl/>
        </w:rPr>
      </w:pPr>
      <w:r>
        <w:rPr>
          <w:rFonts w:hint="cs"/>
          <w:rtl/>
        </w:rPr>
        <w:t>גלית ציגלר, שופטת</w:t>
      </w:r>
      <w:bookmarkEnd w:id="11"/>
    </w:p>
    <w:p w14:paraId="1EEE6310" w14:textId="77777777" w:rsidR="00AF7F13" w:rsidRDefault="00AF7F13">
      <w:pPr>
        <w:rPr>
          <w:rFonts w:hint="cs"/>
          <w:b/>
          <w:bCs/>
          <w:rtl/>
        </w:rPr>
      </w:pPr>
      <w:r>
        <w:rPr>
          <w:rFonts w:hint="cs"/>
          <w:rtl/>
        </w:rPr>
        <w:br w:type="page"/>
      </w:r>
      <w:r>
        <w:rPr>
          <w:rFonts w:hint="cs"/>
          <w:b/>
          <w:bCs/>
          <w:rtl/>
        </w:rPr>
        <w:t xml:space="preserve">הסניגור: </w:t>
      </w:r>
    </w:p>
    <w:p w14:paraId="3A5B1802" w14:textId="77777777" w:rsidR="00AF7F13" w:rsidRDefault="00AF7F13">
      <w:pPr>
        <w:rPr>
          <w:rFonts w:hint="cs"/>
          <w:rtl/>
        </w:rPr>
      </w:pPr>
      <w:r>
        <w:rPr>
          <w:rFonts w:hint="cs"/>
          <w:rtl/>
        </w:rPr>
        <w:t xml:space="preserve">בטרם טיעונים לעונש, אבקש לשלוח את הנאשם לשירות המבחן, לצורך קבלת תסקיר. </w:t>
      </w:r>
    </w:p>
    <w:p w14:paraId="53B4CB3C" w14:textId="77777777" w:rsidR="00AF7F13" w:rsidRDefault="00AF7F13">
      <w:pPr>
        <w:rPr>
          <w:rFonts w:hint="cs"/>
          <w:rtl/>
        </w:rPr>
      </w:pPr>
    </w:p>
    <w:p w14:paraId="59E593B6" w14:textId="77777777" w:rsidR="00AF7F13" w:rsidRDefault="00AF7F13">
      <w:pPr>
        <w:rPr>
          <w:rFonts w:hint="cs"/>
          <w:b/>
          <w:bCs/>
          <w:rtl/>
        </w:rPr>
      </w:pPr>
      <w:r>
        <w:rPr>
          <w:rFonts w:hint="cs"/>
          <w:b/>
          <w:bCs/>
          <w:rtl/>
        </w:rPr>
        <w:t xml:space="preserve">התובעת: </w:t>
      </w:r>
    </w:p>
    <w:p w14:paraId="5760A1EE" w14:textId="77777777" w:rsidR="00AF7F13" w:rsidRDefault="00AF7F13">
      <w:pPr>
        <w:rPr>
          <w:rFonts w:hint="cs"/>
          <w:rtl/>
        </w:rPr>
      </w:pPr>
      <w:r>
        <w:rPr>
          <w:rFonts w:hint="cs"/>
          <w:rtl/>
        </w:rPr>
        <w:t xml:space="preserve">אין לי התנגדות. </w:t>
      </w:r>
    </w:p>
    <w:p w14:paraId="3131081F" w14:textId="77777777" w:rsidR="00AF7F13" w:rsidRDefault="00AF7F13">
      <w:pPr>
        <w:jc w:val="center"/>
        <w:rPr>
          <w:rFonts w:hint="cs"/>
          <w:b/>
          <w:bCs/>
          <w:u w:val="single"/>
          <w:rtl/>
        </w:rPr>
      </w:pPr>
      <w:bookmarkStart w:id="12" w:name="Decision2"/>
    </w:p>
    <w:p w14:paraId="41114CE0" w14:textId="77777777" w:rsidR="00AF7F13" w:rsidRDefault="00AF7F13">
      <w:pPr>
        <w:jc w:val="center"/>
        <w:rPr>
          <w:rFonts w:hint="cs"/>
          <w:b/>
          <w:bCs/>
          <w:u w:val="single"/>
          <w:rtl/>
        </w:rPr>
      </w:pPr>
      <w:r>
        <w:rPr>
          <w:rFonts w:hint="cs"/>
          <w:b/>
          <w:bCs/>
          <w:u w:val="single"/>
          <w:rtl/>
        </w:rPr>
        <w:t>החלטה</w:t>
      </w:r>
    </w:p>
    <w:p w14:paraId="4FBF0F61" w14:textId="77777777" w:rsidR="00AF7F13" w:rsidRDefault="00AF7F13">
      <w:pPr>
        <w:rPr>
          <w:rFonts w:hint="cs"/>
          <w:rtl/>
        </w:rPr>
      </w:pPr>
    </w:p>
    <w:p w14:paraId="6FBDEC8E" w14:textId="77777777" w:rsidR="00AF7F13" w:rsidRDefault="00AF7F13">
      <w:pPr>
        <w:jc w:val="both"/>
        <w:rPr>
          <w:rFonts w:hint="cs"/>
          <w:rtl/>
        </w:rPr>
      </w:pPr>
      <w:r>
        <w:rPr>
          <w:rFonts w:hint="cs"/>
          <w:rtl/>
        </w:rPr>
        <w:t xml:space="preserve">בטרם טיעונים לעונש, יתקבל תסקיר שירות המבחן. </w:t>
      </w:r>
    </w:p>
    <w:p w14:paraId="6428E823" w14:textId="77777777" w:rsidR="00AF7F13" w:rsidRDefault="00AF7F13">
      <w:pPr>
        <w:jc w:val="both"/>
        <w:rPr>
          <w:rFonts w:hint="cs"/>
          <w:rtl/>
        </w:rPr>
      </w:pPr>
    </w:p>
    <w:p w14:paraId="105E7DEE" w14:textId="77777777" w:rsidR="00AF7F13" w:rsidRDefault="00AF7F13">
      <w:pPr>
        <w:jc w:val="both"/>
        <w:rPr>
          <w:rFonts w:hint="cs"/>
          <w:rtl/>
        </w:rPr>
      </w:pPr>
      <w:r>
        <w:rPr>
          <w:rFonts w:hint="cs"/>
          <w:rtl/>
        </w:rPr>
        <w:t xml:space="preserve">הנאשם יתייצב בשירות המבחן בטייבה ביום רביעי 20.12.00 שעה 09.00 בבוקר. </w:t>
      </w:r>
    </w:p>
    <w:p w14:paraId="1411C691" w14:textId="77777777" w:rsidR="00AF7F13" w:rsidRDefault="00AF7F13">
      <w:pPr>
        <w:jc w:val="both"/>
        <w:rPr>
          <w:rFonts w:hint="cs"/>
          <w:rtl/>
        </w:rPr>
      </w:pPr>
    </w:p>
    <w:p w14:paraId="08FB5782" w14:textId="77777777" w:rsidR="00AF7F13" w:rsidRDefault="00AF7F13">
      <w:pPr>
        <w:jc w:val="both"/>
        <w:rPr>
          <w:rFonts w:hint="cs"/>
          <w:rtl/>
        </w:rPr>
      </w:pPr>
      <w:r>
        <w:rPr>
          <w:rFonts w:hint="cs"/>
          <w:rtl/>
        </w:rPr>
        <w:t xml:space="preserve">המשך הדיון והטיעונים יתקיימו ביום 13.7.01 שעה 08.30. </w:t>
      </w:r>
    </w:p>
    <w:p w14:paraId="2D58DDDC" w14:textId="77777777" w:rsidR="00AF7F13" w:rsidRDefault="00AF7F13">
      <w:pPr>
        <w:rPr>
          <w:rFonts w:hint="cs"/>
          <w:b/>
          <w:bCs/>
          <w:rtl/>
        </w:rPr>
      </w:pPr>
    </w:p>
    <w:p w14:paraId="45440D46" w14:textId="77777777" w:rsidR="00AF7F13" w:rsidRDefault="00AF7F13">
      <w:pPr>
        <w:rPr>
          <w:rFonts w:hint="cs"/>
          <w:b/>
          <w:bCs/>
          <w:rtl/>
        </w:rPr>
      </w:pPr>
      <w:r>
        <w:rPr>
          <w:rFonts w:hint="cs"/>
          <w:b/>
          <w:bCs/>
          <w:rtl/>
        </w:rPr>
        <w:t>ניתנה היום 05 בדצמבר, 2000 (ח' בכסלו תשס"א) במעמד הצדדים.</w:t>
      </w:r>
      <w:r>
        <w:rPr>
          <w:b/>
          <w:bCs/>
          <w:color w:val="FFFFFF"/>
          <w:sz w:val="4"/>
          <w:szCs w:val="4"/>
          <w:rtl/>
        </w:rPr>
        <w:t>נ</w:t>
      </w:r>
    </w:p>
    <w:p w14:paraId="5EBE13CA" w14:textId="77777777" w:rsidR="00AF7F13" w:rsidRDefault="00AF7F13">
      <w:pPr>
        <w:rPr>
          <w:rFonts w:hint="cs"/>
          <w:rtl/>
        </w:rPr>
      </w:pPr>
    </w:p>
    <w:p w14:paraId="3D0A12A9" w14:textId="77777777" w:rsidR="00AF7F13" w:rsidRDefault="00AF7F13">
      <w:pPr>
        <w:rPr>
          <w:rFonts w:hint="cs"/>
          <w:rtl/>
        </w:rPr>
      </w:pPr>
      <w:r>
        <w:rPr>
          <w:rFonts w:hint="cs"/>
          <w:rtl/>
        </w:rPr>
        <w:t xml:space="preserve">                                                                                </w:t>
      </w:r>
    </w:p>
    <w:tbl>
      <w:tblPr>
        <w:tblW w:w="0" w:type="auto"/>
        <w:tblBorders>
          <w:bottom w:val="single" w:sz="4" w:space="0" w:color="auto"/>
        </w:tblBorders>
        <w:tblLook w:val="0000" w:firstRow="0" w:lastRow="0" w:firstColumn="0" w:lastColumn="0" w:noHBand="0" w:noVBand="0"/>
      </w:tblPr>
      <w:tblGrid>
        <w:gridCol w:w="2093"/>
      </w:tblGrid>
      <w:tr w:rsidR="00AF7F13" w14:paraId="6C7B2E7A" w14:textId="77777777">
        <w:tc>
          <w:tcPr>
            <w:tcW w:w="2093" w:type="dxa"/>
            <w:tcBorders>
              <w:top w:val="nil"/>
              <w:left w:val="nil"/>
              <w:bottom w:val="single" w:sz="4" w:space="0" w:color="auto"/>
              <w:right w:val="nil"/>
            </w:tcBorders>
          </w:tcPr>
          <w:p w14:paraId="467AB4E9" w14:textId="77777777" w:rsidR="00AF7F13" w:rsidRDefault="00AF7F13">
            <w:pPr>
              <w:jc w:val="right"/>
            </w:pPr>
          </w:p>
        </w:tc>
      </w:tr>
    </w:tbl>
    <w:p w14:paraId="4CB2E45F" w14:textId="77777777" w:rsidR="00AF7F13" w:rsidRDefault="00AF7F13">
      <w:pPr>
        <w:jc w:val="right"/>
        <w:rPr>
          <w:rFonts w:hint="cs"/>
          <w:rtl/>
        </w:rPr>
      </w:pPr>
      <w:r>
        <w:rPr>
          <w:rFonts w:hint="cs"/>
          <w:rtl/>
        </w:rPr>
        <w:t>גלית ציגלר, שופטת</w:t>
      </w:r>
    </w:p>
    <w:bookmarkEnd w:id="12"/>
    <w:p w14:paraId="05EFF9A4" w14:textId="77777777" w:rsidR="00AF7F13" w:rsidRDefault="00AF7F13">
      <w:pPr>
        <w:rPr>
          <w:rtl/>
        </w:rPr>
      </w:pPr>
      <w:r>
        <w:rPr>
          <w:rtl/>
        </w:rPr>
        <w:t>נוסח מסמך זה כפוף לשינויי ניסוח ועריכה</w:t>
      </w:r>
    </w:p>
    <w:p w14:paraId="6248B5FC" w14:textId="77777777" w:rsidR="00AF7F13" w:rsidRDefault="00AF7F13">
      <w:pPr>
        <w:rPr>
          <w:rtl/>
        </w:rPr>
      </w:pPr>
      <w:r>
        <w:rPr>
          <w:rtl/>
        </w:rPr>
        <w:t>נוסח מסמך זה כפוף לשינויי ניסוח ועריכה</w:t>
      </w:r>
    </w:p>
    <w:sectPr w:rsidR="00AF7F13">
      <w:headerReference w:type="even" r:id="rId10"/>
      <w:headerReference w:type="default" r:id="rId11"/>
      <w:footerReference w:type="even" r:id="rId12"/>
      <w:footerReference w:type="default" r:id="rId1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2A8B" w14:textId="77777777" w:rsidR="000E598C" w:rsidRDefault="000E598C">
      <w:pPr>
        <w:spacing w:line="240" w:lineRule="auto"/>
      </w:pPr>
      <w:r>
        <w:separator/>
      </w:r>
    </w:p>
  </w:endnote>
  <w:endnote w:type="continuationSeparator" w:id="0">
    <w:p w14:paraId="60FA35C8" w14:textId="77777777" w:rsidR="000E598C" w:rsidRDefault="000E5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C6AB" w14:textId="77777777" w:rsidR="004B48FE" w:rsidRDefault="004B48F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DF36F38" w14:textId="77777777" w:rsidR="004B48FE" w:rsidRDefault="004B48F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FE917C" w14:textId="77777777" w:rsidR="004B48FE" w:rsidRDefault="004B48F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E:\nevo\04=2002-nu-total-orly\s98002373-31.doc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EE557" w14:textId="77777777" w:rsidR="004B48FE" w:rsidRDefault="004B48F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E4485">
      <w:rPr>
        <w:rFonts w:hAnsi="FrankRuehl" w:cs="FrankRuehl"/>
        <w:noProof/>
        <w:sz w:val="24"/>
        <w:rtl/>
      </w:rPr>
      <w:t>1</w:t>
    </w:r>
    <w:r>
      <w:rPr>
        <w:rFonts w:hAnsi="FrankRuehl" w:cs="FrankRuehl"/>
        <w:sz w:val="24"/>
        <w:rtl/>
      </w:rPr>
      <w:fldChar w:fldCharType="end"/>
    </w:r>
  </w:p>
  <w:p w14:paraId="5D810A54" w14:textId="77777777" w:rsidR="004B48FE" w:rsidRDefault="004B48F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761C8C" w14:textId="77777777" w:rsidR="004B48FE" w:rsidRDefault="004B48F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E:\nevo\04=2002-nu-total-orly\s98002373-31.doc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613C" w14:textId="77777777" w:rsidR="000E598C" w:rsidRDefault="000E598C">
      <w:pPr>
        <w:spacing w:line="240" w:lineRule="auto"/>
      </w:pPr>
      <w:r>
        <w:separator/>
      </w:r>
    </w:p>
  </w:footnote>
  <w:footnote w:type="continuationSeparator" w:id="0">
    <w:p w14:paraId="30E87773" w14:textId="77777777" w:rsidR="000E598C" w:rsidRDefault="000E5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C501" w14:textId="77777777" w:rsidR="004B48FE" w:rsidRDefault="004B48F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2373/98</w:t>
    </w:r>
    <w:r>
      <w:rPr>
        <w:rFonts w:hAnsi="David"/>
        <w:color w:val="000000"/>
        <w:sz w:val="22"/>
        <w:szCs w:val="22"/>
        <w:rtl/>
      </w:rPr>
      <w:tab/>
      <w:t xml:space="preserve"> מדינת ישראל נ' עאזם בהא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108D" w14:textId="77777777" w:rsidR="004B48FE" w:rsidRDefault="004B48F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2373/98</w:t>
    </w:r>
    <w:r>
      <w:rPr>
        <w:rFonts w:hAnsi="David"/>
        <w:color w:val="000000"/>
        <w:sz w:val="22"/>
        <w:szCs w:val="22"/>
        <w:rtl/>
      </w:rPr>
      <w:tab/>
      <w:t xml:space="preserve"> מדינת ישראל נ' עאזם בהא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932897"/>
    <w:rsid w:val="000E598C"/>
    <w:rsid w:val="0030084A"/>
    <w:rsid w:val="003E4485"/>
    <w:rsid w:val="004B48FE"/>
    <w:rsid w:val="00932897"/>
    <w:rsid w:val="00AF7F13"/>
    <w:rsid w:val="00D910F9"/>
    <w:rsid w:val="00EF11A4"/>
    <w:rsid w:val="00FC6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6E522C"/>
  <w15:chartTrackingRefBased/>
  <w15:docId w15:val="{3E00A61C-F0CB-4317-AAF7-54E42D1D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8"/>
      <w:lang w:eastAsia="he-IL"/>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30084A"/>
    <w:rPr>
      <w:rFonts w:ascii="Tahoma" w:hAnsi="Tahoma" w:cs="Tahoma"/>
      <w:sz w:val="16"/>
      <w:szCs w:val="16"/>
    </w:rPr>
  </w:style>
  <w:style w:type="character" w:styleId="Hyperlink">
    <w:name w:val="Hyperlink"/>
    <w:rsid w:val="0030084A"/>
    <w:rPr>
      <w:color w:val="0000FF"/>
      <w:u w:val="single"/>
    </w:rPr>
  </w:style>
  <w:style w:type="character" w:customStyle="1" w:styleId="a2">
    <w:name w:val="אזכור לא מזוהה"/>
    <w:uiPriority w:val="99"/>
    <w:semiHidden/>
    <w:unhideWhenUsed/>
    <w:rsid w:val="00D91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1442</Words>
  <Characters>8226</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9649</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2000-12-04T14:43:00Z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2373</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עאזם בהא</vt:lpwstr>
  </property>
  <property fmtid="{D5CDD505-2E9C-101B-9397-08002B2CF9AE}" pid="9" name="LAWYER">
    <vt:lpwstr>איילת שמיר;אקעיק</vt:lpwstr>
  </property>
  <property fmtid="{D5CDD505-2E9C-101B-9397-08002B2CF9AE}" pid="10" name="CITY">
    <vt:lpwstr>כ"ס</vt:lpwstr>
  </property>
  <property fmtid="{D5CDD505-2E9C-101B-9397-08002B2CF9AE}" pid="11" name="DATE">
    <vt:lpwstr>20001205</vt:lpwstr>
  </property>
  <property fmtid="{D5CDD505-2E9C-101B-9397-08002B2CF9AE}" pid="12" name="WORDNUMPAGES">
    <vt:lpwstr>9</vt:lpwstr>
  </property>
  <property fmtid="{D5CDD505-2E9C-101B-9397-08002B2CF9AE}" pid="13" name="JUDGE">
    <vt:lpwstr>גלית ציגלר</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ProcID=213&amp;PartA=12&amp;PartC=15</vt:lpwstr>
  </property>
  <property fmtid="{D5CDD505-2E9C-101B-9397-08002B2CF9AE}" pid="32" name="CASENOTES2">
    <vt:lpwstr>ProcID=213&amp;PartA=33&amp;PartC=35</vt:lpwstr>
  </property>
  <property fmtid="{D5CDD505-2E9C-101B-9397-08002B2CF9AE}" pid="33" name="CASENOTES3">
    <vt:lpwstr>ProcID=213&amp;PartA=18&amp;PartC=23</vt:lpwstr>
  </property>
  <property fmtid="{D5CDD505-2E9C-101B-9397-08002B2CF9AE}" pid="34" name="CASENOTES4">
    <vt:lpwstr>ProcID=213&amp;PartA=43&amp;PartC=50</vt:lpwstr>
  </property>
  <property fmtid="{D5CDD505-2E9C-101B-9397-08002B2CF9AE}" pid="35" name="CASENOTES5">
    <vt:lpwstr>ProcID=213&amp;PartA=48&amp;PartC=62</vt:lpwstr>
  </property>
  <property fmtid="{D5CDD505-2E9C-101B-9397-08002B2CF9AE}" pid="36" name="LAWLISTTMP1">
    <vt:lpwstr>70301/349.a</vt:lpwstr>
  </property>
</Properties>
</file>