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90C6" w14:textId="77777777" w:rsidR="00AC3854" w:rsidRDefault="00AC3854">
      <w:pPr>
        <w:pStyle w:val="Header"/>
        <w:rPr>
          <w:rtl/>
        </w:rPr>
      </w:pPr>
      <w:bookmarkStart w:id="0" w:name="תיק_עיקרי"/>
      <w:bookmarkStart w:id="1" w:name="פרוטוקול"/>
      <w:bookmarkEnd w:id="0"/>
      <w:bookmarkEnd w:id="1"/>
    </w:p>
    <w:p w14:paraId="5FAAC907" w14:textId="77777777" w:rsidR="00AC3854" w:rsidRDefault="00AC3854">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964"/>
        <w:gridCol w:w="1951"/>
      </w:tblGrid>
      <w:tr w:rsidR="00A44635" w14:paraId="68370DFA" w14:textId="77777777" w:rsidTr="00A44635">
        <w:trPr>
          <w:cantSplit/>
          <w:trHeight w:val="627"/>
        </w:trPr>
        <w:tc>
          <w:tcPr>
            <w:tcW w:w="5614" w:type="dxa"/>
            <w:vMerge w:val="restart"/>
            <w:tcBorders>
              <w:top w:val="single" w:sz="4" w:space="0" w:color="auto"/>
              <w:left w:val="single" w:sz="4" w:space="0" w:color="auto"/>
              <w:bottom w:val="single" w:sz="4" w:space="0" w:color="auto"/>
              <w:right w:val="single" w:sz="4" w:space="0" w:color="auto"/>
            </w:tcBorders>
          </w:tcPr>
          <w:p w14:paraId="35EF0E39" w14:textId="77777777" w:rsidR="00A44635" w:rsidRDefault="00A44635">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2F018423" w14:textId="77777777" w:rsidR="00A44635" w:rsidRDefault="00A44635">
            <w:pPr>
              <w:rPr>
                <w:b/>
                <w:bCs/>
              </w:rPr>
            </w:pPr>
            <w:r>
              <w:rPr>
                <w:rFonts w:hint="cs"/>
                <w:b/>
                <w:bCs/>
                <w:rtl/>
              </w:rPr>
              <w:t>פ  001711/99</w:t>
            </w:r>
          </w:p>
        </w:tc>
      </w:tr>
      <w:tr w:rsidR="00A44635" w14:paraId="20C35E3A" w14:textId="77777777" w:rsidTr="00A44635">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232012CD" w14:textId="77777777" w:rsidR="00A44635" w:rsidRDefault="00A44635">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207E1A4A" w14:textId="77777777" w:rsidR="00A44635" w:rsidRDefault="00A44635">
            <w:pPr>
              <w:rPr>
                <w:b/>
                <w:bCs/>
              </w:rPr>
            </w:pPr>
          </w:p>
        </w:tc>
      </w:tr>
      <w:tr w:rsidR="00A44635" w14:paraId="7A7DF398" w14:textId="77777777" w:rsidTr="00A44635">
        <w:trPr>
          <w:trHeight w:val="286"/>
        </w:trPr>
        <w:tc>
          <w:tcPr>
            <w:tcW w:w="5614" w:type="dxa"/>
            <w:tcBorders>
              <w:top w:val="single" w:sz="4" w:space="0" w:color="auto"/>
              <w:left w:val="single" w:sz="4" w:space="0" w:color="auto"/>
              <w:bottom w:val="single" w:sz="4" w:space="0" w:color="auto"/>
              <w:right w:val="single" w:sz="4" w:space="0" w:color="auto"/>
            </w:tcBorders>
          </w:tcPr>
          <w:p w14:paraId="0202ACA4" w14:textId="77777777" w:rsidR="00A44635" w:rsidRDefault="00A44635">
            <w:pPr>
              <w:rPr>
                <w:b/>
                <w:bCs/>
              </w:rPr>
            </w:pPr>
            <w:bookmarkStart w:id="2" w:name="LastJudge"/>
            <w:r>
              <w:rPr>
                <w:rFonts w:hint="cs"/>
                <w:b/>
                <w:bCs/>
                <w:rtl/>
              </w:rPr>
              <w:t>בפני כבוד השופט צבי הרטל, סגן-נשיא</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BA5D3B0" w14:textId="77777777" w:rsidR="00A44635" w:rsidRDefault="00A44635">
            <w:pPr>
              <w:rPr>
                <w:b/>
                <w:bCs/>
              </w:rPr>
            </w:pPr>
            <w:r>
              <w:rPr>
                <w:rFonts w:hint="cs"/>
                <w:b/>
                <w:bCs/>
                <w:rtl/>
              </w:rPr>
              <w:t xml:space="preserve"> תאריך:</w:t>
            </w:r>
          </w:p>
        </w:tc>
        <w:tc>
          <w:tcPr>
            <w:tcW w:w="1951" w:type="dxa"/>
            <w:tcBorders>
              <w:top w:val="single" w:sz="4" w:space="0" w:color="auto"/>
              <w:left w:val="single" w:sz="4" w:space="0" w:color="auto"/>
              <w:bottom w:val="single" w:sz="4" w:space="0" w:color="auto"/>
              <w:right w:val="single" w:sz="4" w:space="0" w:color="auto"/>
            </w:tcBorders>
          </w:tcPr>
          <w:p w14:paraId="63B6E50C" w14:textId="77777777" w:rsidR="00A44635" w:rsidRDefault="00A44635">
            <w:pPr>
              <w:rPr>
                <w:b/>
                <w:bCs/>
              </w:rPr>
            </w:pPr>
            <w:r>
              <w:rPr>
                <w:rFonts w:hint="cs"/>
                <w:b/>
                <w:bCs/>
                <w:rtl/>
              </w:rPr>
              <w:t>15/12/2002</w:t>
            </w:r>
          </w:p>
        </w:tc>
      </w:tr>
      <w:bookmarkEnd w:id="2"/>
    </w:tbl>
    <w:p w14:paraId="4CF7002F" w14:textId="77777777" w:rsidR="00AC3854" w:rsidRDefault="00AC3854">
      <w:pPr>
        <w:rPr>
          <w:rFonts w:hint="cs"/>
          <w:szCs w:val="20"/>
          <w:rtl/>
        </w:rPr>
      </w:pPr>
    </w:p>
    <w:p w14:paraId="3ACEEF8E" w14:textId="77777777" w:rsidR="00AC3854" w:rsidRDefault="00AC3854">
      <w:pPr>
        <w:jc w:val="center"/>
        <w:rPr>
          <w:rFonts w:hint="cs"/>
          <w:b/>
          <w:bCs/>
          <w:sz w:val="32"/>
          <w:szCs w:val="32"/>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A44635" w14:paraId="10CECE23" w14:textId="77777777" w:rsidTr="00A44635">
        <w:tc>
          <w:tcPr>
            <w:tcW w:w="1418" w:type="dxa"/>
          </w:tcPr>
          <w:p w14:paraId="2FC8E451" w14:textId="77777777" w:rsidR="00A44635" w:rsidRDefault="00A44635">
            <w:pPr>
              <w:pStyle w:val="1"/>
              <w:spacing w:line="360" w:lineRule="auto"/>
              <w:rPr>
                <w:b/>
                <w:bCs/>
              </w:rPr>
            </w:pPr>
            <w:bookmarkStart w:id="3" w:name="FirstAppellant"/>
            <w:r>
              <w:rPr>
                <w:rFonts w:hint="cs"/>
                <w:b/>
                <w:bCs/>
                <w:rtl/>
              </w:rPr>
              <w:t>בעניין:</w:t>
            </w:r>
          </w:p>
        </w:tc>
        <w:tc>
          <w:tcPr>
            <w:tcW w:w="4820" w:type="dxa"/>
            <w:gridSpan w:val="2"/>
          </w:tcPr>
          <w:p w14:paraId="48EBC713" w14:textId="77777777" w:rsidR="00A44635" w:rsidRDefault="00A44635">
            <w:pPr>
              <w:pStyle w:val="1"/>
              <w:spacing w:line="360" w:lineRule="auto"/>
              <w:rPr>
                <w:b/>
                <w:bCs/>
              </w:rPr>
            </w:pPr>
            <w:r>
              <w:rPr>
                <w:rFonts w:hint="cs"/>
                <w:b/>
                <w:bCs/>
                <w:rtl/>
              </w:rPr>
              <w:t>מדינת ישראל</w:t>
            </w:r>
          </w:p>
        </w:tc>
        <w:tc>
          <w:tcPr>
            <w:tcW w:w="2409" w:type="dxa"/>
          </w:tcPr>
          <w:p w14:paraId="184100F7" w14:textId="77777777" w:rsidR="00A44635" w:rsidRDefault="00A44635">
            <w:pPr>
              <w:pStyle w:val="1"/>
              <w:spacing w:line="360" w:lineRule="auto"/>
              <w:rPr>
                <w:b/>
                <w:bCs/>
              </w:rPr>
            </w:pPr>
          </w:p>
        </w:tc>
      </w:tr>
      <w:tr w:rsidR="00A44635" w14:paraId="40887671" w14:textId="77777777" w:rsidTr="00A44635">
        <w:tc>
          <w:tcPr>
            <w:tcW w:w="1418" w:type="dxa"/>
          </w:tcPr>
          <w:p w14:paraId="68C6D65A" w14:textId="77777777" w:rsidR="00A44635" w:rsidRDefault="00A44635">
            <w:pPr>
              <w:pStyle w:val="1"/>
              <w:spacing w:line="360" w:lineRule="auto"/>
              <w:rPr>
                <w:b/>
                <w:bCs/>
              </w:rPr>
            </w:pPr>
            <w:bookmarkStart w:id="4" w:name="בא_כוח_א" w:colFirst="2" w:colLast="2"/>
            <w:bookmarkEnd w:id="3"/>
          </w:p>
        </w:tc>
        <w:tc>
          <w:tcPr>
            <w:tcW w:w="1757" w:type="dxa"/>
          </w:tcPr>
          <w:p w14:paraId="2F1A1908" w14:textId="77777777" w:rsidR="00A44635" w:rsidRDefault="00A44635">
            <w:pPr>
              <w:pStyle w:val="1"/>
              <w:spacing w:line="360" w:lineRule="auto"/>
              <w:rPr>
                <w:b/>
                <w:bCs/>
              </w:rPr>
            </w:pPr>
          </w:p>
        </w:tc>
        <w:tc>
          <w:tcPr>
            <w:tcW w:w="3063" w:type="dxa"/>
          </w:tcPr>
          <w:p w14:paraId="173F15AF" w14:textId="77777777" w:rsidR="00A44635" w:rsidRDefault="00A44635">
            <w:pPr>
              <w:pStyle w:val="1"/>
              <w:spacing w:line="360" w:lineRule="auto"/>
              <w:rPr>
                <w:b/>
                <w:bCs/>
              </w:rPr>
            </w:pPr>
          </w:p>
        </w:tc>
        <w:tc>
          <w:tcPr>
            <w:tcW w:w="2409" w:type="dxa"/>
          </w:tcPr>
          <w:p w14:paraId="6A2FA2E1" w14:textId="77777777" w:rsidR="00A44635" w:rsidRDefault="00A44635">
            <w:pPr>
              <w:pStyle w:val="1"/>
              <w:spacing w:line="360" w:lineRule="auto"/>
              <w:rPr>
                <w:b/>
                <w:bCs/>
              </w:rPr>
            </w:pPr>
            <w:r>
              <w:rPr>
                <w:rFonts w:hint="cs"/>
                <w:b/>
                <w:bCs/>
                <w:rtl/>
              </w:rPr>
              <w:t>המאשימה</w:t>
            </w:r>
          </w:p>
        </w:tc>
      </w:tr>
      <w:bookmarkEnd w:id="4"/>
      <w:tr w:rsidR="00A44635" w14:paraId="7F2C2273" w14:textId="77777777" w:rsidTr="00A44635">
        <w:tc>
          <w:tcPr>
            <w:tcW w:w="1418" w:type="dxa"/>
          </w:tcPr>
          <w:p w14:paraId="4E34ABAF" w14:textId="77777777" w:rsidR="00A44635" w:rsidRDefault="00A44635">
            <w:pPr>
              <w:pStyle w:val="1"/>
              <w:spacing w:line="360" w:lineRule="auto"/>
              <w:rPr>
                <w:b/>
                <w:bCs/>
              </w:rPr>
            </w:pPr>
          </w:p>
        </w:tc>
        <w:tc>
          <w:tcPr>
            <w:tcW w:w="4820" w:type="dxa"/>
            <w:gridSpan w:val="2"/>
          </w:tcPr>
          <w:p w14:paraId="55AB4239" w14:textId="77777777" w:rsidR="00A44635" w:rsidRDefault="00A44635">
            <w:pPr>
              <w:pStyle w:val="1"/>
              <w:spacing w:line="360" w:lineRule="auto"/>
              <w:jc w:val="center"/>
              <w:rPr>
                <w:b/>
                <w:bCs/>
              </w:rPr>
            </w:pPr>
            <w:r>
              <w:rPr>
                <w:rFonts w:hint="cs"/>
                <w:b/>
                <w:bCs/>
                <w:rtl/>
              </w:rPr>
              <w:t>נ ג ד</w:t>
            </w:r>
          </w:p>
          <w:p w14:paraId="261862E5" w14:textId="77777777" w:rsidR="00A44635" w:rsidRDefault="00A44635">
            <w:pPr>
              <w:pStyle w:val="1"/>
              <w:spacing w:line="360" w:lineRule="auto"/>
              <w:rPr>
                <w:b/>
                <w:bCs/>
              </w:rPr>
            </w:pPr>
          </w:p>
        </w:tc>
        <w:tc>
          <w:tcPr>
            <w:tcW w:w="2409" w:type="dxa"/>
          </w:tcPr>
          <w:p w14:paraId="1096AB09" w14:textId="77777777" w:rsidR="00A44635" w:rsidRDefault="00A44635">
            <w:pPr>
              <w:pStyle w:val="1"/>
              <w:spacing w:line="360" w:lineRule="auto"/>
              <w:rPr>
                <w:b/>
                <w:bCs/>
              </w:rPr>
            </w:pPr>
          </w:p>
        </w:tc>
      </w:tr>
      <w:tr w:rsidR="00A44635" w14:paraId="1F0260A9" w14:textId="77777777" w:rsidTr="00A44635">
        <w:tc>
          <w:tcPr>
            <w:tcW w:w="1418" w:type="dxa"/>
          </w:tcPr>
          <w:p w14:paraId="5B32A018" w14:textId="77777777" w:rsidR="00A44635" w:rsidRDefault="00A44635">
            <w:pPr>
              <w:pStyle w:val="1"/>
              <w:spacing w:line="360" w:lineRule="auto"/>
              <w:rPr>
                <w:b/>
                <w:bCs/>
              </w:rPr>
            </w:pPr>
            <w:bookmarkStart w:id="5" w:name="שם_ב" w:colFirst="1" w:colLast="1"/>
          </w:p>
        </w:tc>
        <w:tc>
          <w:tcPr>
            <w:tcW w:w="4820" w:type="dxa"/>
            <w:gridSpan w:val="2"/>
          </w:tcPr>
          <w:p w14:paraId="40349E8C" w14:textId="77777777" w:rsidR="00A44635" w:rsidRDefault="00A44635">
            <w:pPr>
              <w:pStyle w:val="1"/>
              <w:spacing w:line="360" w:lineRule="auto"/>
              <w:rPr>
                <w:b/>
                <w:bCs/>
              </w:rPr>
            </w:pPr>
            <w:r>
              <w:rPr>
                <w:rFonts w:hint="cs"/>
                <w:b/>
                <w:bCs/>
                <w:rtl/>
              </w:rPr>
              <w:t>זכאי גורג</w:t>
            </w:r>
          </w:p>
        </w:tc>
        <w:tc>
          <w:tcPr>
            <w:tcW w:w="2409" w:type="dxa"/>
          </w:tcPr>
          <w:p w14:paraId="3DB334EE" w14:textId="77777777" w:rsidR="00A44635" w:rsidRDefault="00A44635">
            <w:pPr>
              <w:pStyle w:val="1"/>
              <w:spacing w:line="360" w:lineRule="auto"/>
              <w:rPr>
                <w:b/>
                <w:bCs/>
              </w:rPr>
            </w:pPr>
          </w:p>
        </w:tc>
      </w:tr>
      <w:tr w:rsidR="00A44635" w14:paraId="6FC667D5" w14:textId="77777777" w:rsidTr="00A44635">
        <w:tc>
          <w:tcPr>
            <w:tcW w:w="1418" w:type="dxa"/>
          </w:tcPr>
          <w:p w14:paraId="3942F0D6" w14:textId="77777777" w:rsidR="00A44635" w:rsidRDefault="00A44635">
            <w:pPr>
              <w:pStyle w:val="1"/>
              <w:spacing w:line="360" w:lineRule="auto"/>
              <w:rPr>
                <w:b/>
                <w:bCs/>
              </w:rPr>
            </w:pPr>
            <w:bookmarkStart w:id="6" w:name="בא_כוח_ב" w:colFirst="2" w:colLast="2"/>
            <w:bookmarkStart w:id="7" w:name="FirstLawyer"/>
            <w:bookmarkEnd w:id="5"/>
          </w:p>
        </w:tc>
        <w:tc>
          <w:tcPr>
            <w:tcW w:w="1757" w:type="dxa"/>
          </w:tcPr>
          <w:p w14:paraId="581E197B" w14:textId="77777777" w:rsidR="00A44635" w:rsidRDefault="00A44635">
            <w:pPr>
              <w:pStyle w:val="1"/>
              <w:spacing w:line="360" w:lineRule="auto"/>
              <w:rPr>
                <w:b/>
                <w:bCs/>
              </w:rPr>
            </w:pPr>
            <w:r>
              <w:rPr>
                <w:rFonts w:hint="cs"/>
                <w:b/>
                <w:bCs/>
                <w:rtl/>
              </w:rPr>
              <w:t>ע"י ב"כ  עוה"ד</w:t>
            </w:r>
          </w:p>
        </w:tc>
        <w:tc>
          <w:tcPr>
            <w:tcW w:w="3063" w:type="dxa"/>
          </w:tcPr>
          <w:p w14:paraId="15C4786D" w14:textId="77777777" w:rsidR="00A44635" w:rsidRDefault="00A44635">
            <w:pPr>
              <w:pStyle w:val="1"/>
              <w:spacing w:line="360" w:lineRule="auto"/>
              <w:rPr>
                <w:b/>
                <w:bCs/>
              </w:rPr>
            </w:pPr>
            <w:r>
              <w:rPr>
                <w:rFonts w:hint="cs"/>
                <w:b/>
                <w:bCs/>
                <w:rtl/>
              </w:rPr>
              <w:t>מלמד ארז</w:t>
            </w:r>
          </w:p>
        </w:tc>
        <w:tc>
          <w:tcPr>
            <w:tcW w:w="2409" w:type="dxa"/>
          </w:tcPr>
          <w:p w14:paraId="2D4CA0ED" w14:textId="77777777" w:rsidR="00A44635" w:rsidRDefault="00A44635">
            <w:pPr>
              <w:pStyle w:val="1"/>
              <w:spacing w:line="360" w:lineRule="auto"/>
              <w:rPr>
                <w:b/>
                <w:bCs/>
              </w:rPr>
            </w:pPr>
            <w:r>
              <w:rPr>
                <w:rFonts w:hint="cs"/>
                <w:b/>
                <w:bCs/>
                <w:rtl/>
              </w:rPr>
              <w:t>הנאשם</w:t>
            </w:r>
          </w:p>
        </w:tc>
      </w:tr>
    </w:tbl>
    <w:p w14:paraId="298A3803" w14:textId="77777777" w:rsidR="00600D0B" w:rsidRDefault="00600D0B">
      <w:pPr>
        <w:jc w:val="center"/>
        <w:rPr>
          <w:sz w:val="32"/>
          <w:szCs w:val="32"/>
          <w:rtl/>
        </w:rPr>
      </w:pPr>
      <w:bookmarkStart w:id="8" w:name="LawTable"/>
      <w:bookmarkEnd w:id="6"/>
      <w:bookmarkEnd w:id="7"/>
      <w:bookmarkEnd w:id="8"/>
    </w:p>
    <w:p w14:paraId="369398A4" w14:textId="77777777" w:rsidR="00600D0B" w:rsidRPr="00600D0B" w:rsidRDefault="00600D0B" w:rsidP="00600D0B">
      <w:pPr>
        <w:spacing w:after="120" w:line="240" w:lineRule="exact"/>
        <w:ind w:left="283" w:hanging="283"/>
        <w:rPr>
          <w:rFonts w:ascii="FrankRuehl" w:hAnsi="FrankRuehl" w:cs="FrankRuehl"/>
          <w:rtl/>
        </w:rPr>
      </w:pPr>
    </w:p>
    <w:p w14:paraId="5753A557" w14:textId="77777777" w:rsidR="00600D0B" w:rsidRPr="00600D0B" w:rsidRDefault="00600D0B" w:rsidP="00600D0B">
      <w:pPr>
        <w:spacing w:after="120" w:line="240" w:lineRule="exact"/>
        <w:ind w:left="283" w:hanging="283"/>
        <w:rPr>
          <w:rFonts w:ascii="FrankRuehl" w:hAnsi="FrankRuehl" w:cs="FrankRuehl"/>
          <w:rtl/>
        </w:rPr>
      </w:pPr>
      <w:r w:rsidRPr="00600D0B">
        <w:rPr>
          <w:rFonts w:ascii="FrankRuehl" w:hAnsi="FrankRuehl" w:cs="FrankRuehl"/>
          <w:rtl/>
        </w:rPr>
        <w:t xml:space="preserve">חקיקה שאוזכרה: </w:t>
      </w:r>
    </w:p>
    <w:p w14:paraId="3EFAEBAC" w14:textId="77777777" w:rsidR="00600D0B" w:rsidRPr="00600D0B" w:rsidRDefault="00600D0B" w:rsidP="00600D0B">
      <w:pPr>
        <w:spacing w:after="120" w:line="240" w:lineRule="exact"/>
        <w:ind w:left="283" w:hanging="283"/>
        <w:rPr>
          <w:rFonts w:ascii="FrankRuehl" w:hAnsi="FrankRuehl" w:cs="FrankRuehl"/>
          <w:rtl/>
        </w:rPr>
      </w:pPr>
      <w:hyperlink r:id="rId6" w:history="1">
        <w:r w:rsidRPr="00600D0B">
          <w:rPr>
            <w:rFonts w:ascii="FrankRuehl" w:hAnsi="FrankRuehl" w:cs="FrankRuehl"/>
            <w:color w:val="0000FF"/>
            <w:u w:val="single"/>
            <w:rtl/>
          </w:rPr>
          <w:t>חוק העונשין, תשל"ז-1977</w:t>
        </w:r>
      </w:hyperlink>
      <w:r w:rsidRPr="00600D0B">
        <w:rPr>
          <w:rFonts w:ascii="FrankRuehl" w:hAnsi="FrankRuehl" w:cs="FrankRuehl"/>
          <w:rtl/>
        </w:rPr>
        <w:t xml:space="preserve">: סע'  </w:t>
      </w:r>
      <w:hyperlink r:id="rId7" w:history="1">
        <w:r w:rsidRPr="00600D0B">
          <w:rPr>
            <w:rFonts w:ascii="FrankRuehl" w:hAnsi="FrankRuehl" w:cs="FrankRuehl"/>
            <w:color w:val="0000FF"/>
            <w:u w:val="single"/>
            <w:rtl/>
          </w:rPr>
          <w:t>349(א)</w:t>
        </w:r>
      </w:hyperlink>
    </w:p>
    <w:p w14:paraId="3B3002FF" w14:textId="77777777" w:rsidR="00600D0B" w:rsidRPr="00600D0B" w:rsidRDefault="00600D0B" w:rsidP="00600D0B">
      <w:pPr>
        <w:spacing w:after="120" w:line="240" w:lineRule="exact"/>
        <w:ind w:left="283" w:hanging="283"/>
        <w:rPr>
          <w:rFonts w:ascii="FrankRuehl" w:hAnsi="FrankRuehl" w:cs="FrankRuehl"/>
          <w:rtl/>
        </w:rPr>
      </w:pPr>
    </w:p>
    <w:p w14:paraId="3BEFBE7D" w14:textId="77777777" w:rsidR="00600D0B" w:rsidRPr="00600D0B" w:rsidRDefault="00600D0B">
      <w:pPr>
        <w:jc w:val="center"/>
        <w:rPr>
          <w:sz w:val="32"/>
          <w:szCs w:val="32"/>
          <w:rtl/>
        </w:rPr>
      </w:pPr>
      <w:bookmarkStart w:id="9" w:name="LawTable_End"/>
      <w:bookmarkEnd w:id="9"/>
    </w:p>
    <w:p w14:paraId="776B90AE" w14:textId="77777777" w:rsidR="00600D0B" w:rsidRPr="00600D0B" w:rsidRDefault="00600D0B">
      <w:pPr>
        <w:jc w:val="center"/>
        <w:rPr>
          <w:b/>
          <w:bCs/>
          <w:sz w:val="32"/>
          <w:szCs w:val="32"/>
          <w:rtl/>
        </w:rPr>
      </w:pPr>
    </w:p>
    <w:p w14:paraId="749A6A27" w14:textId="77777777" w:rsidR="00AC3854" w:rsidRPr="00600D0B" w:rsidRDefault="00AC3854">
      <w:pPr>
        <w:jc w:val="center"/>
        <w:rPr>
          <w:rFonts w:hint="cs"/>
          <w:b/>
          <w:bCs/>
          <w:sz w:val="32"/>
          <w:szCs w:val="32"/>
          <w:rtl/>
        </w:rPr>
      </w:pPr>
    </w:p>
    <w:p w14:paraId="62E75F9D" w14:textId="77777777" w:rsidR="0037415C" w:rsidRPr="0037415C" w:rsidRDefault="0037415C">
      <w:pPr>
        <w:pStyle w:val="1"/>
        <w:spacing w:line="360" w:lineRule="auto"/>
        <w:jc w:val="center"/>
        <w:rPr>
          <w:sz w:val="30"/>
          <w:szCs w:val="32"/>
          <w:rtl/>
        </w:rPr>
      </w:pPr>
    </w:p>
    <w:p w14:paraId="614BF734" w14:textId="77777777" w:rsidR="0037415C" w:rsidRPr="0037415C" w:rsidRDefault="0037415C">
      <w:pPr>
        <w:pStyle w:val="1"/>
        <w:spacing w:line="360" w:lineRule="auto"/>
        <w:jc w:val="center"/>
        <w:rPr>
          <w:b/>
          <w:bCs/>
          <w:sz w:val="30"/>
          <w:szCs w:val="32"/>
          <w:rtl/>
        </w:rPr>
      </w:pPr>
    </w:p>
    <w:p w14:paraId="3A5778AE" w14:textId="77777777" w:rsidR="00AC3854" w:rsidRPr="0037415C" w:rsidRDefault="00AC3854">
      <w:pPr>
        <w:pStyle w:val="1"/>
        <w:spacing w:line="360" w:lineRule="auto"/>
        <w:jc w:val="center"/>
        <w:rPr>
          <w:b/>
          <w:bCs/>
          <w:sz w:val="30"/>
          <w:szCs w:val="32"/>
          <w:rtl/>
        </w:rPr>
      </w:pPr>
    </w:p>
    <w:p w14:paraId="48BD8F8A" w14:textId="77777777" w:rsidR="00AC3854" w:rsidRDefault="00AC3854">
      <w:pPr>
        <w:pStyle w:val="1"/>
        <w:spacing w:line="360" w:lineRule="auto"/>
        <w:jc w:val="center"/>
        <w:rPr>
          <w:b/>
          <w:bCs/>
          <w:sz w:val="30"/>
          <w:szCs w:val="32"/>
          <w:u w:val="single"/>
          <w:rtl/>
        </w:rPr>
      </w:pPr>
      <w:bookmarkStart w:id="10" w:name="PsakDin"/>
      <w:r>
        <w:rPr>
          <w:b/>
          <w:bCs/>
          <w:sz w:val="30"/>
          <w:szCs w:val="32"/>
          <w:u w:val="single"/>
          <w:rtl/>
        </w:rPr>
        <w:t>הכרעת דין</w:t>
      </w:r>
    </w:p>
    <w:bookmarkEnd w:id="10"/>
    <w:p w14:paraId="2B38834A" w14:textId="77777777" w:rsidR="00AC3854" w:rsidRDefault="00AC3854">
      <w:pPr>
        <w:pStyle w:val="1"/>
        <w:spacing w:line="360" w:lineRule="auto"/>
        <w:rPr>
          <w:rFonts w:hint="cs"/>
          <w:sz w:val="30"/>
          <w:szCs w:val="32"/>
          <w:rtl/>
        </w:rPr>
      </w:pPr>
    </w:p>
    <w:p w14:paraId="321185C6" w14:textId="77777777" w:rsidR="00AC3854" w:rsidRDefault="00AC3854">
      <w:pPr>
        <w:pStyle w:val="1"/>
        <w:spacing w:line="360" w:lineRule="auto"/>
        <w:jc w:val="both"/>
        <w:rPr>
          <w:rFonts w:hint="cs"/>
          <w:sz w:val="22"/>
          <w:rtl/>
        </w:rPr>
      </w:pPr>
      <w:bookmarkStart w:id="11" w:name="ABSTRACT_START"/>
      <w:bookmarkEnd w:id="11"/>
      <w:r>
        <w:rPr>
          <w:rFonts w:hint="cs"/>
          <w:sz w:val="22"/>
          <w:rtl/>
        </w:rPr>
        <w:t xml:space="preserve">לנאשם שבפניי מיוחסת עבירה של מעשה מגונה </w:t>
      </w:r>
      <w:r w:rsidR="00600D0B">
        <w:rPr>
          <w:rFonts w:hint="cs"/>
          <w:sz w:val="22"/>
          <w:rtl/>
        </w:rPr>
        <w:t xml:space="preserve">בפומבי – עבירה בניגוד לסעיף </w:t>
      </w:r>
      <w:hyperlink r:id="rId8" w:history="1">
        <w:r w:rsidR="00600D0B" w:rsidRPr="00600D0B">
          <w:rPr>
            <w:color w:val="0000FF"/>
            <w:sz w:val="22"/>
            <w:u w:val="single"/>
            <w:rtl/>
          </w:rPr>
          <w:t>349(א)</w:t>
        </w:r>
      </w:hyperlink>
      <w:r>
        <w:rPr>
          <w:rFonts w:hint="cs"/>
          <w:sz w:val="22"/>
          <w:rtl/>
        </w:rPr>
        <w:t xml:space="preserve"> ל</w:t>
      </w:r>
      <w:hyperlink r:id="rId9" w:history="1">
        <w:r w:rsidR="0037415C" w:rsidRPr="0037415C">
          <w:rPr>
            <w:rStyle w:val="Hyperlink"/>
            <w:rFonts w:hint="eastAsia"/>
            <w:sz w:val="22"/>
            <w:rtl/>
          </w:rPr>
          <w:t>חוק</w:t>
        </w:r>
        <w:r w:rsidR="0037415C" w:rsidRPr="0037415C">
          <w:rPr>
            <w:rStyle w:val="Hyperlink"/>
            <w:sz w:val="22"/>
            <w:rtl/>
          </w:rPr>
          <w:t xml:space="preserve"> העונשין</w:t>
        </w:r>
      </w:hyperlink>
      <w:r>
        <w:rPr>
          <w:rFonts w:hint="cs"/>
          <w:sz w:val="22"/>
          <w:rtl/>
        </w:rPr>
        <w:t xml:space="preserve"> התשל"ז.</w:t>
      </w:r>
    </w:p>
    <w:p w14:paraId="6545D93D" w14:textId="77777777" w:rsidR="00AC3854" w:rsidRDefault="00AC3854">
      <w:pPr>
        <w:pStyle w:val="1"/>
        <w:spacing w:line="360" w:lineRule="auto"/>
        <w:jc w:val="both"/>
        <w:rPr>
          <w:rFonts w:hint="cs"/>
          <w:sz w:val="22"/>
          <w:rtl/>
        </w:rPr>
      </w:pPr>
      <w:bookmarkStart w:id="12" w:name="ABSTRACT_END"/>
      <w:bookmarkEnd w:id="12"/>
    </w:p>
    <w:p w14:paraId="43ABF0F8" w14:textId="77777777" w:rsidR="00AC3854" w:rsidRDefault="00AC3854">
      <w:pPr>
        <w:pStyle w:val="1"/>
        <w:spacing w:line="360" w:lineRule="auto"/>
        <w:jc w:val="both"/>
        <w:rPr>
          <w:rFonts w:hint="cs"/>
          <w:sz w:val="22"/>
          <w:rtl/>
        </w:rPr>
      </w:pPr>
      <w:r>
        <w:rPr>
          <w:rFonts w:hint="cs"/>
          <w:sz w:val="22"/>
          <w:rtl/>
        </w:rPr>
        <w:lastRenderedPageBreak/>
        <w:t xml:space="preserve">ע"פ  עובדות כתב האישום ביום 8.2.98 בשעה 02:15 או בסמוך לכך בראשל"צ עשה הנאשם מעשה מגונה בפומבי בכך שרץ והתהלך עירום ברחוב בסמוך לביתם של יוסף לוי וסוזנה לוי (להלן: </w:t>
      </w:r>
      <w:r>
        <w:rPr>
          <w:rFonts w:hint="cs"/>
          <w:b/>
          <w:bCs/>
          <w:sz w:val="22"/>
          <w:rtl/>
        </w:rPr>
        <w:t>"המתלוננים"</w:t>
      </w:r>
      <w:r>
        <w:rPr>
          <w:rFonts w:hint="cs"/>
          <w:sz w:val="22"/>
          <w:rtl/>
        </w:rPr>
        <w:t>) ברחוב גינוסר ואונן בפניהם כל זאת לשם גירוי סיפוק וביזוי מיניים.</w:t>
      </w:r>
    </w:p>
    <w:p w14:paraId="364844F1" w14:textId="77777777" w:rsidR="00AC3854" w:rsidRDefault="00AC3854">
      <w:pPr>
        <w:pStyle w:val="1"/>
        <w:spacing w:line="360" w:lineRule="auto"/>
        <w:jc w:val="both"/>
        <w:rPr>
          <w:rFonts w:hint="cs"/>
          <w:sz w:val="22"/>
          <w:rtl/>
        </w:rPr>
      </w:pPr>
    </w:p>
    <w:p w14:paraId="0D89AC24" w14:textId="77777777" w:rsidR="00AC3854" w:rsidRDefault="00AC3854">
      <w:pPr>
        <w:pStyle w:val="1"/>
        <w:spacing w:line="360" w:lineRule="auto"/>
        <w:jc w:val="both"/>
        <w:rPr>
          <w:rFonts w:hint="cs"/>
          <w:sz w:val="22"/>
          <w:rtl/>
        </w:rPr>
      </w:pPr>
      <w:r>
        <w:rPr>
          <w:rFonts w:hint="cs"/>
          <w:b/>
          <w:bCs/>
          <w:sz w:val="22"/>
          <w:u w:val="single"/>
          <w:rtl/>
        </w:rPr>
        <w:t xml:space="preserve">עובדות אישום שני - </w:t>
      </w:r>
      <w:r>
        <w:rPr>
          <w:rFonts w:hint="cs"/>
          <w:sz w:val="22"/>
          <w:rtl/>
        </w:rPr>
        <w:t xml:space="preserve"> בחודשים ינואר פברואר בשנת 1998 בשעה 01:00 או בסמוך לכך בראשל"צ עשה הנאשם מעשה מגונה בפומבי בכך שהתהלך עירום בסמוך לביתה של עינת יוסף (להלן: </w:t>
      </w:r>
      <w:r>
        <w:rPr>
          <w:rFonts w:hint="cs"/>
          <w:b/>
          <w:bCs/>
          <w:sz w:val="22"/>
          <w:rtl/>
        </w:rPr>
        <w:t>"המתלוננת"</w:t>
      </w:r>
      <w:r>
        <w:rPr>
          <w:rFonts w:hint="cs"/>
          <w:sz w:val="22"/>
          <w:rtl/>
        </w:rPr>
        <w:t>) ברחוב גינוסר ואונן בפני המתלוננת וזאת לשם גירוי סיפוק וביזוי מיניים.</w:t>
      </w:r>
    </w:p>
    <w:p w14:paraId="759DABB4" w14:textId="77777777" w:rsidR="00AC3854" w:rsidRDefault="00AC3854">
      <w:pPr>
        <w:pStyle w:val="1"/>
        <w:spacing w:line="360" w:lineRule="auto"/>
        <w:jc w:val="both"/>
        <w:rPr>
          <w:rFonts w:hint="cs"/>
          <w:sz w:val="22"/>
          <w:rtl/>
        </w:rPr>
      </w:pPr>
    </w:p>
    <w:p w14:paraId="3CD1154C" w14:textId="77777777" w:rsidR="00AC3854" w:rsidRDefault="00AC3854">
      <w:pPr>
        <w:pStyle w:val="1"/>
        <w:spacing w:line="360" w:lineRule="auto"/>
        <w:jc w:val="both"/>
        <w:rPr>
          <w:rFonts w:hint="cs"/>
          <w:sz w:val="22"/>
          <w:rtl/>
        </w:rPr>
      </w:pPr>
      <w:r>
        <w:rPr>
          <w:rFonts w:hint="cs"/>
          <w:sz w:val="22"/>
          <w:rtl/>
        </w:rPr>
        <w:t xml:space="preserve">למחרת, שוב עשה הנאשם מעשה מגונה בפומבי בכך שרץ עירום ואונן בסמוך לביתה של המתלוננת ואונן בפניה ובפני קרן נתן (להלן: </w:t>
      </w:r>
      <w:r>
        <w:rPr>
          <w:rFonts w:hint="cs"/>
          <w:b/>
          <w:bCs/>
          <w:sz w:val="22"/>
          <w:rtl/>
        </w:rPr>
        <w:t>"המתלוננת 2"</w:t>
      </w:r>
      <w:r>
        <w:rPr>
          <w:rFonts w:hint="cs"/>
          <w:sz w:val="22"/>
          <w:rtl/>
        </w:rPr>
        <w:t>) לשם גירוי סיפוק וביזוי מיניים.</w:t>
      </w:r>
    </w:p>
    <w:p w14:paraId="3C2AD6A8" w14:textId="77777777" w:rsidR="00AC3854" w:rsidRDefault="00AC3854">
      <w:pPr>
        <w:pStyle w:val="1"/>
        <w:spacing w:line="360" w:lineRule="auto"/>
        <w:jc w:val="both"/>
        <w:rPr>
          <w:rFonts w:hint="cs"/>
          <w:sz w:val="22"/>
          <w:rtl/>
        </w:rPr>
      </w:pPr>
      <w:r>
        <w:rPr>
          <w:rFonts w:hint="cs"/>
          <w:sz w:val="22"/>
          <w:rtl/>
        </w:rPr>
        <w:t>בתאריך 18.3.98, עפ"י גירסת התביעה, בראשל"צ עשה הנאשם מעשה מגונה בפומבי בכך שעמד בחלון ביתו עירום ואונן בפני המתלוננות לשם גירוי, סיפוק וביזוי מיניים.</w:t>
      </w:r>
    </w:p>
    <w:p w14:paraId="5279C0E6" w14:textId="77777777" w:rsidR="00AC3854" w:rsidRDefault="00AC3854">
      <w:pPr>
        <w:pStyle w:val="1"/>
        <w:spacing w:line="360" w:lineRule="auto"/>
        <w:jc w:val="both"/>
        <w:rPr>
          <w:rFonts w:hint="cs"/>
          <w:sz w:val="22"/>
          <w:rtl/>
        </w:rPr>
      </w:pPr>
    </w:p>
    <w:p w14:paraId="23EA178A" w14:textId="77777777" w:rsidR="00AC3854" w:rsidRDefault="00AC3854">
      <w:pPr>
        <w:pStyle w:val="1"/>
        <w:spacing w:line="360" w:lineRule="auto"/>
        <w:jc w:val="both"/>
        <w:rPr>
          <w:rFonts w:hint="cs"/>
          <w:sz w:val="22"/>
          <w:rtl/>
        </w:rPr>
      </w:pPr>
      <w:r>
        <w:rPr>
          <w:rFonts w:hint="cs"/>
          <w:sz w:val="22"/>
          <w:rtl/>
        </w:rPr>
        <w:t>הנאשם כאמור כופר בכל עובדות כתב האישום ולגירסתו לא ביצע את העבירות המיוחסת לו בכתב האישום.</w:t>
      </w:r>
    </w:p>
    <w:p w14:paraId="6695D6C2" w14:textId="77777777" w:rsidR="00AC3854" w:rsidRDefault="00AC3854">
      <w:pPr>
        <w:pStyle w:val="1"/>
        <w:spacing w:line="360" w:lineRule="auto"/>
        <w:jc w:val="both"/>
        <w:rPr>
          <w:rFonts w:hint="cs"/>
          <w:b/>
          <w:bCs/>
          <w:sz w:val="22"/>
          <w:u w:val="single"/>
          <w:rtl/>
        </w:rPr>
      </w:pPr>
    </w:p>
    <w:p w14:paraId="1D5CB136" w14:textId="77777777" w:rsidR="00AC3854" w:rsidRDefault="00AC3854">
      <w:pPr>
        <w:pStyle w:val="1"/>
        <w:spacing w:line="360" w:lineRule="auto"/>
        <w:jc w:val="both"/>
        <w:rPr>
          <w:rFonts w:hint="cs"/>
          <w:sz w:val="22"/>
          <w:rtl/>
        </w:rPr>
      </w:pPr>
      <w:r>
        <w:rPr>
          <w:rFonts w:hint="cs"/>
          <w:b/>
          <w:bCs/>
          <w:sz w:val="22"/>
          <w:u w:val="single"/>
          <w:rtl/>
        </w:rPr>
        <w:t>המחלוקת המשפטית</w:t>
      </w:r>
    </w:p>
    <w:p w14:paraId="08072B34" w14:textId="77777777" w:rsidR="00AC3854" w:rsidRDefault="00AC3854">
      <w:pPr>
        <w:pStyle w:val="1"/>
        <w:spacing w:line="360" w:lineRule="auto"/>
        <w:jc w:val="both"/>
        <w:rPr>
          <w:rFonts w:hint="cs"/>
          <w:sz w:val="22"/>
          <w:rtl/>
        </w:rPr>
      </w:pPr>
      <w:r>
        <w:rPr>
          <w:rFonts w:hint="cs"/>
          <w:sz w:val="22"/>
          <w:rtl/>
        </w:rPr>
        <w:t>התביעה מבקשת לבסס את הרשעת הנאשם ע"פ ראיות נסיבתיות בלבד כאשר אין זיהוי וודאי של הנאשם ע"י המתלוננים.</w:t>
      </w:r>
    </w:p>
    <w:p w14:paraId="1611216A" w14:textId="77777777" w:rsidR="00AC3854" w:rsidRDefault="00AC3854">
      <w:pPr>
        <w:pStyle w:val="1"/>
        <w:spacing w:line="360" w:lineRule="auto"/>
        <w:jc w:val="both"/>
        <w:rPr>
          <w:rFonts w:hint="cs"/>
          <w:sz w:val="22"/>
          <w:rtl/>
        </w:rPr>
      </w:pPr>
      <w:r>
        <w:rPr>
          <w:rFonts w:hint="cs"/>
          <w:sz w:val="22"/>
          <w:rtl/>
        </w:rPr>
        <w:t xml:space="preserve">ואילו הסניגור טוען כי אפילו אם ביקשו המתלוננים לזהות את הנאשם הזה, אשר לטענתם ביצע את המעשים המיוחסים לו בכתב האישום, לא יכלו לעשות זאת, וזאת בשל העובדה שהיה מרחק גדול בין המתלוננים לנאשם ובנוסף המתלוננים בעצמם הודו כי לא ראו את פניו של הנאשם בשעת ביצוע המעשה המיוחס לו. </w:t>
      </w:r>
    </w:p>
    <w:p w14:paraId="2A3BA9D7" w14:textId="77777777" w:rsidR="00AC3854" w:rsidRDefault="00AC3854">
      <w:pPr>
        <w:pStyle w:val="1"/>
        <w:spacing w:line="360" w:lineRule="auto"/>
        <w:jc w:val="both"/>
        <w:rPr>
          <w:rFonts w:hint="cs"/>
          <w:sz w:val="22"/>
          <w:rtl/>
        </w:rPr>
      </w:pPr>
    </w:p>
    <w:p w14:paraId="4DEF57C6" w14:textId="77777777" w:rsidR="00AC3854" w:rsidRDefault="00AC3854">
      <w:pPr>
        <w:pStyle w:val="1"/>
        <w:spacing w:line="360" w:lineRule="auto"/>
        <w:jc w:val="both"/>
        <w:rPr>
          <w:rFonts w:hint="cs"/>
          <w:sz w:val="30"/>
          <w:rtl/>
        </w:rPr>
      </w:pPr>
      <w:r>
        <w:rPr>
          <w:rFonts w:hint="cs"/>
          <w:sz w:val="30"/>
          <w:rtl/>
        </w:rPr>
        <w:t>על הסוגיה אם ניתן להרשיע נאשם על סמך ראיות נסיבתיות נאמר בפסיקה:</w:t>
      </w:r>
    </w:p>
    <w:p w14:paraId="72072962" w14:textId="77777777" w:rsidR="00AC3854" w:rsidRDefault="00AC3854">
      <w:pPr>
        <w:pStyle w:val="1"/>
        <w:spacing w:line="360" w:lineRule="auto"/>
        <w:jc w:val="both"/>
        <w:rPr>
          <w:rFonts w:hint="cs"/>
          <w:b/>
          <w:bCs/>
          <w:sz w:val="30"/>
          <w:rtl/>
        </w:rPr>
      </w:pPr>
      <w:r>
        <w:rPr>
          <w:rFonts w:hint="cs"/>
          <w:b/>
          <w:bCs/>
          <w:sz w:val="30"/>
          <w:rtl/>
        </w:rPr>
        <w:t xml:space="preserve">"ברור הדבר, ונעלה מכל ספק, כי בית המשפט יזכה את הנאשם ולא ירשיענו, אם פירוש העובדות אשר הסניגוריה טוענת לו, הוא הגיוני במידה שווה עם הפירוש שהוצע על ידי התביעה הכללית. </w:t>
      </w:r>
    </w:p>
    <w:p w14:paraId="17CB885E" w14:textId="77777777" w:rsidR="00AC3854" w:rsidRDefault="00AC3854">
      <w:pPr>
        <w:pStyle w:val="1"/>
        <w:spacing w:line="360" w:lineRule="auto"/>
        <w:jc w:val="both"/>
        <w:rPr>
          <w:rFonts w:hint="cs"/>
          <w:sz w:val="30"/>
          <w:rtl/>
        </w:rPr>
      </w:pPr>
      <w:r>
        <w:rPr>
          <w:rFonts w:hint="cs"/>
          <w:b/>
          <w:bCs/>
          <w:sz w:val="30"/>
          <w:rtl/>
        </w:rPr>
        <w:t xml:space="preserve">מאידך גיסא, אין גם ספק בכך, כי בית המשפט רשאי גם להרשיע  נאשם, אם הגירסה של התביעה הכללית היא הפירוש ההגיוני היחיד לעובדות שהוכחו – אף אם איננה בגדר ודאות ממש" </w:t>
      </w:r>
      <w:r>
        <w:rPr>
          <w:rFonts w:hint="cs"/>
          <w:sz w:val="30"/>
          <w:rtl/>
        </w:rPr>
        <w:t>(</w:t>
      </w:r>
      <w:hyperlink r:id="rId10" w:history="1">
        <w:r w:rsidR="0037415C" w:rsidRPr="0037415C">
          <w:rPr>
            <w:rStyle w:val="Hyperlink"/>
            <w:rFonts w:hint="eastAsia"/>
            <w:sz w:val="30"/>
            <w:rtl/>
          </w:rPr>
          <w:t>ע</w:t>
        </w:r>
        <w:r w:rsidR="0037415C" w:rsidRPr="0037415C">
          <w:rPr>
            <w:rStyle w:val="Hyperlink"/>
            <w:sz w:val="30"/>
            <w:rtl/>
          </w:rPr>
          <w:t>"פ 38/49</w:t>
        </w:r>
      </w:hyperlink>
      <w:r>
        <w:rPr>
          <w:rFonts w:hint="cs"/>
          <w:sz w:val="30"/>
          <w:rtl/>
        </w:rPr>
        <w:t xml:space="preserve"> עמ' 832).</w:t>
      </w:r>
    </w:p>
    <w:p w14:paraId="763B4A0C" w14:textId="77777777" w:rsidR="00AC3854" w:rsidRDefault="00AC3854">
      <w:pPr>
        <w:pStyle w:val="1"/>
        <w:spacing w:line="360" w:lineRule="auto"/>
        <w:jc w:val="both"/>
        <w:rPr>
          <w:rFonts w:hint="cs"/>
          <w:sz w:val="30"/>
          <w:rtl/>
        </w:rPr>
      </w:pPr>
    </w:p>
    <w:p w14:paraId="5B94AEA3" w14:textId="77777777" w:rsidR="00AC3854" w:rsidRDefault="00AC3854">
      <w:pPr>
        <w:pStyle w:val="1"/>
        <w:spacing w:line="360" w:lineRule="auto"/>
        <w:jc w:val="both"/>
        <w:rPr>
          <w:rFonts w:hint="cs"/>
          <w:sz w:val="30"/>
          <w:rtl/>
        </w:rPr>
      </w:pPr>
      <w:r>
        <w:rPr>
          <w:rFonts w:hint="cs"/>
          <w:sz w:val="30"/>
          <w:rtl/>
        </w:rPr>
        <w:t>גם כבוד הנשיא לנדוי נתן דעתו על נושא זה ב</w:t>
      </w:r>
      <w:hyperlink r:id="rId11" w:history="1">
        <w:r w:rsidR="0037415C" w:rsidRPr="0037415C">
          <w:rPr>
            <w:rStyle w:val="Hyperlink"/>
            <w:rFonts w:hint="eastAsia"/>
            <w:sz w:val="30"/>
            <w:rtl/>
          </w:rPr>
          <w:t>ע</w:t>
        </w:r>
        <w:r w:rsidR="0037415C" w:rsidRPr="0037415C">
          <w:rPr>
            <w:rStyle w:val="Hyperlink"/>
            <w:sz w:val="30"/>
            <w:rtl/>
          </w:rPr>
          <w:t>"פ 524/77</w:t>
        </w:r>
      </w:hyperlink>
      <w:r>
        <w:rPr>
          <w:rFonts w:hint="cs"/>
          <w:sz w:val="30"/>
          <w:rtl/>
        </w:rPr>
        <w:t xml:space="preserve"> וקבע כי:</w:t>
      </w:r>
    </w:p>
    <w:p w14:paraId="71FC7BDA" w14:textId="77777777" w:rsidR="00AC3854" w:rsidRDefault="00AC3854">
      <w:pPr>
        <w:pStyle w:val="1"/>
        <w:spacing w:line="360" w:lineRule="auto"/>
        <w:jc w:val="both"/>
        <w:rPr>
          <w:rFonts w:hint="cs"/>
          <w:b/>
          <w:bCs/>
          <w:sz w:val="30"/>
          <w:rtl/>
        </w:rPr>
      </w:pPr>
      <w:r>
        <w:rPr>
          <w:rFonts w:hint="cs"/>
          <w:b/>
          <w:bCs/>
          <w:sz w:val="30"/>
          <w:rtl/>
        </w:rPr>
        <w:t xml:space="preserve">"כדי לברר אם מסקנת האשמה היא המסקנה מחוייבת המציאות, מפעיל בית המשפט את מבחני ההיגיון וניסיון החיים הכללי, ולבסוף חייב כל ספק סביר לפעול לזכות הנאשם". </w:t>
      </w:r>
    </w:p>
    <w:p w14:paraId="7E2855D3" w14:textId="77777777" w:rsidR="00AC3854" w:rsidRDefault="00AC3854">
      <w:pPr>
        <w:pStyle w:val="1"/>
        <w:spacing w:line="360" w:lineRule="auto"/>
        <w:jc w:val="both"/>
        <w:rPr>
          <w:rFonts w:hint="cs"/>
          <w:sz w:val="30"/>
          <w:rtl/>
        </w:rPr>
      </w:pPr>
    </w:p>
    <w:p w14:paraId="6C7174C3" w14:textId="77777777" w:rsidR="00AC3854" w:rsidRDefault="00AC3854">
      <w:pPr>
        <w:pStyle w:val="1"/>
        <w:spacing w:line="360" w:lineRule="auto"/>
        <w:jc w:val="both"/>
        <w:rPr>
          <w:rFonts w:hint="cs"/>
          <w:sz w:val="30"/>
          <w:rtl/>
        </w:rPr>
      </w:pPr>
      <w:r>
        <w:rPr>
          <w:rFonts w:hint="cs"/>
          <w:sz w:val="30"/>
          <w:rtl/>
        </w:rPr>
        <w:lastRenderedPageBreak/>
        <w:t>במקרה שבפנינו העידו בפני בית המשפט ששה עדי תביעה אשר מתוכם ארבעה הם בעצם המתלוננים.</w:t>
      </w:r>
    </w:p>
    <w:p w14:paraId="57995972" w14:textId="77777777" w:rsidR="00AC3854" w:rsidRDefault="00AC3854">
      <w:pPr>
        <w:pStyle w:val="1"/>
        <w:spacing w:line="360" w:lineRule="auto"/>
        <w:jc w:val="both"/>
        <w:rPr>
          <w:rFonts w:hint="cs"/>
          <w:sz w:val="30"/>
          <w:rtl/>
        </w:rPr>
      </w:pPr>
    </w:p>
    <w:p w14:paraId="310946F4" w14:textId="77777777" w:rsidR="00AC3854" w:rsidRDefault="00AC3854">
      <w:pPr>
        <w:pStyle w:val="1"/>
        <w:spacing w:line="360" w:lineRule="auto"/>
        <w:jc w:val="both"/>
        <w:rPr>
          <w:rFonts w:hint="cs"/>
          <w:sz w:val="30"/>
          <w:rtl/>
        </w:rPr>
      </w:pPr>
      <w:r>
        <w:rPr>
          <w:rFonts w:hint="cs"/>
          <w:sz w:val="30"/>
          <w:rtl/>
        </w:rPr>
        <w:t>עדי התביעה סוזן ויוסף לוי העידו בפני בית המשפט כי ראו מביתם אשר נמצא בקומה הרביעית, את הנאשם עומד למטה עירום כביום היוולדו עם כיסוי לבן על פניו, תחת פנס בשעה 02:15 בלילה ומאונן.</w:t>
      </w:r>
    </w:p>
    <w:p w14:paraId="4BF3BEA1" w14:textId="77777777" w:rsidR="00AC3854" w:rsidRDefault="00AC3854">
      <w:pPr>
        <w:pStyle w:val="1"/>
        <w:spacing w:line="360" w:lineRule="auto"/>
        <w:jc w:val="both"/>
        <w:rPr>
          <w:rFonts w:hint="cs"/>
          <w:sz w:val="30"/>
          <w:rtl/>
        </w:rPr>
      </w:pPr>
    </w:p>
    <w:p w14:paraId="60E504F9" w14:textId="77777777" w:rsidR="00AC3854" w:rsidRDefault="00AC3854">
      <w:pPr>
        <w:pStyle w:val="1"/>
        <w:spacing w:line="360" w:lineRule="auto"/>
        <w:jc w:val="both"/>
        <w:rPr>
          <w:rFonts w:hint="cs"/>
          <w:sz w:val="30"/>
          <w:rtl/>
        </w:rPr>
      </w:pPr>
      <w:r>
        <w:rPr>
          <w:rFonts w:hint="cs"/>
          <w:sz w:val="30"/>
          <w:rtl/>
        </w:rPr>
        <w:t>לשאלת בית המשפט האם מזהים הם את הנאשם, ענה יוסף לוי כי הוא מכיר את הנאשם ורואה אותו ברחוב כמעט כל יום.</w:t>
      </w:r>
    </w:p>
    <w:p w14:paraId="4CFCA02B" w14:textId="77777777" w:rsidR="00AC3854" w:rsidRDefault="00AC3854">
      <w:pPr>
        <w:pStyle w:val="1"/>
        <w:spacing w:line="360" w:lineRule="auto"/>
        <w:jc w:val="both"/>
        <w:rPr>
          <w:rFonts w:hint="cs"/>
          <w:sz w:val="30"/>
          <w:rtl/>
        </w:rPr>
      </w:pPr>
      <w:r>
        <w:rPr>
          <w:rFonts w:hint="cs"/>
          <w:sz w:val="30"/>
          <w:rtl/>
        </w:rPr>
        <w:t>כלומר, המתלונן בעצם הסתמך בזיהויו  את הנאשם על היכרות מוקדמת עימו ומצא קשר בין הדמות שראה לבין הנאשם שהוא מכיר מהשכונה ומייד קישר ביניהם והחליט כי  מבצע המעשה זה בעצם השכן שהוא מכיר מהשכונה.</w:t>
      </w:r>
    </w:p>
    <w:p w14:paraId="1299780D" w14:textId="77777777" w:rsidR="00AC3854" w:rsidRDefault="00AC3854">
      <w:pPr>
        <w:pStyle w:val="1"/>
        <w:spacing w:line="360" w:lineRule="auto"/>
        <w:jc w:val="both"/>
        <w:rPr>
          <w:rFonts w:hint="cs"/>
          <w:sz w:val="30"/>
          <w:rtl/>
        </w:rPr>
      </w:pPr>
    </w:p>
    <w:p w14:paraId="249F49D0" w14:textId="77777777" w:rsidR="00AC3854" w:rsidRDefault="00AC3854">
      <w:pPr>
        <w:pStyle w:val="1"/>
        <w:spacing w:line="360" w:lineRule="auto"/>
        <w:jc w:val="both"/>
        <w:rPr>
          <w:rFonts w:hint="cs"/>
          <w:sz w:val="30"/>
          <w:rtl/>
        </w:rPr>
      </w:pPr>
      <w:r>
        <w:rPr>
          <w:rFonts w:hint="cs"/>
          <w:sz w:val="30"/>
          <w:rtl/>
        </w:rPr>
        <w:t xml:space="preserve">זאת ועוד, המרחק בין ביתם של המתלוננים לבין המקום שבו עמד הנאשם הינו מרחק רב </w:t>
      </w:r>
      <w:r>
        <w:rPr>
          <w:rFonts w:hint="cs"/>
          <w:sz w:val="30"/>
        </w:rPr>
        <w:t xml:space="preserve"> </w:t>
      </w:r>
      <w:r>
        <w:rPr>
          <w:rFonts w:hint="cs"/>
          <w:sz w:val="30"/>
          <w:rtl/>
        </w:rPr>
        <w:t>של כ 30-20 מטרים, (וזאת ע"פ התמונות שהוצגו בפני נ/4), השעה היתה 02:15 בלילה, מזג האויר על פי העדויות היה גשום (כאמור חודש בפברואר), ומבצע המעשה היה מכוסה במטפחת לבנה על כל פניו, כלומר נראה כי אפשרות הזיהוי בנתונים אלו היא אפסית וכמעט בלתי אפשרית, וכי הסניגור המלומד אכן צודק בטענתו כי המתלוננים פעלו בצורה די טבעית באשר הם מקשרים בין הדמות שראו, ע"פ מבנה גוף לבין הנאשם שמתגורר באותה שכונה.</w:t>
      </w:r>
    </w:p>
    <w:p w14:paraId="0DDF8828" w14:textId="77777777" w:rsidR="00AC3854" w:rsidRDefault="00AC3854">
      <w:pPr>
        <w:pStyle w:val="1"/>
        <w:spacing w:line="360" w:lineRule="auto"/>
        <w:jc w:val="both"/>
        <w:rPr>
          <w:rFonts w:hint="cs"/>
          <w:sz w:val="30"/>
          <w:rtl/>
        </w:rPr>
      </w:pPr>
    </w:p>
    <w:p w14:paraId="537726F8" w14:textId="77777777" w:rsidR="00AC3854" w:rsidRDefault="00AC3854">
      <w:pPr>
        <w:pStyle w:val="1"/>
        <w:spacing w:line="360" w:lineRule="auto"/>
        <w:jc w:val="both"/>
        <w:rPr>
          <w:rFonts w:hint="cs"/>
          <w:sz w:val="30"/>
          <w:rtl/>
        </w:rPr>
      </w:pPr>
      <w:r>
        <w:rPr>
          <w:rFonts w:hint="cs"/>
          <w:sz w:val="30"/>
          <w:rtl/>
        </w:rPr>
        <w:t>בנוסף, אם אכן העד יוסף לוי זיהה את הדמות שראה וידע מיד שמדובר בנאשם מדוע לא ירד לשוטרים באותו לילה ומסר להם כי מדובר בנאשם והצביע על מקום מגוריו? עובדה זו מחזקת את טענתו של הסניגור שאכן מדובר במקרה זה בראייה נסיבתית בלבד המקשרת את הנאשם לאירוע נשוא כתב האישום.</w:t>
      </w:r>
    </w:p>
    <w:p w14:paraId="1D1EDA07" w14:textId="77777777" w:rsidR="00AC3854" w:rsidRDefault="00AC3854">
      <w:pPr>
        <w:pStyle w:val="1"/>
        <w:spacing w:line="360" w:lineRule="auto"/>
        <w:jc w:val="both"/>
        <w:rPr>
          <w:rFonts w:hint="cs"/>
          <w:sz w:val="30"/>
          <w:rtl/>
        </w:rPr>
      </w:pPr>
    </w:p>
    <w:p w14:paraId="439F0187" w14:textId="77777777" w:rsidR="00AC3854" w:rsidRDefault="00AC3854">
      <w:pPr>
        <w:pStyle w:val="1"/>
        <w:spacing w:line="360" w:lineRule="auto"/>
        <w:jc w:val="both"/>
        <w:rPr>
          <w:rFonts w:hint="cs"/>
          <w:sz w:val="30"/>
          <w:rtl/>
        </w:rPr>
      </w:pPr>
      <w:r>
        <w:rPr>
          <w:rFonts w:hint="cs"/>
          <w:sz w:val="30"/>
          <w:rtl/>
        </w:rPr>
        <w:t xml:space="preserve">לעניין טענות הסניגור באשר לסתירות שמצא בין עדותו של מר יוסף לוי לבין עדותה של הגב' סוזנה לוי אינני מוצא לנכון לציין אותם בהכרעת הדין וזאת מן הטעם שלא זיהו את הנאשם ע"פ מראה פניו, אלא רק ע"פ מבנה גופו הגדול, צורת הליכתו ושיערו הארוך, ובנקודה זו, תמים דעים אני עם הסניגור כי </w:t>
      </w:r>
      <w:r>
        <w:rPr>
          <w:rFonts w:hint="cs"/>
          <w:sz w:val="30"/>
          <w:u w:val="single"/>
          <w:rtl/>
        </w:rPr>
        <w:t>מדובר בראיות נסיבתיות אשר אינן יכולות להוביל למסקנה אחת ויחידה כי המדובר בנאשם</w:t>
      </w:r>
      <w:r>
        <w:rPr>
          <w:rFonts w:hint="cs"/>
          <w:sz w:val="30"/>
          <w:rtl/>
        </w:rPr>
        <w:t xml:space="preserve">, אלא ניתן להתאימן כמעט לכל אדם בעל מבנה גוף גדול, שיער ארוך וכרס. </w:t>
      </w:r>
    </w:p>
    <w:p w14:paraId="460A80B8" w14:textId="77777777" w:rsidR="00AC3854" w:rsidRDefault="00AC3854">
      <w:pPr>
        <w:pStyle w:val="1"/>
        <w:spacing w:line="360" w:lineRule="auto"/>
        <w:jc w:val="both"/>
        <w:rPr>
          <w:rFonts w:hint="cs"/>
          <w:sz w:val="30"/>
          <w:rtl/>
        </w:rPr>
      </w:pPr>
    </w:p>
    <w:p w14:paraId="1BF8E32B" w14:textId="77777777" w:rsidR="00AC3854" w:rsidRDefault="00AC3854">
      <w:pPr>
        <w:pStyle w:val="1"/>
        <w:spacing w:line="360" w:lineRule="auto"/>
        <w:jc w:val="both"/>
        <w:rPr>
          <w:rFonts w:hint="cs"/>
          <w:sz w:val="30"/>
          <w:rtl/>
        </w:rPr>
      </w:pPr>
      <w:r>
        <w:rPr>
          <w:rFonts w:hint="cs"/>
          <w:sz w:val="30"/>
          <w:rtl/>
        </w:rPr>
        <w:t>לגבי האישום השני, מדובר בשתי מתלוננות קרן שרייבהנד ועינת יוסף גם שתי העדות הללו אשר העידו בפני בית המשפט לא יכולות לזהות את הנאשם בוודאות כי לא ראו את פניו אלא רק דמות ומבנה גוף.</w:t>
      </w:r>
    </w:p>
    <w:p w14:paraId="362FB7AC" w14:textId="77777777" w:rsidR="00AC3854" w:rsidRDefault="00AC3854">
      <w:pPr>
        <w:pStyle w:val="1"/>
        <w:spacing w:line="360" w:lineRule="auto"/>
        <w:jc w:val="both"/>
        <w:rPr>
          <w:rFonts w:hint="cs"/>
          <w:sz w:val="30"/>
          <w:rtl/>
        </w:rPr>
      </w:pPr>
      <w:r>
        <w:rPr>
          <w:rFonts w:hint="cs"/>
          <w:sz w:val="30"/>
          <w:rtl/>
        </w:rPr>
        <w:t xml:space="preserve">העדה עינת, נשאלה האם יכולה היא לזהות את הנאשם ותשובתה לכך שלילית,לטענתה לא ראתה את פניו, וכן היה לילה גשום (עמ' 24 לפרוטוקול שורות 20-19), אך לדבריה היא יודעת במי מדובר. </w:t>
      </w:r>
    </w:p>
    <w:p w14:paraId="5FA60D29" w14:textId="77777777" w:rsidR="00AC3854" w:rsidRDefault="00AC3854">
      <w:pPr>
        <w:pStyle w:val="1"/>
        <w:spacing w:line="360" w:lineRule="auto"/>
        <w:jc w:val="both"/>
        <w:rPr>
          <w:rFonts w:hint="cs"/>
          <w:sz w:val="30"/>
          <w:rtl/>
        </w:rPr>
      </w:pPr>
    </w:p>
    <w:p w14:paraId="0053C945" w14:textId="77777777" w:rsidR="00AC3854" w:rsidRDefault="00AC3854">
      <w:pPr>
        <w:pStyle w:val="1"/>
        <w:spacing w:line="360" w:lineRule="auto"/>
        <w:jc w:val="both"/>
        <w:rPr>
          <w:rFonts w:hint="cs"/>
          <w:sz w:val="30"/>
          <w:rtl/>
        </w:rPr>
      </w:pPr>
    </w:p>
    <w:p w14:paraId="295D1AB5" w14:textId="77777777" w:rsidR="00AC3854" w:rsidRDefault="00AC3854">
      <w:pPr>
        <w:pStyle w:val="1"/>
        <w:spacing w:line="360" w:lineRule="auto"/>
        <w:jc w:val="both"/>
        <w:rPr>
          <w:rFonts w:hint="cs"/>
          <w:sz w:val="30"/>
          <w:rtl/>
        </w:rPr>
      </w:pPr>
      <w:r>
        <w:rPr>
          <w:rFonts w:hint="cs"/>
          <w:sz w:val="30"/>
          <w:rtl/>
        </w:rPr>
        <w:t xml:space="preserve">לעניין סעיף 3 לאישום השני, עפ"י גירסת שתי המתלוננת קרן ועינת, הנאשם עמד בחלון ביתו ואונן. בעדותה של עינת בבית המשפט טענה כי "לא זוכרת אם הוא אונן מהחלון, רק זוכרת שעמד בחלון בלי  חולצה... (ורק לאחר שהתביעה רעננה את זכרונה, אמרה כי אם אמרה במשטרה שהוא אונן אז כנראה זה מה שהיה, כלומר ניתן לראות שהעדה לא נחרצת בעדותה לגבי פרטי המקרה, למרות שסביר היה כי פרט כה </w:t>
      </w:r>
      <w:r>
        <w:rPr>
          <w:rFonts w:hint="cs"/>
          <w:sz w:val="30"/>
          <w:u w:val="single"/>
          <w:rtl/>
        </w:rPr>
        <w:t>מהותי</w:t>
      </w:r>
      <w:r>
        <w:rPr>
          <w:rFonts w:hint="cs"/>
          <w:sz w:val="30"/>
          <w:rtl/>
        </w:rPr>
        <w:t xml:space="preserve"> צריכה היא לזכור ולא לשכוח כי הרי על כך נסוב כתב האישום כנגד הנאשם שבפניי. </w:t>
      </w:r>
    </w:p>
    <w:p w14:paraId="73D665E6" w14:textId="77777777" w:rsidR="00AC3854" w:rsidRDefault="00AC3854">
      <w:pPr>
        <w:pStyle w:val="1"/>
        <w:spacing w:line="360" w:lineRule="auto"/>
        <w:jc w:val="both"/>
        <w:rPr>
          <w:rFonts w:hint="cs"/>
          <w:sz w:val="30"/>
          <w:rtl/>
        </w:rPr>
      </w:pPr>
    </w:p>
    <w:p w14:paraId="0310101C" w14:textId="77777777" w:rsidR="00AC3854" w:rsidRDefault="00AC3854">
      <w:pPr>
        <w:pStyle w:val="1"/>
        <w:spacing w:line="360" w:lineRule="auto"/>
        <w:jc w:val="both"/>
        <w:rPr>
          <w:rFonts w:hint="cs"/>
          <w:sz w:val="30"/>
          <w:rtl/>
        </w:rPr>
      </w:pPr>
      <w:r>
        <w:rPr>
          <w:rFonts w:hint="cs"/>
          <w:sz w:val="30"/>
          <w:rtl/>
        </w:rPr>
        <w:t xml:space="preserve">בעמוד 30 שורות 6-1 לפרוטוקול, אומרת עינת בבית המשפט כי "השכנה סיפרה לי שהיא מכירה אותו וכי הוא ידוע בשכונה, והראתה לי את הבית שלו. היא הצביעה על החלון של הבית שלו, איני זוכרת היכן גר, או בקומה הראשונה או בקומה השניה. זו הפעם הראשונה שהבנתי שהאלמוני שמסתובב בשכונה ומאונן, זה האדם שגר ממולי". </w:t>
      </w:r>
    </w:p>
    <w:p w14:paraId="1A46B6D9" w14:textId="77777777" w:rsidR="00AC3854" w:rsidRDefault="00AC3854">
      <w:pPr>
        <w:pStyle w:val="1"/>
        <w:spacing w:line="360" w:lineRule="auto"/>
        <w:jc w:val="both"/>
        <w:rPr>
          <w:rFonts w:hint="cs"/>
          <w:sz w:val="30"/>
          <w:rtl/>
        </w:rPr>
      </w:pPr>
      <w:r>
        <w:rPr>
          <w:rFonts w:hint="cs"/>
          <w:sz w:val="30"/>
          <w:rtl/>
        </w:rPr>
        <w:t xml:space="preserve">זוהי עובדה נוספת המחזקת את עמדת הסניגוריה. </w:t>
      </w:r>
    </w:p>
    <w:p w14:paraId="25E170E9" w14:textId="77777777" w:rsidR="00AC3854" w:rsidRDefault="00AC3854">
      <w:pPr>
        <w:pStyle w:val="1"/>
        <w:spacing w:line="360" w:lineRule="auto"/>
        <w:jc w:val="both"/>
        <w:rPr>
          <w:rFonts w:hint="cs"/>
          <w:sz w:val="30"/>
          <w:rtl/>
        </w:rPr>
      </w:pPr>
    </w:p>
    <w:p w14:paraId="54B56F76" w14:textId="77777777" w:rsidR="00AC3854" w:rsidRDefault="00AC3854">
      <w:pPr>
        <w:pStyle w:val="1"/>
        <w:spacing w:line="360" w:lineRule="auto"/>
        <w:jc w:val="both"/>
        <w:rPr>
          <w:rFonts w:hint="cs"/>
          <w:sz w:val="30"/>
          <w:rtl/>
        </w:rPr>
      </w:pPr>
      <w:r>
        <w:rPr>
          <w:rFonts w:hint="cs"/>
          <w:sz w:val="30"/>
          <w:rtl/>
        </w:rPr>
        <w:t xml:space="preserve">מכאן המסקנה, כי עדת התביעה העדה עינת יוסף הסתמכה על דברי שכנה ולא זיהתה את הנאשם בעצמה כאותו אלמוני שביצע את המעשים המיוחסים לו בכתב האישום, כך שהמדובר בעדות שמיעה בלתי קבילה. </w:t>
      </w:r>
    </w:p>
    <w:p w14:paraId="4F81F362" w14:textId="77777777" w:rsidR="00AC3854" w:rsidRDefault="00AC3854">
      <w:pPr>
        <w:pStyle w:val="1"/>
        <w:spacing w:line="360" w:lineRule="auto"/>
        <w:jc w:val="both"/>
        <w:rPr>
          <w:rFonts w:hint="cs"/>
          <w:sz w:val="30"/>
          <w:rtl/>
        </w:rPr>
      </w:pPr>
    </w:p>
    <w:p w14:paraId="4762D78F" w14:textId="77777777" w:rsidR="00AC3854" w:rsidRDefault="00AC3854">
      <w:pPr>
        <w:pStyle w:val="1"/>
        <w:spacing w:line="360" w:lineRule="auto"/>
        <w:jc w:val="both"/>
        <w:rPr>
          <w:rFonts w:hint="cs"/>
          <w:sz w:val="30"/>
          <w:rtl/>
        </w:rPr>
      </w:pPr>
      <w:r>
        <w:rPr>
          <w:rFonts w:hint="cs"/>
          <w:sz w:val="30"/>
          <w:rtl/>
        </w:rPr>
        <w:t xml:space="preserve">עדת התביעה קרן שרייבהנד העידה, כי לא יכלה לזהות את הנאשם לפי מראה פנים, אך יכולה לפי מבנה גוף (עמ' 33 שורות 26-22 לפרוטוקול). זאת ועוד, קרן לא אמרה למשטרה היכן גר החשוד כיוון שלא ידעה ולדבריה גם עינת לא ידעה (עמ' 34 שורות 12-10 מכאן שלא הוכח כלל וכלל מי הפנה את השוטרים לביתו של הנאשם. </w:t>
      </w:r>
    </w:p>
    <w:p w14:paraId="35F46470" w14:textId="77777777" w:rsidR="00AC3854" w:rsidRDefault="00AC3854">
      <w:pPr>
        <w:pStyle w:val="1"/>
        <w:spacing w:line="360" w:lineRule="auto"/>
        <w:jc w:val="both"/>
        <w:rPr>
          <w:rFonts w:hint="cs"/>
          <w:sz w:val="30"/>
          <w:rtl/>
        </w:rPr>
      </w:pPr>
    </w:p>
    <w:p w14:paraId="7BBDEE35" w14:textId="77777777" w:rsidR="00AC3854" w:rsidRDefault="00AC3854">
      <w:pPr>
        <w:pStyle w:val="1"/>
        <w:spacing w:line="360" w:lineRule="auto"/>
        <w:jc w:val="both"/>
        <w:rPr>
          <w:rFonts w:hint="cs"/>
          <w:sz w:val="30"/>
          <w:rtl/>
        </w:rPr>
      </w:pPr>
      <w:r>
        <w:rPr>
          <w:rFonts w:hint="cs"/>
          <w:sz w:val="30"/>
          <w:rtl/>
        </w:rPr>
        <w:t xml:space="preserve">הוגשו לבית המשפט תמונות אשר צולמו מס' ימים לאחר הארוע נשוא האישום השני המתארות את מקום מגוריו של הנאשם שבפניי ואת חלון חדרו (נ/3). </w:t>
      </w:r>
    </w:p>
    <w:p w14:paraId="40685912" w14:textId="77777777" w:rsidR="00AC3854" w:rsidRDefault="00AC3854">
      <w:pPr>
        <w:pStyle w:val="1"/>
        <w:spacing w:line="360" w:lineRule="auto"/>
        <w:jc w:val="both"/>
        <w:rPr>
          <w:rFonts w:hint="cs"/>
          <w:sz w:val="30"/>
          <w:rtl/>
        </w:rPr>
      </w:pPr>
    </w:p>
    <w:p w14:paraId="7E2DDE14" w14:textId="77777777" w:rsidR="00AC3854" w:rsidRDefault="00AC3854">
      <w:pPr>
        <w:pStyle w:val="1"/>
        <w:spacing w:line="360" w:lineRule="auto"/>
        <w:jc w:val="both"/>
        <w:rPr>
          <w:rFonts w:hint="cs"/>
          <w:sz w:val="30"/>
          <w:rtl/>
        </w:rPr>
      </w:pPr>
      <w:r>
        <w:rPr>
          <w:rFonts w:hint="cs"/>
          <w:sz w:val="30"/>
          <w:rtl/>
        </w:rPr>
        <w:t xml:space="preserve">עפ"י התמונות ניתן לקבוע כמעט בוודאות כי מי שעומד מול החלון אשר בתמונות איננו יכול להבחין בנעשה בחדרו של הנאשם, וזאת מפאת העובדה כי קיימת צמחייה בגובה רב המכסה את כל חלון חדרו של הנאשם. עובדה זו פועלת לטובתו של הנאשם ולפחות מעלה בספק את זיהויו כאותו אלמוני מתערטל. </w:t>
      </w:r>
    </w:p>
    <w:p w14:paraId="40AD9D9A" w14:textId="77777777" w:rsidR="00AC3854" w:rsidRDefault="00AC3854">
      <w:pPr>
        <w:pStyle w:val="1"/>
        <w:spacing w:line="360" w:lineRule="auto"/>
        <w:jc w:val="both"/>
        <w:rPr>
          <w:rFonts w:hint="cs"/>
          <w:sz w:val="30"/>
          <w:rtl/>
        </w:rPr>
      </w:pPr>
    </w:p>
    <w:p w14:paraId="5F83EBFE" w14:textId="77777777" w:rsidR="00AC3854" w:rsidRDefault="00AC3854">
      <w:pPr>
        <w:pStyle w:val="1"/>
        <w:spacing w:line="360" w:lineRule="auto"/>
        <w:jc w:val="both"/>
        <w:rPr>
          <w:rFonts w:hint="cs"/>
          <w:sz w:val="30"/>
          <w:rtl/>
        </w:rPr>
      </w:pPr>
      <w:r>
        <w:rPr>
          <w:rFonts w:hint="cs"/>
          <w:sz w:val="30"/>
          <w:rtl/>
        </w:rPr>
        <w:t xml:space="preserve">העובדה שביום 8.2.98, הגיעו שוטרים לדירתו של הנאשם בלילה, דפקו בדלת והעירו את אביו של הנאשם שפתח להם את הדלת. לתדהמת השוטרים הם  מצאו את הנאשם ישן שנת ישרים, וכן לא מצאו שום עקבות המעידות על כך כי מישהו מבני המשפחה הגיע מבחוץ בשעות האחרונות וזאת בשל העובדה שהיה לילה גשום ולא היו סימני רטיבות בדרך לדירת הנאשם, אף היא פועלת לטובת גירסת הנאשם ומעלה בספק סביר את זיהויו. </w:t>
      </w:r>
    </w:p>
    <w:p w14:paraId="63016150" w14:textId="77777777" w:rsidR="00AC3854" w:rsidRDefault="00AC3854">
      <w:pPr>
        <w:pStyle w:val="1"/>
        <w:spacing w:line="360" w:lineRule="auto"/>
        <w:jc w:val="both"/>
        <w:rPr>
          <w:rFonts w:hint="cs"/>
          <w:sz w:val="30"/>
          <w:rtl/>
        </w:rPr>
      </w:pPr>
    </w:p>
    <w:p w14:paraId="46FF256F" w14:textId="77777777" w:rsidR="00AC3854" w:rsidRDefault="00AC3854">
      <w:pPr>
        <w:pStyle w:val="1"/>
        <w:spacing w:line="360" w:lineRule="auto"/>
        <w:jc w:val="both"/>
        <w:rPr>
          <w:rFonts w:hint="cs"/>
          <w:sz w:val="30"/>
          <w:rtl/>
        </w:rPr>
      </w:pPr>
      <w:r>
        <w:rPr>
          <w:rFonts w:hint="cs"/>
          <w:sz w:val="30"/>
          <w:rtl/>
        </w:rPr>
        <w:t xml:space="preserve">לאור כל האמור לעיל, ולאחר שעיינתי עיין היטב בחומר הראיות מחליט אני כדלקמן: </w:t>
      </w:r>
    </w:p>
    <w:p w14:paraId="454BF854" w14:textId="77777777" w:rsidR="00AC3854" w:rsidRDefault="00AC3854">
      <w:pPr>
        <w:pStyle w:val="1"/>
        <w:spacing w:line="360" w:lineRule="auto"/>
        <w:jc w:val="both"/>
        <w:rPr>
          <w:rFonts w:hint="cs"/>
          <w:sz w:val="30"/>
          <w:rtl/>
        </w:rPr>
      </w:pPr>
      <w:r>
        <w:rPr>
          <w:rFonts w:hint="cs"/>
          <w:sz w:val="30"/>
          <w:rtl/>
        </w:rPr>
        <w:t xml:space="preserve">הראיות הנסיבתיות אינן מצביעות חד משמעית לכוונו של הנאשם ומעלות אפשרות כי כל אדם בעל מבנה גוף כשל הנאשם, וצורת הליכתו, אשר היה מצוי במקום האירוע, יכול היה לבצע את העבירות נשוא כתב האישום, ומכאן שיש לזכות את הנאשם, לפחות מן הספק. </w:t>
      </w:r>
    </w:p>
    <w:p w14:paraId="0E8282AA" w14:textId="77777777" w:rsidR="00AC3854" w:rsidRDefault="00AC3854">
      <w:pPr>
        <w:rPr>
          <w:rFonts w:hint="cs"/>
          <w:b/>
          <w:bCs/>
          <w:color w:val="000000"/>
          <w:rtl/>
        </w:rPr>
      </w:pPr>
    </w:p>
    <w:p w14:paraId="3FDB668F" w14:textId="77777777" w:rsidR="00AC3854" w:rsidRDefault="00AC3854">
      <w:pPr>
        <w:rPr>
          <w:b/>
          <w:bCs/>
          <w:color w:val="FFFFFF"/>
          <w:sz w:val="2"/>
          <w:szCs w:val="2"/>
          <w:rtl/>
        </w:rPr>
      </w:pPr>
    </w:p>
    <w:p w14:paraId="5EFA5BA2" w14:textId="77777777" w:rsidR="00AC3854" w:rsidRDefault="00AC3854">
      <w:pPr>
        <w:rPr>
          <w:b/>
          <w:bCs/>
          <w:color w:val="FFFFFF"/>
          <w:sz w:val="2"/>
          <w:szCs w:val="2"/>
          <w:rtl/>
        </w:rPr>
      </w:pPr>
      <w:r>
        <w:rPr>
          <w:b/>
          <w:bCs/>
          <w:color w:val="FFFFFF"/>
          <w:sz w:val="2"/>
          <w:szCs w:val="2"/>
          <w:rtl/>
        </w:rPr>
        <w:t>5129371</w:t>
      </w:r>
    </w:p>
    <w:p w14:paraId="459A2DF8" w14:textId="77777777" w:rsidR="00AC3854" w:rsidRDefault="00AC3854">
      <w:pPr>
        <w:rPr>
          <w:rFonts w:hint="cs"/>
          <w:b/>
          <w:bCs/>
          <w:color w:val="000000"/>
          <w:rtl/>
        </w:rPr>
      </w:pPr>
      <w:r>
        <w:rPr>
          <w:b/>
          <w:bCs/>
          <w:color w:val="FFFFFF"/>
          <w:sz w:val="2"/>
          <w:szCs w:val="2"/>
          <w:rtl/>
        </w:rPr>
        <w:t>54678313</w:t>
      </w:r>
      <w:r>
        <w:rPr>
          <w:b/>
          <w:bCs/>
          <w:color w:val="000000"/>
          <w:rtl/>
        </w:rPr>
        <w:t xml:space="preserve">ניתנה היום י' בטבת, תשס"ג (15 בדצמבר 2002) בנוכחות התובעת עו"ד שמיר, הנאשם בעצמו וב"כ </w:t>
      </w:r>
      <w:r>
        <w:rPr>
          <w:rFonts w:hint="cs"/>
          <w:b/>
          <w:bCs/>
          <w:color w:val="000000"/>
          <w:rtl/>
        </w:rPr>
        <w:t>עו"ד מלמד ארז.</w:t>
      </w:r>
    </w:p>
    <w:p w14:paraId="46E24DF2" w14:textId="77777777" w:rsidR="00AC3854" w:rsidRDefault="00AC3854">
      <w:pPr>
        <w:rPr>
          <w:rFonts w:hint="cs"/>
          <w:b/>
          <w:bCs/>
          <w:color w:val="000000"/>
          <w:rtl/>
        </w:rPr>
      </w:pPr>
    </w:p>
    <w:p w14:paraId="72D5285C" w14:textId="77777777" w:rsidR="00AC3854" w:rsidRDefault="00AC3854">
      <w:pPr>
        <w:rPr>
          <w:rFonts w:hint="cs"/>
          <w:b/>
          <w:bCs/>
          <w:color w:val="000000"/>
          <w:rtl/>
        </w:rPr>
      </w:pPr>
      <w:r>
        <w:rPr>
          <w:rFonts w:hint="cs"/>
          <w:b/>
          <w:bCs/>
          <w:color w:val="000000"/>
          <w:rtl/>
        </w:rPr>
        <w:t>ערעור תוך 45 יום לבית המשפט המחוזי.</w:t>
      </w:r>
    </w:p>
    <w:p w14:paraId="767A3D64" w14:textId="77777777" w:rsidR="00AC3854" w:rsidRDefault="00AC3854">
      <w:pPr>
        <w:keepNext/>
        <w:jc w:val="left"/>
        <w:rPr>
          <w:rFonts w:hAnsi="David" w:hint="cs"/>
          <w:color w:val="FFFFFF"/>
          <w:sz w:val="2"/>
          <w:szCs w:val="2"/>
          <w:rtl/>
        </w:rPr>
      </w:pPr>
    </w:p>
    <w:p w14:paraId="4A921BCA" w14:textId="77777777" w:rsidR="00AC3854" w:rsidRDefault="00AC3854">
      <w:pPr>
        <w:keepNext/>
        <w:jc w:val="left"/>
        <w:rPr>
          <w:rFonts w:hAnsi="David"/>
          <w:color w:val="FFFFFF"/>
          <w:sz w:val="2"/>
          <w:szCs w:val="2"/>
          <w:rtl/>
        </w:rPr>
      </w:pPr>
      <w:r>
        <w:rPr>
          <w:rFonts w:hAnsi="David"/>
          <w:color w:val="FFFFFF"/>
          <w:sz w:val="2"/>
          <w:szCs w:val="2"/>
          <w:rtl/>
        </w:rPr>
        <w:t>5129371</w:t>
      </w:r>
    </w:p>
    <w:p w14:paraId="6240F4F7" w14:textId="77777777" w:rsidR="00AC3854" w:rsidRDefault="00AC3854">
      <w:pPr>
        <w:keepNext/>
        <w:jc w:val="left"/>
        <w:rPr>
          <w:rFonts w:hAnsi="David" w:hint="cs"/>
          <w:color w:val="000000"/>
          <w:sz w:val="22"/>
          <w:szCs w:val="22"/>
          <w:rtl/>
        </w:rPr>
      </w:pPr>
      <w:r>
        <w:rPr>
          <w:rFonts w:hAnsi="David"/>
          <w:color w:val="FFFFFF"/>
          <w:sz w:val="2"/>
          <w:szCs w:val="2"/>
          <w:rtl/>
        </w:rPr>
        <w:t>54678313</w:t>
      </w:r>
    </w:p>
    <w:p w14:paraId="710286BD" w14:textId="77777777" w:rsidR="00AC3854" w:rsidRDefault="00AC3854">
      <w:pPr>
        <w:keepNext/>
        <w:jc w:val="left"/>
        <w:rPr>
          <w:rFonts w:hAnsi="David" w:hint="cs"/>
          <w:color w:val="000000"/>
          <w:sz w:val="22"/>
          <w:szCs w:val="22"/>
          <w:rtl/>
        </w:rPr>
      </w:pPr>
    </w:p>
    <w:p w14:paraId="08F7E6CB" w14:textId="77777777" w:rsidR="00AC3854" w:rsidRDefault="00AC3854">
      <w:pPr>
        <w:keepNext/>
        <w:jc w:val="left"/>
        <w:rPr>
          <w:rFonts w:hAnsi="David"/>
          <w:color w:val="000000"/>
          <w:sz w:val="22"/>
          <w:szCs w:val="22"/>
          <w:rtl/>
        </w:rPr>
      </w:pPr>
      <w:r>
        <w:rPr>
          <w:rFonts w:hAnsi="David"/>
          <w:color w:val="000000"/>
          <w:sz w:val="22"/>
          <w:szCs w:val="22"/>
          <w:rtl/>
        </w:rPr>
        <w:t>צבי הרטל 54678313-1711/99</w:t>
      </w:r>
    </w:p>
    <w:p w14:paraId="295D9D0A" w14:textId="77777777" w:rsidR="00AC3854" w:rsidRDefault="00AC3854">
      <w:pPr>
        <w:rPr>
          <w:rFonts w:hint="cs"/>
          <w:b/>
          <w:bCs/>
          <w:color w:val="000080"/>
          <w:rtl/>
        </w:rPr>
      </w:pPr>
    </w:p>
    <w:tbl>
      <w:tblPr>
        <w:tblW w:w="2376" w:type="dxa"/>
        <w:tblInd w:w="6480" w:type="dxa"/>
        <w:tblBorders>
          <w:top w:val="single" w:sz="4" w:space="0" w:color="auto"/>
        </w:tblBorders>
        <w:tblLook w:val="0000" w:firstRow="0" w:lastRow="0" w:firstColumn="0" w:lastColumn="0" w:noHBand="0" w:noVBand="0"/>
      </w:tblPr>
      <w:tblGrid>
        <w:gridCol w:w="2376"/>
      </w:tblGrid>
      <w:tr w:rsidR="00AC3854" w14:paraId="7DED79EA" w14:textId="77777777">
        <w:tc>
          <w:tcPr>
            <w:tcW w:w="2376" w:type="dxa"/>
            <w:tcBorders>
              <w:top w:val="single" w:sz="4" w:space="0" w:color="auto"/>
              <w:left w:val="nil"/>
              <w:bottom w:val="nil"/>
              <w:right w:val="nil"/>
            </w:tcBorders>
          </w:tcPr>
          <w:p w14:paraId="075E5151" w14:textId="77777777" w:rsidR="00AC3854" w:rsidRDefault="00AC3854">
            <w:pPr>
              <w:jc w:val="center"/>
              <w:rPr>
                <w:b/>
                <w:bCs/>
                <w:sz w:val="28"/>
                <w:szCs w:val="28"/>
              </w:rPr>
            </w:pPr>
            <w:r>
              <w:rPr>
                <w:rFonts w:hint="cs"/>
                <w:b/>
                <w:bCs/>
                <w:sz w:val="28"/>
                <w:szCs w:val="28"/>
                <w:rtl/>
              </w:rPr>
              <w:t>צבי הרטל, שופט</w:t>
            </w:r>
          </w:p>
          <w:p w14:paraId="48624B3F" w14:textId="77777777" w:rsidR="00AC3854" w:rsidRDefault="00AC3854">
            <w:pPr>
              <w:jc w:val="center"/>
              <w:rPr>
                <w:b/>
                <w:bCs/>
                <w:sz w:val="28"/>
                <w:szCs w:val="28"/>
              </w:rPr>
            </w:pPr>
            <w:r>
              <w:rPr>
                <w:rFonts w:hint="cs"/>
                <w:b/>
                <w:bCs/>
                <w:sz w:val="28"/>
                <w:szCs w:val="28"/>
                <w:rtl/>
              </w:rPr>
              <w:t>סגן-נשיא</w:t>
            </w:r>
          </w:p>
        </w:tc>
      </w:tr>
    </w:tbl>
    <w:p w14:paraId="1A6AF188" w14:textId="77777777" w:rsidR="00AC3854" w:rsidRDefault="00AC3854">
      <w:pPr>
        <w:jc w:val="left"/>
        <w:rPr>
          <w:rFonts w:hint="cs"/>
          <w:color w:val="000000"/>
          <w:rtl/>
        </w:rPr>
      </w:pPr>
      <w:r>
        <w:rPr>
          <w:rFonts w:hint="cs"/>
          <w:rtl/>
        </w:rPr>
        <w:t xml:space="preserve">001711/99ד'פ  133טובה. </w:t>
      </w:r>
    </w:p>
    <w:p w14:paraId="13C0BB10" w14:textId="77777777" w:rsidR="00AC3854" w:rsidRDefault="00AC3854">
      <w:pPr>
        <w:jc w:val="left"/>
        <w:rPr>
          <w:color w:val="000000"/>
          <w:rtl/>
        </w:rPr>
      </w:pPr>
      <w:r>
        <w:rPr>
          <w:color w:val="000000"/>
          <w:rtl/>
        </w:rPr>
        <w:t>נוסח מסמך זה כפוף לשינויי ניסוח ועריכה</w:t>
      </w:r>
    </w:p>
    <w:sectPr w:rsidR="00AC3854">
      <w:headerReference w:type="even" r:id="rId12"/>
      <w:headerReference w:type="default" r:id="rId13"/>
      <w:footerReference w:type="even" r:id="rId14"/>
      <w:footerReference w:type="default" r:id="rId1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9BCC" w14:textId="77777777" w:rsidR="00550F65" w:rsidRDefault="00550F65">
      <w:pPr>
        <w:spacing w:line="240" w:lineRule="auto"/>
      </w:pPr>
      <w:r>
        <w:separator/>
      </w:r>
    </w:p>
  </w:endnote>
  <w:endnote w:type="continuationSeparator" w:id="0">
    <w:p w14:paraId="1245291C" w14:textId="77777777" w:rsidR="00550F65" w:rsidRDefault="00550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882CB" w14:textId="77777777" w:rsidR="00ED157C" w:rsidRDefault="00ED157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B1E75FE" w14:textId="77777777" w:rsidR="00ED157C" w:rsidRDefault="00ED15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A17FB7" w14:textId="77777777" w:rsidR="00ED157C" w:rsidRDefault="00ED15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C:\nevo\09=Final-Dec=400-orly-sent\s99001711-435.doc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8F52" w14:textId="77777777" w:rsidR="00ED157C" w:rsidRDefault="00ED157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D7EC1">
      <w:rPr>
        <w:rFonts w:hAnsi="FrankRuehl" w:cs="FrankRuehl"/>
        <w:noProof/>
        <w:sz w:val="24"/>
        <w:rtl/>
      </w:rPr>
      <w:t>2</w:t>
    </w:r>
    <w:r>
      <w:rPr>
        <w:rFonts w:hAnsi="FrankRuehl" w:cs="FrankRuehl"/>
        <w:sz w:val="24"/>
        <w:rtl/>
      </w:rPr>
      <w:fldChar w:fldCharType="end"/>
    </w:r>
  </w:p>
  <w:p w14:paraId="4370F6B6" w14:textId="77777777" w:rsidR="00ED157C" w:rsidRDefault="00ED15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B572C1" w14:textId="77777777" w:rsidR="00ED157C" w:rsidRDefault="00ED15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C:\nevo\09=Final-Dec=400-orly-sent\s99001711-435.doc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0151" w14:textId="77777777" w:rsidR="00550F65" w:rsidRDefault="00550F65">
      <w:pPr>
        <w:spacing w:line="240" w:lineRule="auto"/>
      </w:pPr>
      <w:r>
        <w:separator/>
      </w:r>
    </w:p>
  </w:footnote>
  <w:footnote w:type="continuationSeparator" w:id="0">
    <w:p w14:paraId="10D83926" w14:textId="77777777" w:rsidR="00550F65" w:rsidRDefault="00550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DEFC3" w14:textId="77777777" w:rsidR="00ED157C" w:rsidRDefault="00ED15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1711/99</w:t>
    </w:r>
    <w:r>
      <w:rPr>
        <w:rFonts w:hAnsi="David"/>
        <w:color w:val="000000"/>
        <w:sz w:val="22"/>
        <w:szCs w:val="22"/>
        <w:rtl/>
      </w:rPr>
      <w:tab/>
      <w:t xml:space="preserve"> מדינת ישראל נ' זכאי גורג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AB09F" w14:textId="77777777" w:rsidR="00ED157C" w:rsidRDefault="00ED15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1711/99</w:t>
    </w:r>
    <w:r>
      <w:rPr>
        <w:rFonts w:hAnsi="David"/>
        <w:color w:val="000000"/>
        <w:sz w:val="22"/>
        <w:szCs w:val="22"/>
        <w:rtl/>
      </w:rPr>
      <w:tab/>
      <w:t xml:space="preserve"> מדינת ישראל נ' זכאי גורג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A44635"/>
    <w:rsid w:val="000D7EC1"/>
    <w:rsid w:val="003206E8"/>
    <w:rsid w:val="0037415C"/>
    <w:rsid w:val="00550F65"/>
    <w:rsid w:val="00600D0B"/>
    <w:rsid w:val="00A44635"/>
    <w:rsid w:val="00AC3854"/>
    <w:rsid w:val="00DB78F6"/>
    <w:rsid w:val="00ED15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B9C8F3"/>
  <w15:chartTrackingRefBased/>
  <w15:docId w15:val="{C4EF64AD-4B73-4D32-BBBA-CCB83B4B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4"/>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37415C"/>
    <w:rPr>
      <w:color w:val="0000FF"/>
      <w:u w:val="single"/>
    </w:rPr>
  </w:style>
  <w:style w:type="character" w:customStyle="1" w:styleId="a2">
    <w:name w:val="אזכור לא מזוהה"/>
    <w:uiPriority w:val="99"/>
    <w:semiHidden/>
    <w:unhideWhenUsed/>
    <w:rsid w:val="00600D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7946764"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case/17935528"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6178</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7247</CharactersWithSpaces>
  <SharedDoc>false</SharedDoc>
  <HLinks>
    <vt:vector size="36" baseType="variant">
      <vt:variant>
        <vt:i4>3670128</vt:i4>
      </vt:variant>
      <vt:variant>
        <vt:i4>15</vt:i4>
      </vt:variant>
      <vt:variant>
        <vt:i4>0</vt:i4>
      </vt:variant>
      <vt:variant>
        <vt:i4>5</vt:i4>
      </vt:variant>
      <vt:variant>
        <vt:lpwstr>http://www.nevo.co.il/case/17946764</vt:lpwstr>
      </vt:variant>
      <vt:variant>
        <vt:lpwstr/>
      </vt:variant>
      <vt:variant>
        <vt:i4>4128885</vt:i4>
      </vt:variant>
      <vt:variant>
        <vt:i4>12</vt:i4>
      </vt:variant>
      <vt:variant>
        <vt:i4>0</vt:i4>
      </vt:variant>
      <vt:variant>
        <vt:i4>5</vt:i4>
      </vt:variant>
      <vt:variant>
        <vt:lpwstr>http://www.nevo.co.il/case/17935528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2002-12-15T11:48:00Z</cp:lastPrinted>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1711</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זכאי גורג</vt:lpwstr>
  </property>
  <property fmtid="{D5CDD505-2E9C-101B-9397-08002B2CF9AE}" pid="9" name="LAWYER">
    <vt:lpwstr>מלמד ארז</vt:lpwstr>
  </property>
  <property fmtid="{D5CDD505-2E9C-101B-9397-08002B2CF9AE}" pid="10" name="JUDGE">
    <vt:lpwstr>צבי הרטל</vt:lpwstr>
  </property>
  <property fmtid="{D5CDD505-2E9C-101B-9397-08002B2CF9AE}" pid="11" name="CITY">
    <vt:lpwstr>רח'</vt:lpwstr>
  </property>
  <property fmtid="{D5CDD505-2E9C-101B-9397-08002B2CF9AE}" pid="12" name="DATE">
    <vt:lpwstr>20021215</vt:lpwstr>
  </property>
  <property fmtid="{D5CDD505-2E9C-101B-9397-08002B2CF9AE}" pid="13" name="WORDNUMPAGES">
    <vt:lpwstr>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17935528;17946764</vt:lpwstr>
  </property>
  <property fmtid="{D5CDD505-2E9C-101B-9397-08002B2CF9AE}" pid="32" name="CASENOTES1">
    <vt:lpwstr>ProcID=213&amp;PartA=20&amp;PartC=19</vt:lpwstr>
  </property>
  <property fmtid="{D5CDD505-2E9C-101B-9397-08002B2CF9AE}" pid="33" name="CASENOTES2">
    <vt:lpwstr>ProcID=213&amp;PartA=26&amp;PartC=22</vt:lpwstr>
  </property>
  <property fmtid="{D5CDD505-2E9C-101B-9397-08002B2CF9AE}" pid="34" name="CASENOTES3">
    <vt:lpwstr>ProcID=213&amp;PartA=12&amp;PartC=10</vt:lpwstr>
  </property>
  <property fmtid="{D5CDD505-2E9C-101B-9397-08002B2CF9AE}" pid="35" name="LAWLISTTMP1">
    <vt:lpwstr>70301/349.a</vt:lpwstr>
  </property>
</Properties>
</file>