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2A81" w14:textId="77777777" w:rsidR="00E44382" w:rsidRDefault="00E44382">
      <w:pPr>
        <w:pStyle w:val="a9"/>
        <w:bidi/>
        <w:rPr>
          <w:sz w:val="28"/>
          <w:szCs w:val="28"/>
          <w:rtl/>
          <w:lang w:eastAsia="en-US"/>
        </w:rPr>
      </w:pPr>
      <w:r>
        <w:rPr>
          <w:rFonts w:ascii="FrankRuehl" w:hAnsi="FrankRuehl" w:cs="FrankRuehl"/>
          <w:sz w:val="28"/>
          <w:szCs w:val="28"/>
          <w:rtl/>
          <w:lang w:eastAsia="en-US"/>
        </w:rPr>
        <w:t>תיק פלילי  99 / 4174</w:t>
      </w:r>
    </w:p>
    <w:p w14:paraId="5D315D98" w14:textId="77777777" w:rsidR="00E44382" w:rsidRDefault="00E44382">
      <w:pPr>
        <w:pStyle w:val="-1"/>
        <w:bidi/>
        <w:rPr>
          <w:rFonts w:ascii="FrankRuehl" w:hAnsi="FrankRuehl" w:cs="FrankRuehl"/>
          <w:sz w:val="28"/>
          <w:szCs w:val="28"/>
          <w:rtl/>
          <w:lang w:eastAsia="en-US"/>
        </w:rPr>
      </w:pPr>
      <w:bookmarkStart w:id="0" w:name="RESPONDERS"/>
      <w:r>
        <w:rPr>
          <w:rFonts w:ascii="FrankRuehl" w:hAnsi="FrankRuehl" w:cs="FrankRuehl"/>
          <w:sz w:val="28"/>
          <w:szCs w:val="28"/>
          <w:rtl/>
          <w:lang w:eastAsia="en-US"/>
        </w:rPr>
        <w:t>מדינת ישראל</w:t>
      </w:r>
    </w:p>
    <w:bookmarkEnd w:id="0"/>
    <w:p w14:paraId="49E07C0A" w14:textId="77777777" w:rsidR="00E44382" w:rsidRDefault="00E44382">
      <w:pPr>
        <w:pStyle w:val="-1"/>
        <w:bidi/>
        <w:rPr>
          <w:rFonts w:ascii="FrankRuehl" w:hAnsi="FrankRuehl" w:cs="FrankRuehl"/>
          <w:sz w:val="28"/>
          <w:szCs w:val="28"/>
          <w:rtl/>
          <w:lang w:eastAsia="en-US"/>
        </w:rPr>
      </w:pPr>
      <w:r>
        <w:rPr>
          <w:rFonts w:ascii="FrankRuehl" w:hAnsi="FrankRuehl" w:cs="FrankRuehl"/>
          <w:sz w:val="28"/>
          <w:szCs w:val="28"/>
          <w:rtl/>
          <w:lang w:eastAsia="en-US"/>
        </w:rPr>
        <w:t>נגד</w:t>
      </w:r>
    </w:p>
    <w:p w14:paraId="44037415" w14:textId="77777777" w:rsidR="00E44382" w:rsidRDefault="00E44382">
      <w:pPr>
        <w:pStyle w:val="-1"/>
        <w:bidi/>
        <w:spacing w:after="240"/>
        <w:rPr>
          <w:rFonts w:ascii="FrankRuehl" w:hAnsi="FrankRuehl" w:cs="FrankRuehl"/>
          <w:sz w:val="28"/>
          <w:szCs w:val="28"/>
          <w:rtl/>
          <w:lang w:eastAsia="en-US"/>
        </w:rPr>
      </w:pPr>
      <w:r>
        <w:rPr>
          <w:noProof/>
          <w:sz w:val="28"/>
          <w:szCs w:val="28"/>
        </w:rPr>
        <w:pict w14:anchorId="28690B25">
          <v:group id="_x0000_s1026" style="position:absolute;left:0;text-align:left;margin-left:354.4pt;margin-top:25.5pt;width:14.25pt;height:408.3pt;z-index:251657728;mso-position-vertical-relative:margin" coordsize="20000,20000" o:allowincell="f">
            <v:rect id="_x0000_s1027" style="position:absolute;width:20000;height:698" filled="f" stroked="f" strokeweight="0">
              <v:textbox inset="0,0,0,0">
                <w:txbxContent>
                  <w:p w14:paraId="541D6AD0" w14:textId="77777777" w:rsidR="0066186F" w:rsidRDefault="0066186F">
                    <w:pPr>
                      <w:pStyle w:val="a"/>
                      <w:rPr>
                        <w:rFonts w:ascii="FrankRuehl" w:hAnsi="FrankRuehl" w:cs="FrankRuehl"/>
                        <w:rtl/>
                        <w:lang w:eastAsia="en-US"/>
                      </w:rPr>
                    </w:pPr>
                    <w:r>
                      <w:rPr>
                        <w:rFonts w:ascii="Miriam" w:hAnsi="Miriam" w:cs="Miriam"/>
                        <w:sz w:val="29"/>
                        <w:szCs w:val="29"/>
                        <w:rtl/>
                        <w:lang w:eastAsia="en-US"/>
                      </w:rPr>
                      <w:t>א</w:t>
                    </w:r>
                  </w:p>
                </w:txbxContent>
              </v:textbox>
            </v:rect>
            <v:rect id="_x0000_s1028" style="position:absolute;top:3262;width:20000;height:698" filled="f" stroked="f" strokeweight="0">
              <v:textbox inset="0,0,0,0">
                <w:txbxContent>
                  <w:p w14:paraId="5C435FCD" w14:textId="77777777" w:rsidR="0066186F" w:rsidRDefault="0066186F">
                    <w:pPr>
                      <w:pStyle w:val="a"/>
                      <w:rPr>
                        <w:rFonts w:ascii="FrankRuehl" w:hAnsi="FrankRuehl" w:cs="FrankRuehl"/>
                        <w:rtl/>
                        <w:lang w:eastAsia="en-US"/>
                      </w:rPr>
                    </w:pPr>
                    <w:r>
                      <w:rPr>
                        <w:rFonts w:ascii="Miriam" w:hAnsi="Miriam" w:cs="Miriam"/>
                        <w:sz w:val="29"/>
                        <w:szCs w:val="29"/>
                        <w:rtl/>
                        <w:lang w:eastAsia="en-US"/>
                      </w:rPr>
                      <w:t>ב</w:t>
                    </w:r>
                  </w:p>
                </w:txbxContent>
              </v:textbox>
            </v:rect>
            <v:rect id="_x0000_s1029" style="position:absolute;top:6458;width:20000;height:698" filled="f" stroked="f" strokeweight="0">
              <v:textbox inset="0,0,0,0">
                <w:txbxContent>
                  <w:p w14:paraId="05221BE1" w14:textId="77777777" w:rsidR="0066186F" w:rsidRDefault="0066186F">
                    <w:pPr>
                      <w:pStyle w:val="a"/>
                      <w:rPr>
                        <w:rFonts w:ascii="FrankRuehl" w:hAnsi="FrankRuehl" w:cs="FrankRuehl"/>
                        <w:rtl/>
                        <w:lang w:eastAsia="en-US"/>
                      </w:rPr>
                    </w:pPr>
                    <w:r>
                      <w:rPr>
                        <w:rFonts w:ascii="Miriam" w:hAnsi="Miriam" w:cs="Miriam"/>
                        <w:sz w:val="28"/>
                        <w:szCs w:val="28"/>
                        <w:rtl/>
                        <w:lang w:eastAsia="en-US"/>
                      </w:rPr>
                      <w:t>ג</w:t>
                    </w:r>
                  </w:p>
                </w:txbxContent>
              </v:textbox>
            </v:rect>
            <v:rect id="_x0000_s1030" style="position:absolute;top:9652;width:20000;height:698" filled="f" stroked="f" strokeweight="0">
              <v:textbox inset="0,0,0,0">
                <w:txbxContent>
                  <w:p w14:paraId="3908C779" w14:textId="77777777" w:rsidR="0066186F" w:rsidRDefault="0066186F">
                    <w:pPr>
                      <w:pStyle w:val="a"/>
                      <w:rPr>
                        <w:rFonts w:ascii="FrankRuehl" w:hAnsi="FrankRuehl" w:cs="FrankRuehl"/>
                        <w:rtl/>
                        <w:lang w:eastAsia="en-US"/>
                      </w:rPr>
                    </w:pPr>
                    <w:r>
                      <w:rPr>
                        <w:rFonts w:ascii="Miriam" w:hAnsi="Miriam" w:cs="Miriam"/>
                        <w:sz w:val="28"/>
                        <w:szCs w:val="28"/>
                        <w:rtl/>
                        <w:lang w:eastAsia="en-US"/>
                      </w:rPr>
                      <w:t>ד</w:t>
                    </w:r>
                  </w:p>
                </w:txbxContent>
              </v:textbox>
            </v:rect>
            <v:rect id="_x0000_s1031" style="position:absolute;top:12846;width:20000;height:698" filled="f" stroked="f" strokeweight="0">
              <v:textbox inset="0,0,0,0">
                <w:txbxContent>
                  <w:p w14:paraId="49783D8D" w14:textId="77777777" w:rsidR="0066186F" w:rsidRDefault="0066186F">
                    <w:pPr>
                      <w:pStyle w:val="a"/>
                      <w:rPr>
                        <w:rFonts w:ascii="FrankRuehl" w:hAnsi="FrankRuehl" w:cs="FrankRuehl"/>
                        <w:rtl/>
                        <w:lang w:eastAsia="en-US"/>
                      </w:rPr>
                    </w:pPr>
                    <w:r>
                      <w:rPr>
                        <w:rFonts w:ascii="Miriam" w:hAnsi="Miriam" w:cs="Miriam"/>
                        <w:sz w:val="28"/>
                        <w:szCs w:val="28"/>
                        <w:rtl/>
                        <w:lang w:eastAsia="en-US"/>
                      </w:rPr>
                      <w:t>ה</w:t>
                    </w:r>
                  </w:p>
                </w:txbxContent>
              </v:textbox>
            </v:rect>
            <v:rect id="_x0000_s1032" style="position:absolute;top:16108;width:20000;height:698" filled="f" stroked="f" strokeweight="0">
              <v:textbox inset="0,0,0,0">
                <w:txbxContent>
                  <w:p w14:paraId="77BE7B21" w14:textId="77777777" w:rsidR="0066186F" w:rsidRDefault="0066186F">
                    <w:pPr>
                      <w:pStyle w:val="a"/>
                      <w:rPr>
                        <w:rFonts w:ascii="FrankRuehl" w:hAnsi="FrankRuehl" w:cs="FrankRuehl"/>
                        <w:rtl/>
                        <w:lang w:eastAsia="en-US"/>
                      </w:rPr>
                    </w:pPr>
                    <w:r>
                      <w:rPr>
                        <w:rFonts w:ascii="Miriam" w:hAnsi="Miriam" w:cs="Miriam"/>
                        <w:sz w:val="28"/>
                        <w:szCs w:val="28"/>
                        <w:rtl/>
                        <w:lang w:eastAsia="en-US"/>
                      </w:rPr>
                      <w:t>ו</w:t>
                    </w:r>
                  </w:p>
                </w:txbxContent>
              </v:textbox>
            </v:rect>
            <v:rect id="_x0000_s1033" style="position:absolute;top:19302;width:20000;height:698" filled="f" stroked="f" strokeweight="0">
              <v:textbox inset="0,0,0,0">
                <w:txbxContent>
                  <w:p w14:paraId="04CE8762" w14:textId="77777777" w:rsidR="0066186F" w:rsidRDefault="0066186F">
                    <w:pPr>
                      <w:pStyle w:val="a"/>
                      <w:rPr>
                        <w:rFonts w:ascii="FrankRuehl" w:hAnsi="FrankRuehl" w:cs="FrankRuehl"/>
                        <w:rtl/>
                        <w:lang w:eastAsia="en-US"/>
                      </w:rPr>
                    </w:pPr>
                    <w:r>
                      <w:rPr>
                        <w:rFonts w:ascii="Miriam" w:hAnsi="Miriam" w:cs="Miriam"/>
                        <w:sz w:val="28"/>
                        <w:szCs w:val="28"/>
                        <w:rtl/>
                        <w:lang w:eastAsia="en-US"/>
                      </w:rPr>
                      <w:t>ז</w:t>
                    </w:r>
                  </w:p>
                </w:txbxContent>
              </v:textbox>
            </v:rect>
            <w10:wrap anchory="margin"/>
          </v:group>
        </w:pict>
      </w:r>
      <w:r>
        <w:rPr>
          <w:rFonts w:ascii="FrankRuehl" w:hAnsi="FrankRuehl" w:cs="FrankRuehl"/>
          <w:sz w:val="28"/>
          <w:szCs w:val="28"/>
          <w:rtl/>
          <w:lang w:eastAsia="en-US"/>
        </w:rPr>
        <w:t>מנחם כברה</w:t>
      </w:r>
    </w:p>
    <w:p w14:paraId="53892B69" w14:textId="77777777" w:rsidR="00E44382" w:rsidRDefault="00E44382">
      <w:pPr>
        <w:pStyle w:val="-10"/>
        <w:bidi/>
        <w:rPr>
          <w:rFonts w:ascii="FrankRuehl" w:hAnsi="FrankRuehl" w:cs="FrankRuehl"/>
          <w:sz w:val="24"/>
          <w:szCs w:val="24"/>
          <w:rtl/>
          <w:lang w:eastAsia="en-US"/>
        </w:rPr>
      </w:pPr>
      <w:r>
        <w:rPr>
          <w:rFonts w:ascii="FrankRuehl" w:hAnsi="FrankRuehl" w:cs="FrankRuehl"/>
          <w:sz w:val="24"/>
          <w:szCs w:val="24"/>
          <w:rtl/>
          <w:lang w:eastAsia="en-US"/>
        </w:rPr>
        <w:t>בבית</w:t>
      </w:r>
      <w:r>
        <w:rPr>
          <w:rFonts w:ascii="FrankRuehl" w:hAnsi="FrankRuehl" w:cs="FrankRuehl"/>
          <w:position w:val="4"/>
          <w:sz w:val="24"/>
          <w:szCs w:val="24"/>
          <w:rtl/>
          <w:lang w:eastAsia="en-US"/>
        </w:rPr>
        <w:t>-</w:t>
      </w:r>
      <w:r>
        <w:rPr>
          <w:rFonts w:ascii="FrankRuehl" w:hAnsi="FrankRuehl" w:cs="FrankRuehl"/>
          <w:sz w:val="24"/>
          <w:szCs w:val="24"/>
          <w:rtl/>
          <w:lang w:eastAsia="en-US"/>
        </w:rPr>
        <w:t>משפט השלום ברמלה</w:t>
      </w:r>
    </w:p>
    <w:p w14:paraId="5053368E" w14:textId="77777777" w:rsidR="00E44382" w:rsidRDefault="00E44382">
      <w:pPr>
        <w:pStyle w:val="-10"/>
        <w:bidi/>
        <w:rPr>
          <w:rFonts w:ascii="Miriam" w:hAnsi="Miriam" w:cs="Miriam"/>
          <w:sz w:val="24"/>
          <w:szCs w:val="19"/>
          <w:rtl/>
          <w:lang w:eastAsia="en-US"/>
        </w:rPr>
      </w:pPr>
      <w:r>
        <w:rPr>
          <w:rFonts w:ascii="FrankRuehl" w:hAnsi="FrankRuehl" w:cs="FrankRuehl"/>
          <w:sz w:val="24"/>
          <w:szCs w:val="24"/>
          <w:rtl/>
          <w:lang w:eastAsia="en-US"/>
        </w:rPr>
        <w:t>[5.9.2000]</w:t>
      </w:r>
    </w:p>
    <w:p w14:paraId="2360D681" w14:textId="77777777" w:rsidR="00E44382" w:rsidRDefault="00E44382">
      <w:pPr>
        <w:pStyle w:val="a"/>
        <w:bidi/>
        <w:spacing w:after="360"/>
        <w:ind w:firstLine="0"/>
        <w:jc w:val="center"/>
        <w:rPr>
          <w:rFonts w:ascii="FrankRuehl" w:hAnsi="FrankRuehl" w:cs="FrankRuehl"/>
          <w:spacing w:val="20"/>
          <w:sz w:val="24"/>
          <w:szCs w:val="24"/>
          <w:rtl/>
          <w:lang w:eastAsia="en-US"/>
        </w:rPr>
      </w:pPr>
      <w:r>
        <w:rPr>
          <w:rFonts w:ascii="FrankRuehl" w:hAnsi="FrankRuehl" w:cs="FrankRuehl"/>
          <w:sz w:val="24"/>
          <w:szCs w:val="24"/>
          <w:rtl/>
          <w:lang w:eastAsia="en-US"/>
        </w:rPr>
        <w:t xml:space="preserve">לפני השופטת </w:t>
      </w:r>
      <w:r>
        <w:rPr>
          <w:rFonts w:ascii="FrankRuehl" w:hAnsi="FrankRuehl" w:cs="FrankRuehl"/>
          <w:spacing w:val="20"/>
          <w:sz w:val="24"/>
          <w:szCs w:val="24"/>
          <w:rtl/>
          <w:lang w:eastAsia="en-US"/>
        </w:rPr>
        <w:t>ז' בוסתן</w:t>
      </w:r>
    </w:p>
    <w:p w14:paraId="5511E270" w14:textId="77777777" w:rsidR="00E44382" w:rsidRDefault="00E44382">
      <w:pPr>
        <w:pStyle w:val="a3"/>
        <w:bidi/>
        <w:ind w:firstLine="2"/>
        <w:rPr>
          <w:rFonts w:ascii="FrankRuehl" w:hAnsi="FrankRuehl" w:cs="FrankRuehl"/>
          <w:sz w:val="22"/>
          <w:szCs w:val="22"/>
          <w:rtl/>
          <w:lang w:eastAsia="en-US"/>
        </w:rPr>
      </w:pPr>
      <w:r>
        <w:rPr>
          <w:rFonts w:ascii="FrankRuehl" w:hAnsi="FrankRuehl" w:cs="FrankRuehl"/>
          <w:sz w:val="22"/>
          <w:szCs w:val="22"/>
          <w:rtl/>
          <w:lang w:eastAsia="en-US"/>
        </w:rPr>
        <w:t>כנגד הנאשם הוגש כתב</w:t>
      </w:r>
      <w:r>
        <w:rPr>
          <w:rFonts w:ascii="FrankRuehl" w:hAnsi="FrankRuehl" w:cs="FrankRuehl"/>
          <w:position w:val="3"/>
          <w:sz w:val="22"/>
          <w:szCs w:val="22"/>
          <w:rtl/>
          <w:lang w:eastAsia="en-US"/>
        </w:rPr>
        <w:t>-</w:t>
      </w:r>
      <w:r>
        <w:rPr>
          <w:rFonts w:ascii="FrankRuehl" w:hAnsi="FrankRuehl" w:cs="FrankRuehl"/>
          <w:sz w:val="22"/>
          <w:szCs w:val="22"/>
          <w:rtl/>
          <w:lang w:eastAsia="en-US"/>
        </w:rPr>
        <w:t>אישום המייחס לו עבירות של הטרדה מינית ומעשים מגונים שבוצעו כנגד חיילות כאשר שירת כאפסנאי בבסיס מג"ב בלוד. לטענת הסניגור, הנאשם נוטה לדבר בלשון בוטה, אך סגנון זה אינו עולה כדי הטרדה. כמו כן טען הסניגור כי מעשי הנאשם היו נעדרי קונוטציה מינית ונעשו מתוך רגש אבהי ידידותי.</w:t>
      </w:r>
    </w:p>
    <w:p w14:paraId="2A28B8C8" w14:textId="77777777" w:rsidR="00E44382" w:rsidRDefault="00E44382">
      <w:pPr>
        <w:pStyle w:val="1"/>
        <w:bidi/>
        <w:spacing w:before="240" w:line="250" w:lineRule="exact"/>
        <w:rPr>
          <w:rFonts w:ascii="Miriam" w:hAnsi="Miriam" w:cs="Miriam"/>
          <w:sz w:val="22"/>
          <w:szCs w:val="22"/>
          <w:rtl/>
          <w:lang w:eastAsia="en-US"/>
        </w:rPr>
      </w:pPr>
      <w:r>
        <w:rPr>
          <w:rFonts w:ascii="FrankRuehl" w:hAnsi="FrankRuehl" w:cs="FrankRuehl"/>
          <w:sz w:val="22"/>
          <w:szCs w:val="22"/>
          <w:rtl/>
          <w:lang w:eastAsia="en-US"/>
        </w:rPr>
        <w:t>בית</w:t>
      </w:r>
      <w:r>
        <w:rPr>
          <w:rFonts w:ascii="FrankRuehl" w:hAnsi="FrankRuehl" w:cs="FrankRuehl"/>
          <w:position w:val="3"/>
          <w:sz w:val="22"/>
          <w:szCs w:val="22"/>
          <w:rtl/>
          <w:lang w:eastAsia="en-US"/>
        </w:rPr>
        <w:t>-</w:t>
      </w:r>
      <w:r>
        <w:rPr>
          <w:rFonts w:ascii="FrankRuehl" w:hAnsi="FrankRuehl" w:cs="FrankRuehl"/>
          <w:sz w:val="22"/>
          <w:szCs w:val="22"/>
          <w:rtl/>
          <w:lang w:eastAsia="en-US"/>
        </w:rPr>
        <w:t>משפט השלום פסק:</w:t>
      </w:r>
    </w:p>
    <w:p w14:paraId="77459F2E" w14:textId="77777777" w:rsidR="00E44382" w:rsidRDefault="00E44382">
      <w:pPr>
        <w:pStyle w:val="1"/>
        <w:bidi/>
        <w:rPr>
          <w:rFonts w:ascii="FrankRuehl" w:hAnsi="FrankRuehl" w:cs="FrankRuehl"/>
          <w:sz w:val="22"/>
          <w:szCs w:val="22"/>
          <w:rtl/>
          <w:lang w:eastAsia="en-US"/>
        </w:rPr>
      </w:pPr>
      <w:r>
        <w:rPr>
          <w:rFonts w:ascii="FrankRuehl" w:hAnsi="FrankRuehl" w:cs="FrankRuehl"/>
          <w:sz w:val="22"/>
          <w:szCs w:val="22"/>
          <w:rtl/>
          <w:lang w:eastAsia="en-US"/>
        </w:rPr>
        <w:t>א.</w:t>
      </w:r>
      <w:r>
        <w:rPr>
          <w:rFonts w:ascii="FrankRuehl" w:hAnsi="FrankRuehl" w:cs="FrankRuehl"/>
          <w:sz w:val="22"/>
          <w:szCs w:val="22"/>
          <w:rtl/>
          <w:lang w:eastAsia="en-US"/>
        </w:rPr>
        <w:tab/>
        <w:t>(1)</w:t>
      </w:r>
      <w:r>
        <w:rPr>
          <w:rFonts w:ascii="FrankRuehl" w:hAnsi="FrankRuehl" w:cs="FrankRuehl"/>
          <w:sz w:val="22"/>
          <w:szCs w:val="22"/>
          <w:rtl/>
          <w:lang w:eastAsia="en-US"/>
        </w:rPr>
        <w:tab/>
        <w:t>הטרדה מינית יכולה ללבוש צורות שונות ויכולה להתרחש על רקע שונה. לעתים היא מתרחשת על רקע יחסי מרות ולעתים ללא רקע כזה. לעתים היא מתבטאת בדיבורים בלבד ולעתים היא לובשת צורה של פגיעה גופנית. לעתים הפגיעה הגופנית נושאת אופי של מגע מקרי כביכול ולעתים הפגיעה הגופנית נושאת אופי של מעשה מגונה ואף אונס. המשותף לכל ההטרדות המיניות הוא התנהגות בעלת אופי מיני של אדם אחד שיש בה כדי לפגוע באדם אחר. הקושי בקביעת מעשה כהטרדה מינית מן הבחינה המשפטית נעוץ בקושי לקבוע מתי עוברת התנהגות בעלת אופי מיני את הגבול מתחום המותר אל תחום האסור (703ו – 704א).</w:t>
      </w:r>
    </w:p>
    <w:p w14:paraId="44F88F56" w14:textId="77777777" w:rsidR="00E44382" w:rsidRDefault="00E44382">
      <w:pPr>
        <w:pStyle w:val="1"/>
        <w:bidi/>
        <w:rPr>
          <w:rFonts w:ascii="FrankRuehl" w:hAnsi="FrankRuehl" w:cs="FrankRuehl"/>
          <w:sz w:val="22"/>
          <w:szCs w:val="22"/>
          <w:rtl/>
          <w:lang w:eastAsia="en-US"/>
        </w:rPr>
      </w:pPr>
      <w:r>
        <w:rPr>
          <w:rFonts w:ascii="FrankRuehl" w:hAnsi="FrankRuehl" w:cs="FrankRuehl"/>
          <w:sz w:val="22"/>
          <w:szCs w:val="22"/>
          <w:rtl/>
          <w:lang w:eastAsia="en-US"/>
        </w:rPr>
        <w:tab/>
        <w:t>(2)</w:t>
      </w:r>
      <w:r>
        <w:rPr>
          <w:rFonts w:ascii="FrankRuehl" w:hAnsi="FrankRuehl" w:cs="FrankRuehl"/>
          <w:sz w:val="22"/>
          <w:szCs w:val="22"/>
          <w:rtl/>
          <w:lang w:eastAsia="en-US"/>
        </w:rPr>
        <w:tab/>
        <w:t>במקרה דנן, מסכת הראיות מצביעה ללא צל של ספק כי הנאשם, בנוסף להיותו גס רוח ומתבטא בצורה בוטה הכוללת ביטויים מיניים כלפי כולם, הטריד מינית את המתלוננות ולא יכול להיות כל צל של ספק בעניין זה. זאת בין אם על</w:t>
      </w:r>
      <w:r>
        <w:rPr>
          <w:rFonts w:ascii="FrankRuehl" w:hAnsi="FrankRuehl" w:cs="FrankRuehl"/>
          <w:position w:val="3"/>
          <w:sz w:val="22"/>
          <w:szCs w:val="22"/>
          <w:rtl/>
          <w:lang w:eastAsia="en-US"/>
        </w:rPr>
        <w:t>-</w:t>
      </w:r>
      <w:r>
        <w:rPr>
          <w:rFonts w:ascii="FrankRuehl" w:hAnsi="FrankRuehl" w:cs="FrankRuehl"/>
          <w:sz w:val="22"/>
          <w:szCs w:val="22"/>
          <w:rtl/>
          <w:lang w:eastAsia="en-US"/>
        </w:rPr>
        <w:t>ידי הצעת הצעות מיניות מפורשות ובין אם על</w:t>
      </w:r>
      <w:r>
        <w:rPr>
          <w:rFonts w:ascii="FrankRuehl" w:hAnsi="FrankRuehl" w:cs="FrankRuehl"/>
          <w:position w:val="3"/>
          <w:sz w:val="22"/>
          <w:szCs w:val="22"/>
          <w:rtl/>
          <w:lang w:eastAsia="en-US"/>
        </w:rPr>
        <w:t>-</w:t>
      </w:r>
      <w:r>
        <w:rPr>
          <w:rFonts w:ascii="FrankRuehl" w:hAnsi="FrankRuehl" w:cs="FrankRuehl"/>
          <w:sz w:val="22"/>
          <w:szCs w:val="22"/>
          <w:rtl/>
          <w:lang w:eastAsia="en-US"/>
        </w:rPr>
        <w:t>ידי התייחסות מבזה ומשפילה בשימוש בלשון בוטה יותר משפתו הרגילה, בתיאורי מעלליו המיניים עם אשתו, נשים אחרות וחיילות אחרות (704ז – 705ב).</w:t>
      </w:r>
      <w:r>
        <w:rPr>
          <w:rFonts w:ascii="FrankRuehl" w:hAnsi="FrankRuehl" w:cs="FrankRuehl"/>
          <w:color w:val="FFFFFF"/>
          <w:sz w:val="22"/>
          <w:szCs w:val="22"/>
          <w:rtl/>
          <w:lang w:eastAsia="en-US"/>
        </w:rPr>
        <w:t>נ</w:t>
      </w:r>
    </w:p>
    <w:p w14:paraId="0E9FB82D" w14:textId="77777777" w:rsidR="00E44382" w:rsidRDefault="00E44382">
      <w:pPr>
        <w:pStyle w:val="1"/>
        <w:bidi/>
        <w:rPr>
          <w:rFonts w:ascii="FrankRuehl" w:hAnsi="FrankRuehl" w:cs="FrankRuehl"/>
          <w:sz w:val="22"/>
          <w:szCs w:val="22"/>
          <w:rtl/>
          <w:lang w:eastAsia="en-US"/>
        </w:rPr>
      </w:pPr>
      <w:r>
        <w:rPr>
          <w:rFonts w:ascii="FrankRuehl" w:hAnsi="FrankRuehl" w:cs="FrankRuehl"/>
          <w:sz w:val="22"/>
          <w:szCs w:val="22"/>
          <w:rtl/>
          <w:lang w:eastAsia="en-US"/>
        </w:rPr>
        <w:t>ב.</w:t>
      </w:r>
      <w:r>
        <w:rPr>
          <w:rFonts w:ascii="FrankRuehl" w:hAnsi="FrankRuehl" w:cs="FrankRuehl"/>
          <w:sz w:val="22"/>
          <w:szCs w:val="22"/>
          <w:rtl/>
          <w:lang w:eastAsia="en-US"/>
        </w:rPr>
        <w:tab/>
        <w:t>(1)</w:t>
      </w:r>
      <w:r>
        <w:rPr>
          <w:rFonts w:ascii="FrankRuehl" w:hAnsi="FrankRuehl" w:cs="FrankRuehl"/>
          <w:sz w:val="22"/>
          <w:szCs w:val="22"/>
          <w:rtl/>
          <w:lang w:eastAsia="en-US"/>
        </w:rPr>
        <w:tab/>
        <w:t xml:space="preserve">בין הנאשם לבין החיילות התקיימו יחסי מרות. גם אם אין המדובר ביחסי מרות קלאסיים של מפקד ופקידה תחת פיקודו, עדיין יש לראות את מערכת היחסים שבין הנאשם לחיילות כיחסי מרות. החיילות בשירות חובה, נזקקו לשירותיו של הנאשם במסגרת תפקידן, לא הייתה להן כל דרך לעקוף את המפגשים אתו בהיותו אפסנאי יחיד והוא היה בעל דרגה בכירה מהן במערכת צבאית הנשענת על הייררכיה של דרגות. הנאשם התרברב בפניהן בכל הזדמנות כי הוא נמצא שנים רבות במערכת ואינו </w:t>
      </w:r>
      <w:r>
        <w:rPr>
          <w:rFonts w:ascii="FrankRuehl" w:hAnsi="FrankRuehl" w:cs="FrankRuehl"/>
          <w:sz w:val="22"/>
          <w:szCs w:val="22"/>
          <w:rtl/>
          <w:lang w:eastAsia="en-US"/>
        </w:rPr>
        <w:lastRenderedPageBreak/>
        <w:t xml:space="preserve">חושש מאיש, גם לא ממפקד מג"ב. הנאשם גם הבין וניצל את מעמדו בתוך המערכת לעומת מעמדן של החיילות (705ג – ז). </w:t>
      </w:r>
    </w:p>
    <w:p w14:paraId="20695956" w14:textId="77777777" w:rsidR="00E44382" w:rsidRDefault="00E44382">
      <w:pPr>
        <w:pStyle w:val="1"/>
        <w:bidi/>
        <w:rPr>
          <w:rFonts w:ascii="FrankRuehl" w:hAnsi="FrankRuehl" w:cs="FrankRuehl"/>
          <w:sz w:val="22"/>
          <w:szCs w:val="22"/>
          <w:rtl/>
          <w:lang w:eastAsia="en-US"/>
        </w:rPr>
      </w:pPr>
      <w:r>
        <w:rPr>
          <w:rFonts w:ascii="FrankRuehl" w:hAnsi="FrankRuehl" w:cs="FrankRuehl"/>
          <w:sz w:val="22"/>
          <w:szCs w:val="22"/>
          <w:rtl/>
          <w:lang w:eastAsia="en-US"/>
        </w:rPr>
        <w:tab/>
        <w:t>(2)</w:t>
      </w:r>
      <w:r>
        <w:rPr>
          <w:rFonts w:ascii="FrankRuehl" w:hAnsi="FrankRuehl" w:cs="FrankRuehl"/>
          <w:sz w:val="22"/>
          <w:szCs w:val="22"/>
          <w:rtl/>
          <w:lang w:eastAsia="en-US"/>
        </w:rPr>
        <w:tab/>
        <w:t xml:space="preserve">המסקנה כי התקיימו בין הנאשם לחיילות יחסי מרות יש בה כדי להקים את העבירה של הטרדה מינית גם באותם מקרים שבהם החיילות לא אמרו לנאשם באורח מפורש כי אינן מעוניינות בהצעותיו בעלות האופי המיני או בהתייחסותו המופנית אליהן ומתמקדת במיניותן (706ה). </w:t>
      </w:r>
    </w:p>
    <w:p w14:paraId="0494FA8F" w14:textId="77777777" w:rsidR="00E44382" w:rsidRDefault="00E44382">
      <w:pPr>
        <w:pStyle w:val="1"/>
        <w:bidi/>
        <w:rPr>
          <w:rFonts w:ascii="FrankRuehl" w:hAnsi="FrankRuehl" w:cs="FrankRuehl"/>
          <w:spacing w:val="-2"/>
          <w:sz w:val="22"/>
          <w:szCs w:val="22"/>
          <w:rtl/>
          <w:lang w:eastAsia="en-US"/>
        </w:rPr>
      </w:pPr>
      <w:r>
        <w:rPr>
          <w:rFonts w:ascii="FrankRuehl" w:hAnsi="FrankRuehl" w:cs="FrankRuehl"/>
          <w:spacing w:val="-2"/>
          <w:sz w:val="22"/>
          <w:szCs w:val="22"/>
          <w:rtl/>
          <w:lang w:eastAsia="en-US"/>
        </w:rPr>
        <w:tab/>
        <w:t>(3)</w:t>
      </w:r>
      <w:r>
        <w:rPr>
          <w:rFonts w:ascii="FrankRuehl" w:hAnsi="FrankRuehl" w:cs="FrankRuehl"/>
          <w:spacing w:val="-2"/>
          <w:sz w:val="22"/>
          <w:szCs w:val="22"/>
          <w:rtl/>
          <w:lang w:eastAsia="en-US"/>
        </w:rPr>
        <w:tab/>
        <w:t>במקרה דנן נראה כי בהתנהגותן הבהירו כל החיילות לנאשם כי אינן מעוניינות בהתנהגותו. מעצם הכחשת הנאשם את מעשיו ואת סגנון דיבורו ניתן להבין כי גם הנאשם מבין ומודע למעשיו ושאין המדובר בהתנהגות מקובלת. גם מהעובדה שאף אחת מהבנות לא קיבלה את הצעותיו ולא שיתפה אותו בחוויות מיניות משל עצמה היה על הנאשם להיות מודע לכך כי מעשיו והתנהגותו אינם מקובלים על החיילות (706ו).</w:t>
      </w:r>
      <w:r>
        <w:rPr>
          <w:rFonts w:ascii="FrankRuehl" w:hAnsi="FrankRuehl" w:cs="FrankRuehl"/>
          <w:color w:val="FFFFFF"/>
          <w:spacing w:val="-2"/>
          <w:sz w:val="22"/>
          <w:szCs w:val="22"/>
          <w:rtl/>
          <w:lang w:eastAsia="en-US"/>
        </w:rPr>
        <w:t>ב</w:t>
      </w:r>
    </w:p>
    <w:p w14:paraId="625CE9E8" w14:textId="77777777" w:rsidR="00E44382" w:rsidRDefault="00E44382">
      <w:pPr>
        <w:pStyle w:val="a5"/>
        <w:bidi/>
        <w:spacing w:before="240"/>
        <w:rPr>
          <w:rFonts w:ascii="FrankRuehl" w:hAnsi="FrankRuehl" w:cs="FrankRuehl"/>
          <w:sz w:val="24"/>
          <w:szCs w:val="24"/>
          <w:rtl/>
          <w:lang w:eastAsia="en-US"/>
        </w:rPr>
      </w:pPr>
      <w:r>
        <w:rPr>
          <w:rFonts w:ascii="FrankRuehl" w:hAnsi="FrankRuehl" w:cs="FrankRuehl"/>
          <w:sz w:val="24"/>
          <w:szCs w:val="24"/>
          <w:rtl/>
          <w:lang w:eastAsia="en-US"/>
        </w:rPr>
        <w:t>חקיקה ראשית שאוזכרה:</w:t>
      </w:r>
    </w:p>
    <w:p w14:paraId="21865EB2" w14:textId="77777777" w:rsidR="00E44382" w:rsidRDefault="00E44382">
      <w:pPr>
        <w:pStyle w:val="a5"/>
        <w:bidi/>
        <w:rPr>
          <w:rFonts w:ascii="FrankRuehl" w:hAnsi="FrankRuehl" w:cs="FrankRuehl"/>
          <w:sz w:val="24"/>
          <w:szCs w:val="24"/>
          <w:rtl/>
          <w:lang w:eastAsia="en-US"/>
        </w:rPr>
      </w:pPr>
      <w:r>
        <w:rPr>
          <w:rFonts w:ascii="FrankRuehl" w:hAnsi="FrankRuehl" w:cs="FrankRuehl"/>
          <w:sz w:val="24"/>
          <w:szCs w:val="24"/>
          <w:rtl/>
          <w:lang w:eastAsia="en-US"/>
        </w:rPr>
        <w:t>–</w:t>
      </w:r>
      <w:r>
        <w:rPr>
          <w:rFonts w:ascii="FrankRuehl" w:hAnsi="FrankRuehl" w:cs="FrankRuehl"/>
          <w:sz w:val="24"/>
          <w:szCs w:val="24"/>
          <w:rtl/>
          <w:lang w:eastAsia="en-US"/>
        </w:rPr>
        <w:tab/>
      </w:r>
      <w:hyperlink r:id="rId6" w:history="1">
        <w:r w:rsidR="00C05184" w:rsidRPr="00C05184">
          <w:rPr>
            <w:rStyle w:val="Hyperlink"/>
            <w:rFonts w:ascii="FrankRuehl" w:hAnsi="FrankRuehl" w:cs="FrankRuehl"/>
            <w:sz w:val="24"/>
            <w:szCs w:val="24"/>
            <w:rtl/>
            <w:lang w:eastAsia="en-US"/>
          </w:rPr>
          <w:t>חוק למניעת הטרדה מינית</w:t>
        </w:r>
      </w:hyperlink>
      <w:r>
        <w:rPr>
          <w:rFonts w:ascii="FrankRuehl" w:hAnsi="FrankRuehl" w:cs="FrankRuehl"/>
          <w:sz w:val="24"/>
          <w:szCs w:val="24"/>
          <w:rtl/>
          <w:lang w:eastAsia="en-US"/>
        </w:rPr>
        <w:t>, תשנ"ח1998-, סעיפים 3(א), 3(א)(3), 3(א)(4), 3(א)(5), 3(א)(6), 5.</w:t>
      </w:r>
      <w:r>
        <w:rPr>
          <w:rFonts w:ascii="FrankRuehl" w:hAnsi="FrankRuehl" w:cs="FrankRuehl"/>
          <w:color w:val="FFFFFF"/>
          <w:sz w:val="24"/>
          <w:szCs w:val="24"/>
          <w:rtl/>
          <w:lang w:eastAsia="en-US"/>
        </w:rPr>
        <w:t>ו</w:t>
      </w:r>
    </w:p>
    <w:p w14:paraId="3AEB9E58" w14:textId="77777777" w:rsidR="00E44382" w:rsidRDefault="00E44382">
      <w:pPr>
        <w:pStyle w:val="a5"/>
        <w:bidi/>
        <w:rPr>
          <w:rFonts w:ascii="FrankRuehl" w:hAnsi="FrankRuehl" w:cs="FrankRuehl"/>
          <w:sz w:val="24"/>
          <w:szCs w:val="24"/>
          <w:rtl/>
          <w:lang w:eastAsia="en-US"/>
        </w:rPr>
      </w:pPr>
      <w:r>
        <w:rPr>
          <w:rFonts w:ascii="FrankRuehl" w:hAnsi="FrankRuehl" w:cs="FrankRuehl"/>
          <w:sz w:val="24"/>
          <w:szCs w:val="24"/>
          <w:rtl/>
          <w:lang w:eastAsia="en-US"/>
        </w:rPr>
        <w:t>–</w:t>
      </w:r>
      <w:r>
        <w:rPr>
          <w:rFonts w:ascii="FrankRuehl" w:hAnsi="FrankRuehl" w:cs="FrankRuehl"/>
          <w:sz w:val="24"/>
          <w:szCs w:val="24"/>
          <w:rtl/>
          <w:lang w:eastAsia="en-US"/>
        </w:rPr>
        <w:tab/>
      </w:r>
      <w:hyperlink r:id="rId7" w:history="1">
        <w:r w:rsidR="00C05184" w:rsidRPr="00C05184">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תשל"ז1977-, סעיף 348(ג).</w:t>
      </w:r>
      <w:r>
        <w:rPr>
          <w:rFonts w:ascii="FrankRuehl" w:hAnsi="FrankRuehl" w:cs="FrankRuehl"/>
          <w:color w:val="FFFFFF"/>
          <w:sz w:val="24"/>
          <w:szCs w:val="24"/>
          <w:rtl/>
          <w:lang w:eastAsia="en-US"/>
        </w:rPr>
        <w:t>נ</w:t>
      </w:r>
    </w:p>
    <w:p w14:paraId="7C265AF9" w14:textId="77777777" w:rsidR="00E44382" w:rsidRDefault="00E44382">
      <w:pPr>
        <w:pStyle w:val="a5"/>
        <w:bidi/>
        <w:spacing w:before="240"/>
        <w:rPr>
          <w:rFonts w:ascii="FrankRuehl" w:hAnsi="FrankRuehl" w:cs="FrankRuehl"/>
          <w:sz w:val="24"/>
          <w:szCs w:val="24"/>
          <w:rtl/>
          <w:lang w:eastAsia="en-US"/>
        </w:rPr>
      </w:pPr>
      <w:r>
        <w:rPr>
          <w:rFonts w:ascii="FrankRuehl" w:hAnsi="FrankRuehl" w:cs="FrankRuehl"/>
          <w:sz w:val="24"/>
          <w:szCs w:val="24"/>
          <w:rtl/>
          <w:lang w:eastAsia="en-US"/>
        </w:rPr>
        <w:t>פסקי</w:t>
      </w:r>
      <w:r>
        <w:rPr>
          <w:rFonts w:ascii="FrankRuehl" w:hAnsi="FrankRuehl" w:cs="FrankRuehl"/>
          <w:position w:val="4"/>
          <w:sz w:val="24"/>
          <w:szCs w:val="24"/>
          <w:rtl/>
          <w:lang w:eastAsia="en-US"/>
        </w:rPr>
        <w:t>-</w:t>
      </w:r>
      <w:r>
        <w:rPr>
          <w:rFonts w:ascii="FrankRuehl" w:hAnsi="FrankRuehl" w:cs="FrankRuehl"/>
          <w:sz w:val="24"/>
          <w:szCs w:val="24"/>
          <w:rtl/>
          <w:lang w:eastAsia="en-US"/>
        </w:rPr>
        <w:t>דין של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העליון שאוזכרו:</w:t>
      </w:r>
    </w:p>
    <w:p w14:paraId="667D0DD2" w14:textId="77777777" w:rsidR="00E44382" w:rsidRDefault="00E44382">
      <w:pPr>
        <w:pStyle w:val="a5"/>
        <w:bidi/>
        <w:rPr>
          <w:rFonts w:ascii="FrankRuehl" w:hAnsi="FrankRuehl" w:cs="FrankRuehl"/>
          <w:sz w:val="24"/>
          <w:szCs w:val="24"/>
          <w:rtl/>
          <w:lang w:eastAsia="en-US"/>
        </w:rPr>
      </w:pPr>
      <w:r>
        <w:rPr>
          <w:rFonts w:ascii="FrankRuehl" w:hAnsi="FrankRuehl" w:cs="FrankRuehl"/>
          <w:sz w:val="24"/>
          <w:szCs w:val="24"/>
          <w:rtl/>
          <w:lang w:eastAsia="en-US"/>
        </w:rPr>
        <w:t>[1]</w:t>
      </w:r>
      <w:r>
        <w:rPr>
          <w:rFonts w:ascii="FrankRuehl" w:hAnsi="FrankRuehl" w:cs="FrankRuehl"/>
          <w:sz w:val="24"/>
          <w:szCs w:val="24"/>
          <w:rtl/>
          <w:lang w:eastAsia="en-US"/>
        </w:rPr>
        <w:tab/>
      </w:r>
      <w:hyperlink r:id="rId8" w:history="1">
        <w:r w:rsidR="00C05184" w:rsidRPr="00C05184">
          <w:rPr>
            <w:rStyle w:val="Hyperlink"/>
            <w:rFonts w:ascii="FrankRuehl" w:hAnsi="FrankRuehl" w:cs="FrankRuehl"/>
            <w:sz w:val="24"/>
            <w:szCs w:val="24"/>
            <w:rtl/>
            <w:lang w:eastAsia="en-US"/>
          </w:rPr>
          <w:t>עש"מ 6713/96 מדינת ישראל נ' בן אשר, פ"ד נב</w:t>
        </w:r>
      </w:hyperlink>
      <w:r>
        <w:rPr>
          <w:rFonts w:ascii="FrankRuehl" w:hAnsi="FrankRuehl" w:cs="FrankRuehl"/>
          <w:sz w:val="24"/>
          <w:szCs w:val="24"/>
          <w:rtl/>
          <w:lang w:eastAsia="en-US"/>
        </w:rPr>
        <w:t>(1) 650.</w:t>
      </w:r>
      <w:r>
        <w:rPr>
          <w:rFonts w:ascii="FrankRuehl" w:hAnsi="FrankRuehl" w:cs="FrankRuehl"/>
          <w:color w:val="FFFFFF"/>
          <w:sz w:val="24"/>
          <w:szCs w:val="24"/>
          <w:rtl/>
          <w:lang w:eastAsia="en-US"/>
        </w:rPr>
        <w:t>ב</w:t>
      </w:r>
    </w:p>
    <w:p w14:paraId="66882BCB" w14:textId="77777777" w:rsidR="00E44382" w:rsidRDefault="00E44382">
      <w:pPr>
        <w:pStyle w:val="a"/>
        <w:bidi/>
        <w:spacing w:before="240" w:after="0"/>
        <w:ind w:firstLine="0"/>
        <w:rPr>
          <w:rFonts w:ascii="FrankRuehl" w:hAnsi="FrankRuehl" w:cs="FrankRuehl"/>
          <w:sz w:val="24"/>
          <w:szCs w:val="24"/>
          <w:rtl/>
          <w:lang w:eastAsia="en-US"/>
        </w:rPr>
      </w:pPr>
      <w:r>
        <w:rPr>
          <w:rFonts w:ascii="FrankRuehl" w:hAnsi="FrankRuehl" w:cs="FrankRuehl"/>
          <w:sz w:val="24"/>
          <w:szCs w:val="24"/>
          <w:rtl/>
          <w:lang w:eastAsia="en-US"/>
        </w:rPr>
        <w:t>תביעה בגין עבירות על</w:t>
      </w:r>
      <w:r>
        <w:rPr>
          <w:rFonts w:ascii="FrankRuehl" w:hAnsi="FrankRuehl" w:cs="FrankRuehl"/>
          <w:position w:val="4"/>
          <w:sz w:val="24"/>
          <w:szCs w:val="24"/>
          <w:rtl/>
          <w:lang w:eastAsia="en-US"/>
        </w:rPr>
        <w:t>-</w:t>
      </w:r>
      <w:r>
        <w:rPr>
          <w:rFonts w:ascii="FrankRuehl" w:hAnsi="FrankRuehl" w:cs="FrankRuehl"/>
          <w:sz w:val="24"/>
          <w:szCs w:val="24"/>
          <w:rtl/>
          <w:lang w:eastAsia="en-US"/>
        </w:rPr>
        <w:t>פי סעיפים 5 ו3</w:t>
      </w:r>
      <w:r>
        <w:rPr>
          <w:rFonts w:ascii="FrankRuehl" w:hAnsi="FrankRuehl" w:cs="FrankRuehl"/>
          <w:position w:val="4"/>
          <w:sz w:val="24"/>
          <w:szCs w:val="24"/>
          <w:rtl/>
          <w:lang w:eastAsia="en-US"/>
        </w:rPr>
        <w:t>-</w:t>
      </w:r>
      <w:r>
        <w:rPr>
          <w:rFonts w:ascii="FrankRuehl" w:hAnsi="FrankRuehl" w:cs="FrankRuehl"/>
          <w:sz w:val="24"/>
          <w:szCs w:val="24"/>
          <w:rtl/>
          <w:lang w:eastAsia="en-US"/>
        </w:rPr>
        <w:t>(א), ל</w:t>
      </w:r>
      <w:hyperlink r:id="rId9" w:history="1">
        <w:r w:rsidR="00C05184" w:rsidRPr="00C05184">
          <w:rPr>
            <w:rStyle w:val="Hyperlink"/>
            <w:rFonts w:ascii="FrankRuehl" w:hAnsi="FrankRuehl" w:cs="FrankRuehl"/>
            <w:sz w:val="24"/>
            <w:szCs w:val="24"/>
            <w:rtl/>
            <w:lang w:eastAsia="en-US"/>
          </w:rPr>
          <w:t>חוק למניעת הטרדה מינית</w:t>
        </w:r>
      </w:hyperlink>
      <w:r>
        <w:rPr>
          <w:rFonts w:ascii="FrankRuehl" w:hAnsi="FrankRuehl" w:cs="FrankRuehl"/>
          <w:sz w:val="24"/>
          <w:szCs w:val="24"/>
          <w:rtl/>
          <w:lang w:eastAsia="en-US"/>
        </w:rPr>
        <w:t>, תשנ"ח1998-, וסעיף  348(ג) ל</w:t>
      </w:r>
      <w:hyperlink r:id="rId10" w:history="1">
        <w:r w:rsidR="00C05184" w:rsidRPr="00C05184">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xml:space="preserve">, תשל"ז1977-. </w:t>
      </w:r>
      <w:r>
        <w:rPr>
          <w:rFonts w:ascii="Miriam" w:hAnsi="Miriam" w:cs="Miriam"/>
          <w:sz w:val="24"/>
          <w:szCs w:val="19"/>
          <w:rtl/>
          <w:lang w:eastAsia="en-US"/>
        </w:rPr>
        <w:t>התביעה נתקבלה</w:t>
      </w:r>
      <w:r>
        <w:rPr>
          <w:rFonts w:ascii="FrankRuehl" w:hAnsi="FrankRuehl" w:cs="FrankRuehl"/>
          <w:sz w:val="24"/>
          <w:szCs w:val="24"/>
          <w:rtl/>
          <w:lang w:eastAsia="en-US"/>
        </w:rPr>
        <w:t xml:space="preserve">. </w:t>
      </w:r>
      <w:r>
        <w:rPr>
          <w:rFonts w:ascii="Miriam" w:hAnsi="Miriam" w:cs="Miriam"/>
          <w:sz w:val="24"/>
          <w:szCs w:val="19"/>
          <w:rtl/>
          <w:lang w:eastAsia="en-US"/>
        </w:rPr>
        <w:t>הנאשם הורשע</w:t>
      </w:r>
      <w:r>
        <w:rPr>
          <w:rFonts w:ascii="FrankRuehl" w:hAnsi="FrankRuehl" w:cs="FrankRuehl"/>
          <w:sz w:val="24"/>
          <w:szCs w:val="24"/>
          <w:rtl/>
          <w:lang w:eastAsia="en-US"/>
        </w:rPr>
        <w:t>.</w:t>
      </w:r>
      <w:r>
        <w:rPr>
          <w:rFonts w:ascii="FrankRuehl" w:hAnsi="FrankRuehl" w:cs="FrankRuehl"/>
          <w:color w:val="FFFFFF"/>
          <w:sz w:val="24"/>
          <w:szCs w:val="24"/>
          <w:rtl/>
          <w:lang w:eastAsia="en-US"/>
        </w:rPr>
        <w:t>ו</w:t>
      </w:r>
    </w:p>
    <w:p w14:paraId="11050A47" w14:textId="77777777" w:rsidR="00E44382" w:rsidRDefault="00E44382">
      <w:pPr>
        <w:pStyle w:val="a"/>
        <w:bidi/>
        <w:spacing w:before="240" w:after="60"/>
        <w:ind w:firstLine="0"/>
        <w:rPr>
          <w:rFonts w:ascii="FrankRuehl" w:hAnsi="FrankRuehl" w:cs="FrankRuehl"/>
          <w:sz w:val="24"/>
          <w:szCs w:val="24"/>
          <w:rtl/>
          <w:lang w:eastAsia="en-US"/>
        </w:rPr>
      </w:pPr>
      <w:r>
        <w:rPr>
          <w:rFonts w:ascii="FrankRuehl" w:hAnsi="FrankRuehl" w:cs="FrankRuehl"/>
          <w:sz w:val="24"/>
          <w:szCs w:val="24"/>
          <w:rtl/>
          <w:lang w:eastAsia="en-US"/>
        </w:rPr>
        <w:t xml:space="preserve">רניצקי – בשם המאשימה; </w:t>
      </w:r>
    </w:p>
    <w:p w14:paraId="0967FF1E" w14:textId="77777777" w:rsidR="00E44382" w:rsidRDefault="00E44382">
      <w:pPr>
        <w:pStyle w:val="a"/>
        <w:bidi/>
        <w:spacing w:after="0"/>
        <w:ind w:firstLine="0"/>
        <w:rPr>
          <w:rFonts w:ascii="FrankRuehl" w:hAnsi="FrankRuehl" w:cs="FrankRuehl"/>
          <w:sz w:val="24"/>
          <w:szCs w:val="24"/>
          <w:rtl/>
          <w:lang w:eastAsia="en-US"/>
        </w:rPr>
      </w:pPr>
      <w:r>
        <w:rPr>
          <w:rFonts w:ascii="FrankRuehl" w:hAnsi="FrankRuehl" w:cs="FrankRuehl"/>
          <w:sz w:val="24"/>
          <w:szCs w:val="24"/>
          <w:rtl/>
          <w:lang w:eastAsia="en-US"/>
        </w:rPr>
        <w:t>מרדכי לנצ'נר – בשם הנאשם.</w:t>
      </w:r>
      <w:r>
        <w:rPr>
          <w:rFonts w:ascii="FrankRuehl" w:hAnsi="FrankRuehl" w:cs="FrankRuehl"/>
          <w:color w:val="FFFFFF"/>
          <w:sz w:val="24"/>
          <w:szCs w:val="24"/>
          <w:rtl/>
          <w:lang w:eastAsia="en-US"/>
        </w:rPr>
        <w:t>נ</w:t>
      </w:r>
    </w:p>
    <w:p w14:paraId="75B2D3A6" w14:textId="77777777" w:rsidR="00E44382" w:rsidRDefault="00E44382">
      <w:pPr>
        <w:pStyle w:val="-"/>
        <w:bidi/>
        <w:spacing w:before="360" w:after="360"/>
        <w:rPr>
          <w:rFonts w:ascii="FrankRuehl" w:hAnsi="FrankRuehl" w:cs="FrankRuehl"/>
          <w:sz w:val="24"/>
          <w:szCs w:val="24"/>
          <w:u w:val="none"/>
          <w:rtl/>
          <w:lang w:eastAsia="en-US"/>
        </w:rPr>
      </w:pPr>
      <w:r>
        <w:rPr>
          <w:rFonts w:ascii="FrankRuehl" w:hAnsi="FrankRuehl" w:cs="FrankRuehl"/>
          <w:sz w:val="24"/>
          <w:szCs w:val="24"/>
          <w:u w:val="none"/>
          <w:rtl/>
          <w:lang w:eastAsia="en-US"/>
        </w:rPr>
        <w:t>הכרעת</w:t>
      </w:r>
      <w:r>
        <w:rPr>
          <w:rFonts w:ascii="FrankRuehl" w:hAnsi="FrankRuehl" w:cs="FrankRuehl"/>
          <w:position w:val="4"/>
          <w:sz w:val="24"/>
          <w:szCs w:val="24"/>
          <w:u w:val="none"/>
          <w:rtl/>
          <w:lang w:eastAsia="en-US"/>
        </w:rPr>
        <w:t>-</w:t>
      </w:r>
      <w:r>
        <w:rPr>
          <w:rFonts w:ascii="FrankRuehl" w:hAnsi="FrankRuehl" w:cs="FrankRuehl"/>
          <w:sz w:val="24"/>
          <w:szCs w:val="24"/>
          <w:u w:val="none"/>
          <w:rtl/>
          <w:lang w:eastAsia="en-US"/>
        </w:rPr>
        <w:t>דין</w:t>
      </w:r>
    </w:p>
    <w:p w14:paraId="686E7885" w14:textId="77777777" w:rsidR="00E44382" w:rsidRDefault="00E44382">
      <w:pPr>
        <w:pStyle w:val="a"/>
        <w:bidi/>
        <w:rPr>
          <w:rFonts w:ascii="FrankRuehl" w:hAnsi="FrankRuehl" w:cs="FrankRuehl"/>
          <w:sz w:val="24"/>
          <w:szCs w:val="24"/>
          <w:rtl/>
          <w:lang w:eastAsia="en-US"/>
        </w:rPr>
      </w:pPr>
      <w:r>
        <w:rPr>
          <w:rFonts w:ascii="Miriam" w:hAnsi="Miriam" w:cs="Miriam"/>
          <w:sz w:val="24"/>
          <w:szCs w:val="19"/>
          <w:rtl/>
          <w:lang w:eastAsia="en-US"/>
        </w:rPr>
        <w:t>כללי</w:t>
      </w:r>
    </w:p>
    <w:p w14:paraId="711271D6"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w:t>
      </w:r>
      <w:r>
        <w:rPr>
          <w:rFonts w:ascii="FrankRuehl" w:hAnsi="FrankRuehl" w:cs="FrankRuehl"/>
          <w:sz w:val="24"/>
          <w:szCs w:val="24"/>
          <w:rtl/>
          <w:lang w:eastAsia="en-US"/>
        </w:rPr>
        <w:tab/>
        <w:t>כנגד הנאשם הוגש כתב</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אישום המייחס לו שתי עבירות. עבירה של הטרדה מינית לפי </w:t>
      </w:r>
      <w:hyperlink r:id="rId11" w:history="1">
        <w:r w:rsidR="005D10F5" w:rsidRPr="005D10F5">
          <w:rPr>
            <w:rFonts w:ascii="FrankRuehl" w:hAnsi="FrankRuehl" w:cs="FrankRuehl"/>
            <w:color w:val="0000FF"/>
            <w:sz w:val="24"/>
            <w:szCs w:val="24"/>
            <w:u w:val="single"/>
            <w:rtl/>
            <w:lang w:eastAsia="en-US"/>
          </w:rPr>
          <w:t>סעיף 5</w:t>
        </w:r>
      </w:hyperlink>
      <w:r>
        <w:rPr>
          <w:rFonts w:ascii="FrankRuehl" w:hAnsi="FrankRuehl" w:cs="FrankRuehl"/>
          <w:sz w:val="24"/>
          <w:szCs w:val="24"/>
          <w:rtl/>
          <w:lang w:eastAsia="en-US"/>
        </w:rPr>
        <w:t xml:space="preserve"> ביחד עם </w:t>
      </w:r>
      <w:hyperlink r:id="rId12" w:history="1">
        <w:r w:rsidR="005D10F5" w:rsidRPr="005D10F5">
          <w:rPr>
            <w:rFonts w:ascii="FrankRuehl" w:hAnsi="FrankRuehl" w:cs="FrankRuehl"/>
            <w:color w:val="0000FF"/>
            <w:sz w:val="24"/>
            <w:szCs w:val="24"/>
            <w:u w:val="single"/>
            <w:rtl/>
            <w:lang w:eastAsia="en-US"/>
          </w:rPr>
          <w:t>סעיף 3(א)</w:t>
        </w:r>
      </w:hyperlink>
      <w:r>
        <w:rPr>
          <w:rFonts w:ascii="FrankRuehl" w:hAnsi="FrankRuehl" w:cs="FrankRuehl"/>
          <w:sz w:val="24"/>
          <w:szCs w:val="24"/>
          <w:rtl/>
          <w:lang w:eastAsia="en-US"/>
        </w:rPr>
        <w:t xml:space="preserve"> ל</w:t>
      </w:r>
      <w:hyperlink r:id="rId13" w:history="1">
        <w:r w:rsidR="00C05184" w:rsidRPr="00C05184">
          <w:rPr>
            <w:rStyle w:val="Hyperlink"/>
            <w:rFonts w:ascii="FrankRuehl" w:hAnsi="FrankRuehl" w:cs="FrankRuehl"/>
            <w:sz w:val="24"/>
            <w:szCs w:val="24"/>
            <w:rtl/>
            <w:lang w:eastAsia="en-US"/>
          </w:rPr>
          <w:t>חוק למניעת הטרדה מינית</w:t>
        </w:r>
      </w:hyperlink>
      <w:r>
        <w:rPr>
          <w:rFonts w:ascii="FrankRuehl" w:hAnsi="FrankRuehl" w:cs="FrankRuehl"/>
          <w:sz w:val="24"/>
          <w:szCs w:val="24"/>
          <w:rtl/>
          <w:lang w:eastAsia="en-US"/>
        </w:rPr>
        <w:t xml:space="preserve">, תשנ"ח1998-, ועבירה של מעשים מגונים לפי </w:t>
      </w:r>
      <w:hyperlink r:id="rId14" w:history="1">
        <w:r w:rsidR="005D10F5" w:rsidRPr="005D10F5">
          <w:rPr>
            <w:rFonts w:ascii="FrankRuehl" w:hAnsi="FrankRuehl" w:cs="FrankRuehl"/>
            <w:color w:val="0000FF"/>
            <w:sz w:val="24"/>
            <w:szCs w:val="24"/>
            <w:u w:val="single"/>
            <w:rtl/>
            <w:lang w:eastAsia="en-US"/>
          </w:rPr>
          <w:t>סעיף 348(ג)</w:t>
        </w:r>
      </w:hyperlink>
      <w:r>
        <w:rPr>
          <w:rFonts w:ascii="FrankRuehl" w:hAnsi="FrankRuehl" w:cs="FrankRuehl"/>
          <w:sz w:val="24"/>
          <w:szCs w:val="24"/>
          <w:rtl/>
          <w:lang w:eastAsia="en-US"/>
        </w:rPr>
        <w:t xml:space="preserve"> ל</w:t>
      </w:r>
      <w:hyperlink r:id="rId15" w:history="1">
        <w:r w:rsidR="00C05184" w:rsidRPr="00C05184">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תשל"ז1977-.</w:t>
      </w:r>
      <w:r>
        <w:rPr>
          <w:rFonts w:ascii="FrankRuehl" w:hAnsi="FrankRuehl" w:cs="FrankRuehl"/>
          <w:color w:val="FFFFFF"/>
          <w:sz w:val="24"/>
          <w:szCs w:val="24"/>
          <w:rtl/>
          <w:lang w:eastAsia="en-US"/>
        </w:rPr>
        <w:t>ב</w:t>
      </w:r>
    </w:p>
    <w:p w14:paraId="6BA611AE"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lastRenderedPageBreak/>
        <w:t>על</w:t>
      </w:r>
      <w:r>
        <w:rPr>
          <w:rFonts w:ascii="FrankRuehl" w:hAnsi="FrankRuehl" w:cs="FrankRuehl"/>
          <w:position w:val="4"/>
          <w:sz w:val="24"/>
          <w:szCs w:val="24"/>
          <w:rtl/>
          <w:lang w:eastAsia="en-US"/>
        </w:rPr>
        <w:t>-</w:t>
      </w:r>
      <w:r>
        <w:rPr>
          <w:rFonts w:ascii="FrankRuehl" w:hAnsi="FrankRuehl" w:cs="FrankRuehl"/>
          <w:sz w:val="24"/>
          <w:szCs w:val="24"/>
          <w:rtl/>
          <w:lang w:eastAsia="en-US"/>
        </w:rPr>
        <w:t>פי הנטען בכתב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 בוצעו העבירות במהלך השנים 1999-1998 כלפי חיילות שונות אשר שירתו באותה עת כחיילות שוטרות בבסיס מג"ב בלוד, שם שירת הנאשם כאפסנאי.</w:t>
      </w:r>
      <w:r>
        <w:rPr>
          <w:rFonts w:ascii="FrankRuehl" w:hAnsi="FrankRuehl" w:cs="FrankRuehl"/>
          <w:color w:val="FFFFFF"/>
          <w:sz w:val="24"/>
          <w:szCs w:val="24"/>
          <w:rtl/>
          <w:lang w:eastAsia="en-US"/>
        </w:rPr>
        <w:t>ו</w:t>
      </w:r>
    </w:p>
    <w:p w14:paraId="5D0132A0"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העבירות בוצעו במהלך התקופה הרלוונטית, בהזדמנויות שונות בהן הגיעו החיילות (המתלוננות), כל אחת בנפרד למשרדו של הנאשם (להלן – האפסנאות) ו/או פגשו בו ברחבי הבסיס. </w:t>
      </w:r>
    </w:p>
    <w:p w14:paraId="12000C0E"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הנאשם נהג לספר להן על מעלליו המיניים עם אשתו ואחרות, להציע להן הצעות חוזרות בעלות אופי מיני ולאיים עליהן כי באפשרותו לאנוס אותן בלי שאיש ידע על כך וכל זאת בשפה בוטה ומעליבה.</w:t>
      </w:r>
      <w:r>
        <w:rPr>
          <w:rFonts w:ascii="FrankRuehl" w:hAnsi="FrankRuehl" w:cs="FrankRuehl"/>
          <w:color w:val="FFFFFF"/>
          <w:sz w:val="24"/>
          <w:szCs w:val="24"/>
          <w:rtl/>
          <w:lang w:eastAsia="en-US"/>
        </w:rPr>
        <w:t>נ</w:t>
      </w:r>
    </w:p>
    <w:p w14:paraId="26DB2617"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בחלק מהחיילות ביצע מעשים מגונים כפי המפורט בכתב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w:t>
      </w:r>
      <w:r>
        <w:rPr>
          <w:rFonts w:ascii="FrankRuehl" w:hAnsi="FrankRuehl" w:cs="FrankRuehl"/>
          <w:color w:val="FFFFFF"/>
          <w:sz w:val="24"/>
          <w:szCs w:val="24"/>
          <w:rtl/>
          <w:lang w:eastAsia="en-US"/>
        </w:rPr>
        <w:t>ב</w:t>
      </w:r>
    </w:p>
    <w:p w14:paraId="40511241"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החלטתי לזכותו מהמעשה המגונה המיוחס לו בעניינה של מירב שמאלי ולהרשיעו בשאר המעשים המגונים וההטרדות המיניות המיוחסות לו.</w:t>
      </w:r>
      <w:r>
        <w:rPr>
          <w:rFonts w:ascii="FrankRuehl" w:hAnsi="FrankRuehl" w:cs="FrankRuehl"/>
          <w:color w:val="FFFFFF"/>
          <w:sz w:val="24"/>
          <w:szCs w:val="24"/>
          <w:rtl/>
          <w:lang w:eastAsia="en-US"/>
        </w:rPr>
        <w:t>ו</w:t>
      </w:r>
    </w:p>
    <w:p w14:paraId="01360F8C" w14:textId="77777777" w:rsidR="00E44382" w:rsidRDefault="00E44382">
      <w:pPr>
        <w:pStyle w:val="a"/>
        <w:bidi/>
        <w:rPr>
          <w:rFonts w:ascii="FrankRuehl" w:hAnsi="FrankRuehl" w:cs="FrankRuehl"/>
          <w:sz w:val="24"/>
          <w:szCs w:val="24"/>
          <w:rtl/>
          <w:lang w:eastAsia="en-US"/>
        </w:rPr>
      </w:pPr>
      <w:r>
        <w:rPr>
          <w:rFonts w:ascii="Miriam" w:hAnsi="Miriam" w:cs="Miriam"/>
          <w:sz w:val="24"/>
          <w:szCs w:val="19"/>
          <w:rtl/>
          <w:lang w:eastAsia="en-US"/>
        </w:rPr>
        <w:t>גירסת הנאשם</w:t>
      </w:r>
    </w:p>
    <w:p w14:paraId="11FF2FB9"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2.</w:t>
      </w:r>
      <w:r>
        <w:rPr>
          <w:rFonts w:ascii="FrankRuehl" w:hAnsi="FrankRuehl" w:cs="FrankRuehl"/>
          <w:sz w:val="24"/>
          <w:szCs w:val="24"/>
          <w:rtl/>
          <w:lang w:eastAsia="en-US"/>
        </w:rPr>
        <w:tab/>
        <w:t>בישיבת המענה ובעדותו בבית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כפר הנאשם מכול וכול במיוחס לו. לטענתו ייתכן שהחיילות הקשיבו ל"דיבורים וצחוקים" שהתנהלו בין אנשי הקבע בקרבתן, אך איתן אישית "בחיים שלי אני לא יכול לדבר איתם על הנושא הזה" (עמ' 1 לפרוטוקול, מיום 4.7.2000, שורה 10).</w:t>
      </w:r>
      <w:r>
        <w:rPr>
          <w:rFonts w:ascii="FrankRuehl" w:hAnsi="FrankRuehl" w:cs="FrankRuehl"/>
          <w:color w:val="FFFFFF"/>
          <w:sz w:val="24"/>
          <w:szCs w:val="24"/>
          <w:rtl/>
          <w:lang w:eastAsia="en-US"/>
        </w:rPr>
        <w:t>נ</w:t>
      </w:r>
    </w:p>
    <w:p w14:paraId="05D69917"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הוא העלה את הסברה כי מאחר שלא יכול היה לספק את כל הציוד לו נדרשו החיילות החליטו להעליל ולטפול עליו את המעשים. כבר עתה ראוי להדגיש כי פרט למקרה אחד שהוזכר בהודעתו ת3/ והמתייחס לשני אפשטיין לא זכר מקרים נוספים המאששים את סברתו. הוא גם לא ידע לתת הסבר מדוע קצינים, כמו סרג'יו ויקטור הקב"ן, הדס שפירא ראש ענף שוטרות חובה ודב הרץ היועץ המשפטי של מג"ב, אשר אינם נזקקים לשירותיו, העידו כי סגנון דיבורו בוטה וכולל ביטויים מיניים לרוב.</w:t>
      </w:r>
      <w:r>
        <w:rPr>
          <w:rFonts w:ascii="FrankRuehl" w:hAnsi="FrankRuehl" w:cs="FrankRuehl"/>
          <w:color w:val="FFFFFF"/>
          <w:sz w:val="24"/>
          <w:szCs w:val="24"/>
          <w:rtl/>
          <w:lang w:eastAsia="en-US"/>
        </w:rPr>
        <w:t>ב</w:t>
      </w:r>
    </w:p>
    <w:p w14:paraId="14BBADE9"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3.</w:t>
      </w:r>
      <w:r>
        <w:rPr>
          <w:rFonts w:ascii="FrankRuehl" w:hAnsi="FrankRuehl" w:cs="FrankRuehl"/>
          <w:sz w:val="24"/>
          <w:szCs w:val="24"/>
          <w:rtl/>
          <w:lang w:eastAsia="en-US"/>
        </w:rPr>
        <w:tab/>
        <w:t>על</w:t>
      </w:r>
      <w:r>
        <w:rPr>
          <w:rFonts w:ascii="FrankRuehl" w:hAnsi="FrankRuehl" w:cs="FrankRuehl"/>
          <w:position w:val="4"/>
          <w:sz w:val="24"/>
          <w:szCs w:val="24"/>
          <w:rtl/>
          <w:lang w:eastAsia="en-US"/>
        </w:rPr>
        <w:t>-</w:t>
      </w:r>
      <w:r>
        <w:rPr>
          <w:rFonts w:ascii="FrankRuehl" w:hAnsi="FrankRuehl" w:cs="FrankRuehl"/>
          <w:sz w:val="24"/>
          <w:szCs w:val="24"/>
          <w:rtl/>
          <w:lang w:eastAsia="en-US"/>
        </w:rPr>
        <w:t>אף הכחשתו של הנאשם את המיוחס לו בכתב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 מכול וכול, עמדת הסניגור בסיכומיו שונה מעמדת הנאשם. הסניגור סבור כי בפני בית</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המשפט הוכח כי הנאשם היה נוהג לדבר בלשון בוטה, אך עסקינן בסגנון שגם אם אין לברך עליו איננו עולה כדי הטרדה. לטענתו, החוק לא נועד לחנך אלא למנוע הטרדה. ובהיעדר כוונה פלילית אין לומר כי סגנון דיבורו של הנאשם, גם אם הוא בוטה, יש בו משום הטרדה. </w:t>
      </w:r>
      <w:r>
        <w:rPr>
          <w:rFonts w:ascii="FrankRuehl" w:hAnsi="FrankRuehl" w:cs="FrankRuehl"/>
          <w:sz w:val="24"/>
          <w:szCs w:val="24"/>
          <w:rtl/>
          <w:lang w:eastAsia="en-US"/>
        </w:rPr>
        <w:lastRenderedPageBreak/>
        <w:t>הוא מבקש ללמוד מהכחשת הנאשם את המיוחס לו מכול וכול, לא על חוסר מהימנותו אלא על אישיותו – "קשקשן זקן שמדבר שמספר כל מיני שטויות" (עמ' 17 לפרוטוקול שורה 13). הוא סבור כי גם החיילות המתלוננות התייחסו אליו בצורה זו ולכן לא התלוננו בשעת אמירת הדברים או בעת התרחשות האירועים.</w:t>
      </w:r>
      <w:r>
        <w:rPr>
          <w:rFonts w:ascii="FrankRuehl" w:hAnsi="FrankRuehl" w:cs="FrankRuehl"/>
          <w:color w:val="FFFFFF"/>
          <w:sz w:val="24"/>
          <w:szCs w:val="24"/>
          <w:rtl/>
          <w:lang w:eastAsia="en-US"/>
        </w:rPr>
        <w:t>ו</w:t>
      </w:r>
    </w:p>
    <w:p w14:paraId="7F0B755B" w14:textId="77777777" w:rsidR="00E44382" w:rsidRDefault="00E44382">
      <w:pPr>
        <w:pStyle w:val="a"/>
        <w:bidi/>
        <w:rPr>
          <w:rFonts w:ascii="FrankRuehl" w:hAnsi="FrankRuehl" w:cs="FrankRuehl"/>
          <w:sz w:val="24"/>
          <w:szCs w:val="24"/>
          <w:rtl/>
          <w:lang w:eastAsia="en-US"/>
        </w:rPr>
      </w:pPr>
      <w:r>
        <w:rPr>
          <w:rFonts w:ascii="FrankRuehl" w:hAnsi="FrankRuehl" w:cs="FrankRuehl"/>
          <w:spacing w:val="-2"/>
          <w:sz w:val="24"/>
          <w:szCs w:val="24"/>
          <w:rtl/>
          <w:lang w:eastAsia="en-US"/>
        </w:rPr>
        <w:t>לגבי המעשים המגונים המיוחסים לנאשם סבור בא</w:t>
      </w:r>
      <w:r>
        <w:rPr>
          <w:rFonts w:ascii="FrankRuehl" w:hAnsi="FrankRuehl" w:cs="FrankRuehl"/>
          <w:spacing w:val="-2"/>
          <w:position w:val="4"/>
          <w:sz w:val="24"/>
          <w:szCs w:val="24"/>
          <w:rtl/>
          <w:lang w:eastAsia="en-US"/>
        </w:rPr>
        <w:t>-</w:t>
      </w:r>
      <w:r>
        <w:rPr>
          <w:rFonts w:ascii="FrankRuehl" w:hAnsi="FrankRuehl" w:cs="FrankRuehl"/>
          <w:spacing w:val="-2"/>
          <w:sz w:val="24"/>
          <w:szCs w:val="24"/>
          <w:rtl/>
          <w:lang w:eastAsia="en-US"/>
        </w:rPr>
        <w:t xml:space="preserve">כוח הנאשם כי חלקם אמנם התרחש, כמו הנשיקה בעורף שנתן הנאשם לעדי ליברמן בנוכחות חיילות אחרות, אך </w:t>
      </w:r>
      <w:r>
        <w:rPr>
          <w:rFonts w:ascii="FrankRuehl" w:hAnsi="FrankRuehl" w:cs="FrankRuehl"/>
          <w:sz w:val="24"/>
          <w:szCs w:val="24"/>
          <w:rtl/>
          <w:lang w:eastAsia="en-US"/>
        </w:rPr>
        <w:t>מעשים אלה היו נעדרי קונוטציה מינית והם נעשו מתוך רגש אבהי ידידותי. הכללת מעשיו של הנאשם כהטרדה מינית תביא את החוק לידי אבסורד. עובדה היא, כך על</w:t>
      </w:r>
      <w:r>
        <w:rPr>
          <w:rFonts w:ascii="FrankRuehl" w:hAnsi="FrankRuehl" w:cs="FrankRuehl"/>
          <w:position w:val="4"/>
          <w:sz w:val="24"/>
          <w:szCs w:val="24"/>
          <w:rtl/>
          <w:lang w:eastAsia="en-US"/>
        </w:rPr>
        <w:t>-</w:t>
      </w:r>
      <w:r>
        <w:rPr>
          <w:rFonts w:ascii="FrankRuehl" w:hAnsi="FrankRuehl" w:cs="FrankRuehl"/>
          <w:sz w:val="24"/>
          <w:szCs w:val="24"/>
          <w:rtl/>
          <w:lang w:eastAsia="en-US"/>
        </w:rPr>
        <w:t>פי הסניגור,</w:t>
      </w:r>
      <w:r>
        <w:rPr>
          <w:rFonts w:ascii="FrankRuehl" w:hAnsi="FrankRuehl" w:cs="FrankRuehl"/>
          <w:spacing w:val="-2"/>
          <w:sz w:val="24"/>
          <w:szCs w:val="24"/>
          <w:rtl/>
          <w:lang w:eastAsia="en-US"/>
        </w:rPr>
        <w:t xml:space="preserve"> כי הן (החיילות) לא התלוננו אלא לאחר שדורבנו לכך על</w:t>
      </w:r>
      <w:r>
        <w:rPr>
          <w:rFonts w:ascii="FrankRuehl" w:hAnsi="FrankRuehl" w:cs="FrankRuehl"/>
          <w:spacing w:val="-2"/>
          <w:position w:val="4"/>
          <w:sz w:val="24"/>
          <w:szCs w:val="24"/>
          <w:rtl/>
          <w:lang w:eastAsia="en-US"/>
        </w:rPr>
        <w:t>-</w:t>
      </w:r>
      <w:r>
        <w:rPr>
          <w:rFonts w:ascii="FrankRuehl" w:hAnsi="FrankRuehl" w:cs="FrankRuehl"/>
          <w:spacing w:val="-2"/>
          <w:sz w:val="24"/>
          <w:szCs w:val="24"/>
          <w:rtl/>
          <w:lang w:eastAsia="en-US"/>
        </w:rPr>
        <w:t xml:space="preserve">ידי עדי ליברמן אשר </w:t>
      </w:r>
      <w:r>
        <w:rPr>
          <w:rFonts w:ascii="FrankRuehl" w:hAnsi="FrankRuehl" w:cs="FrankRuehl"/>
          <w:sz w:val="24"/>
          <w:szCs w:val="24"/>
          <w:rtl/>
          <w:lang w:eastAsia="en-US"/>
        </w:rPr>
        <w:t>מאיזו שהיא סיבה (עליה לא יכול היה הסניגור להצביע) כעסה יותר או נפגעה יותר.</w:t>
      </w:r>
      <w:r>
        <w:rPr>
          <w:rFonts w:ascii="FrankRuehl" w:hAnsi="FrankRuehl" w:cs="FrankRuehl"/>
          <w:color w:val="FFFFFF"/>
          <w:sz w:val="24"/>
          <w:szCs w:val="24"/>
          <w:rtl/>
          <w:lang w:eastAsia="en-US"/>
        </w:rPr>
        <w:t>נ</w:t>
      </w:r>
    </w:p>
    <w:p w14:paraId="75A224F8" w14:textId="77777777" w:rsidR="00E44382" w:rsidRDefault="00E44382">
      <w:pPr>
        <w:pStyle w:val="a"/>
        <w:bidi/>
        <w:rPr>
          <w:rFonts w:ascii="Miriam" w:hAnsi="Miriam" w:cs="Miriam"/>
          <w:sz w:val="24"/>
          <w:szCs w:val="19"/>
          <w:rtl/>
          <w:lang w:eastAsia="en-US"/>
        </w:rPr>
      </w:pPr>
      <w:r>
        <w:rPr>
          <w:rFonts w:ascii="Miriam" w:hAnsi="Miriam" w:cs="Miriam"/>
          <w:sz w:val="24"/>
          <w:szCs w:val="19"/>
          <w:rtl/>
          <w:lang w:eastAsia="en-US"/>
        </w:rPr>
        <w:t>מהימנות המתלוננות והנאשם</w:t>
      </w:r>
    </w:p>
    <w:p w14:paraId="68713EE5"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4.</w:t>
      </w:r>
      <w:r>
        <w:rPr>
          <w:rFonts w:ascii="FrankRuehl" w:hAnsi="FrankRuehl" w:cs="FrankRuehl"/>
          <w:sz w:val="24"/>
          <w:szCs w:val="24"/>
          <w:rtl/>
          <w:lang w:eastAsia="en-US"/>
        </w:rPr>
        <w:tab/>
        <w:t>העידו בפני 11 עדות תביעה אשר שירתו במהלך התקופה הרלוונטית כחיילות בשירות חובה בבסיס מג"ב בלוד. חלקן כבר משוחררות מהשירות הצבאי, חלקן עדיין משרתות. מדובר בבחורות צעירות בסמוך לשנת ה20</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 של חייהן, שונות זו מזו, אשר ההיכרות ביניהן היא על רקע השירות באותו בסיס (למעט שתיים שלמדו באותו בית ספר בעבר). כולן ללא יוצא מהכלל עשו רושם מהימן על 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והכנות והתמימות השתקפה מדבריהן. כל אחת העידה על</w:t>
      </w:r>
      <w:r>
        <w:rPr>
          <w:rFonts w:ascii="FrankRuehl" w:hAnsi="FrankRuehl" w:cs="FrankRuehl"/>
          <w:position w:val="4"/>
          <w:sz w:val="24"/>
          <w:szCs w:val="24"/>
          <w:rtl/>
          <w:lang w:eastAsia="en-US"/>
        </w:rPr>
        <w:t>-</w:t>
      </w:r>
      <w:r>
        <w:rPr>
          <w:rFonts w:ascii="FrankRuehl" w:hAnsi="FrankRuehl" w:cs="FrankRuehl"/>
          <w:sz w:val="24"/>
          <w:szCs w:val="24"/>
          <w:rtl/>
          <w:lang w:eastAsia="en-US"/>
        </w:rPr>
        <w:t>פי סיגנונה ואישיותה. גירסאותיהן באותם מקרים שהעידו על אותו אירוע תאמו זו את זו ואף לא אחת מהעדויות, בין כזו שיש לה תמיכה ממקור אחר ובין כזו שאינה נתמכת בעדות נוספת, לא הופרכה. ניכר היה בהן כי הן אינן מנסות להאדיר או לגמד את האירועים אלא להעביר לבית</w:t>
      </w:r>
      <w:r>
        <w:rPr>
          <w:rFonts w:ascii="FrankRuehl" w:hAnsi="FrankRuehl" w:cs="FrankRuehl"/>
          <w:position w:val="4"/>
          <w:sz w:val="24"/>
          <w:szCs w:val="24"/>
          <w:rtl/>
          <w:lang w:eastAsia="en-US"/>
        </w:rPr>
        <w:t>-</w:t>
      </w:r>
      <w:r>
        <w:rPr>
          <w:rFonts w:ascii="FrankRuehl" w:hAnsi="FrankRuehl" w:cs="FrankRuehl"/>
          <w:sz w:val="24"/>
          <w:szCs w:val="24"/>
          <w:rtl/>
          <w:lang w:eastAsia="en-US"/>
        </w:rPr>
        <w:t>המשפט את האמת כפי שנקלטה על</w:t>
      </w:r>
      <w:r>
        <w:rPr>
          <w:rFonts w:ascii="FrankRuehl" w:hAnsi="FrankRuehl" w:cs="FrankRuehl"/>
          <w:position w:val="4"/>
          <w:sz w:val="24"/>
          <w:szCs w:val="24"/>
          <w:rtl/>
          <w:lang w:eastAsia="en-US"/>
        </w:rPr>
        <w:t>-</w:t>
      </w:r>
      <w:r>
        <w:rPr>
          <w:rFonts w:ascii="FrankRuehl" w:hAnsi="FrankRuehl" w:cs="FrankRuehl"/>
          <w:sz w:val="24"/>
          <w:szCs w:val="24"/>
          <w:rtl/>
          <w:lang w:eastAsia="en-US"/>
        </w:rPr>
        <w:t>ידיהן בעת התרחשות האירועים. ראוי לציין כי כחוט השני עברו בעדותן התבטאויות חוזרות ונשנות אותן ייחסו לנאשם, התרברבויותיו, בין אם במעשיו ובין אם במעמדו, והיעדר מורא עליו (אפילו של מפקד מג"ב). על</w:t>
      </w:r>
      <w:r>
        <w:rPr>
          <w:rFonts w:ascii="FrankRuehl" w:hAnsi="FrankRuehl" w:cs="FrankRuehl"/>
          <w:position w:val="4"/>
          <w:sz w:val="24"/>
          <w:szCs w:val="24"/>
          <w:rtl/>
          <w:lang w:eastAsia="en-US"/>
        </w:rPr>
        <w:t>-</w:t>
      </w:r>
      <w:r>
        <w:rPr>
          <w:rFonts w:ascii="FrankRuehl" w:hAnsi="FrankRuehl" w:cs="FrankRuehl"/>
          <w:sz w:val="24"/>
          <w:szCs w:val="24"/>
          <w:rtl/>
          <w:lang w:eastAsia="en-US"/>
        </w:rPr>
        <w:t>אף שכל אחת תיארה את האירוע לו הייתה עדה (בדרך</w:t>
      </w:r>
      <w:r>
        <w:rPr>
          <w:rFonts w:ascii="FrankRuehl" w:hAnsi="FrankRuehl" w:cs="FrankRuehl"/>
          <w:position w:val="4"/>
          <w:sz w:val="24"/>
          <w:szCs w:val="24"/>
          <w:rtl/>
          <w:lang w:eastAsia="en-US"/>
        </w:rPr>
        <w:t>-</w:t>
      </w:r>
      <w:r>
        <w:rPr>
          <w:rFonts w:ascii="FrankRuehl" w:hAnsi="FrankRuehl" w:cs="FrankRuehl"/>
          <w:sz w:val="24"/>
          <w:szCs w:val="24"/>
          <w:rtl/>
          <w:lang w:eastAsia="en-US"/>
        </w:rPr>
        <w:t>כלל לבדה) ותיארה את ההתרברבות בלשונה ובהקשר שבו נאמרו לה הדברים, ניכר היה כי מדובר באותן התרברבויות עצמן עליהן חוזר הנאשם פעם אחר פעם. עדויות כה מפורטות וכה תואמות בתיאור דברי הנאשם ודרך התנהגותו, אם כי לא זהות באירועים עצמם אותם עברה כל אחת לבדה, לא ניתן לתאם והן מלמדות על האמינות הרבה שיש לייחס להן. ראוי להדגיש כי העדה אילנית שלום, אשר הייתה היחידה שלא חשה מוטרדת מדבריו של הנאשם, מאשרת אף היא כי התרברב בפניה. דברי ההתרברבות עליהם העידה תואמים את עדויות המתלוננות האחרות.</w:t>
      </w:r>
      <w:r>
        <w:rPr>
          <w:rFonts w:ascii="FrankRuehl" w:hAnsi="FrankRuehl" w:cs="FrankRuehl"/>
          <w:color w:val="FFFFFF"/>
          <w:sz w:val="24"/>
          <w:szCs w:val="24"/>
          <w:rtl/>
          <w:lang w:eastAsia="en-US"/>
        </w:rPr>
        <w:t>ב</w:t>
      </w:r>
    </w:p>
    <w:p w14:paraId="5B86BA52"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5.</w:t>
      </w:r>
      <w:r>
        <w:rPr>
          <w:rFonts w:ascii="FrankRuehl" w:hAnsi="FrankRuehl" w:cs="FrankRuehl"/>
          <w:sz w:val="24"/>
          <w:szCs w:val="24"/>
          <w:rtl/>
          <w:lang w:eastAsia="en-US"/>
        </w:rPr>
        <w:tab/>
        <w:t>התנהגותן של העדות על דוכן העדים אף היא מעידה כי מדובר בעדות אמת. ניכר היה בהן כי העדות הביאה אותן במבוכה והן התקשו לחזור על הביטויים המיניים אשר הנאשם השמיע באוזניהן. חלקן, אשר ההתנסות שלהן עם הנאשם הייתה קשה יותר וכללה ביצוע מעשים מגונים אף בכו על דוכן העדים והתקשו למסור גירסתן. בין העדות שבכו על דוכן העדים הייתה עדי ליברמן אשר עברה שתי התנסויות פיסיות עם הנאשם. באחת מהן, עת נשק לה הנאשם בעורפה, היו נוכחות חיילות אחרות. הסניגור, שעה שהתייחס לאירוע זה בסיכומיו, הסכים כי האירוע התרחש אך לדעתו מדובר בהתנהגות אבהית או ידידותית של הנאשם כלפי עדי. אינני סבורה כי ניתן לומר על התנהגות אשר הביאה את עדי לידי בכי תקופה ארוכה לאחר שהתרחשה כי הייתה זו התנהגות ידידותית או אבהית.</w:t>
      </w:r>
      <w:r>
        <w:rPr>
          <w:rFonts w:ascii="FrankRuehl" w:hAnsi="FrankRuehl" w:cs="FrankRuehl"/>
          <w:color w:val="FFFFFF"/>
          <w:sz w:val="24"/>
          <w:szCs w:val="24"/>
          <w:rtl/>
          <w:lang w:eastAsia="en-US"/>
        </w:rPr>
        <w:t>ו</w:t>
      </w:r>
    </w:p>
    <w:p w14:paraId="5AA6C18A"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6.</w:t>
      </w:r>
      <w:r>
        <w:rPr>
          <w:rFonts w:ascii="FrankRuehl" w:hAnsi="FrankRuehl" w:cs="FrankRuehl"/>
          <w:sz w:val="24"/>
          <w:szCs w:val="24"/>
          <w:rtl/>
          <w:lang w:eastAsia="en-US"/>
        </w:rPr>
        <w:tab/>
        <w:t xml:space="preserve">חלק מהעדויות גובו בעדויות נוספות. האירוע בו נישק הנאשם את עדי ליברמן בעורפה, אליו כבר התייחסתי לעיל, התרחש בנוכחות אורית שרייבמן ואליס יאיר. עדות אלה אישרו את גירסתה של עדי ועדויותיהן תאמו זו את זו לפרטיהן. </w:t>
      </w:r>
    </w:p>
    <w:p w14:paraId="4A5BBE99"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תיאור ההתלבטות והגישושים אצל חיילות נוספות ובעלי תפקידים שונים בבסיס, טרם הגשת התלונה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עדי, אומתו בעדויותיהם של האחרים והם תורמים לאמינות עדותה של עדי ושל האחרים שהתייחסו לכך.</w:t>
      </w:r>
      <w:r>
        <w:rPr>
          <w:rFonts w:ascii="FrankRuehl" w:hAnsi="FrankRuehl" w:cs="FrankRuehl"/>
          <w:color w:val="FFFFFF"/>
          <w:sz w:val="24"/>
          <w:szCs w:val="24"/>
          <w:rtl/>
          <w:lang w:eastAsia="en-US"/>
        </w:rPr>
        <w:t>נ</w:t>
      </w:r>
    </w:p>
    <w:p w14:paraId="3CABC9E6" w14:textId="77777777" w:rsidR="00E44382" w:rsidRDefault="00E44382">
      <w:pPr>
        <w:pStyle w:val="a"/>
        <w:bidi/>
        <w:rPr>
          <w:rFonts w:ascii="FrankRuehl" w:hAnsi="FrankRuehl" w:cs="FrankRuehl"/>
          <w:sz w:val="24"/>
          <w:szCs w:val="24"/>
          <w:rtl/>
          <w:lang w:eastAsia="en-US"/>
        </w:rPr>
      </w:pPr>
      <w:r>
        <w:rPr>
          <w:rFonts w:ascii="FrankRuehl" w:hAnsi="FrankRuehl" w:cs="FrankRuehl"/>
          <w:spacing w:val="-4"/>
          <w:sz w:val="24"/>
          <w:szCs w:val="24"/>
          <w:rtl/>
          <w:lang w:eastAsia="en-US"/>
        </w:rPr>
        <w:t>7.</w:t>
      </w:r>
      <w:r>
        <w:rPr>
          <w:rFonts w:ascii="FrankRuehl" w:hAnsi="FrankRuehl" w:cs="FrankRuehl"/>
          <w:spacing w:val="-4"/>
          <w:sz w:val="24"/>
          <w:szCs w:val="24"/>
          <w:rtl/>
          <w:lang w:eastAsia="en-US"/>
        </w:rPr>
        <w:tab/>
        <w:t xml:space="preserve">לטענת הנאשם וסניגורו העלילו העדות על הנאשם. לו היו חפצות העדות להעליל </w:t>
      </w:r>
      <w:r>
        <w:rPr>
          <w:rFonts w:ascii="FrankRuehl" w:hAnsi="FrankRuehl" w:cs="FrankRuehl"/>
          <w:sz w:val="24"/>
          <w:szCs w:val="24"/>
          <w:rtl/>
          <w:lang w:eastAsia="en-US"/>
        </w:rPr>
        <w:t>על הנאשם היו פונות ישירות להגיש תלונה ולא היו מהססות, מתלבטות ופונות תחילה אל הקב"ן כדי לברר אם ניתן להגיש תלונה בעילום שם, ורק בעידודו ומתוך תחושת הכוח המשותפת בהיותן שלוש מתלוננות (עדי, שני ודנה) העזו לפנות ולהגיש תלונה.</w:t>
      </w:r>
      <w:r>
        <w:rPr>
          <w:rFonts w:ascii="FrankRuehl" w:hAnsi="FrankRuehl" w:cs="FrankRuehl"/>
          <w:color w:val="FFFFFF"/>
          <w:sz w:val="24"/>
          <w:szCs w:val="24"/>
          <w:rtl/>
          <w:lang w:eastAsia="en-US"/>
        </w:rPr>
        <w:t>ב</w:t>
      </w:r>
    </w:p>
    <w:p w14:paraId="256D5FFD"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מכל הטעמים הללו נתתי אמון בלתי מסויג בדברי המתלוננות כולן.</w:t>
      </w:r>
      <w:r>
        <w:rPr>
          <w:rFonts w:ascii="FrankRuehl" w:hAnsi="FrankRuehl" w:cs="FrankRuehl"/>
          <w:color w:val="FFFFFF"/>
          <w:sz w:val="24"/>
          <w:szCs w:val="24"/>
          <w:rtl/>
          <w:lang w:eastAsia="en-US"/>
        </w:rPr>
        <w:t>ו</w:t>
      </w:r>
    </w:p>
    <w:p w14:paraId="700821CF"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8.</w:t>
      </w:r>
      <w:r>
        <w:rPr>
          <w:rFonts w:ascii="FrankRuehl" w:hAnsi="FrankRuehl" w:cs="FrankRuehl"/>
          <w:sz w:val="24"/>
          <w:szCs w:val="24"/>
          <w:rtl/>
          <w:lang w:eastAsia="en-US"/>
        </w:rPr>
        <w:tab/>
        <w:t>מאידך, לא נתתי אמון בדברי הנאשם, וברור, וכך אף עולה מסיכומי הסניגור, כי ההתבטאויות שיוחסו לנאשם נאמרו על</w:t>
      </w:r>
      <w:r>
        <w:rPr>
          <w:rFonts w:ascii="FrankRuehl" w:hAnsi="FrankRuehl" w:cs="FrankRuehl"/>
          <w:position w:val="4"/>
          <w:sz w:val="24"/>
          <w:szCs w:val="24"/>
          <w:rtl/>
          <w:lang w:eastAsia="en-US"/>
        </w:rPr>
        <w:t>-</w:t>
      </w:r>
      <w:r>
        <w:rPr>
          <w:rFonts w:ascii="FrankRuehl" w:hAnsi="FrankRuehl" w:cs="FrankRuehl"/>
          <w:sz w:val="24"/>
          <w:szCs w:val="24"/>
          <w:rtl/>
          <w:lang w:eastAsia="en-US"/>
        </w:rPr>
        <w:t>ידיו. אין לי ספק כי המעשים המיוחסים לנאשם אירעו אף הם בדיוק כפי שתיארו אותם החיילות, לא רק מבחינת עצם התרחשות המעשה (ולגבי חלקם אין מחלוקת שהתרחשו (ראה סיכומי הסניגור, עמ' 19 שורה 4)) אלא גם מבחינת הפרשנות שיש לתת למעשים.</w:t>
      </w:r>
    </w:p>
    <w:p w14:paraId="0305E52F" w14:textId="77777777" w:rsidR="00E44382" w:rsidRDefault="00E44382">
      <w:pPr>
        <w:pStyle w:val="a"/>
        <w:bidi/>
        <w:rPr>
          <w:rFonts w:ascii="Miriam" w:hAnsi="Miriam" w:cs="Miriam"/>
          <w:sz w:val="24"/>
          <w:szCs w:val="19"/>
          <w:rtl/>
          <w:lang w:eastAsia="en-US"/>
        </w:rPr>
      </w:pPr>
      <w:r>
        <w:rPr>
          <w:rFonts w:ascii="Miriam" w:hAnsi="Miriam" w:cs="Miriam"/>
          <w:sz w:val="24"/>
          <w:szCs w:val="19"/>
          <w:rtl/>
          <w:lang w:eastAsia="en-US"/>
        </w:rPr>
        <w:t xml:space="preserve">ההטרדה המינית </w:t>
      </w:r>
      <w:r>
        <w:rPr>
          <w:rFonts w:ascii="FrankRuehl" w:hAnsi="FrankRuehl" w:cs="FrankRuehl"/>
          <w:sz w:val="24"/>
          <w:szCs w:val="24"/>
          <w:rtl/>
          <w:lang w:eastAsia="en-US"/>
        </w:rPr>
        <w:t>–</w:t>
      </w:r>
      <w:r>
        <w:rPr>
          <w:rFonts w:ascii="Miriam" w:hAnsi="Miriam" w:cs="Miriam"/>
          <w:sz w:val="24"/>
          <w:szCs w:val="19"/>
          <w:rtl/>
          <w:lang w:eastAsia="en-US"/>
        </w:rPr>
        <w:t xml:space="preserve"> כללי</w:t>
      </w:r>
    </w:p>
    <w:p w14:paraId="1435ED9B"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9.</w:t>
      </w:r>
      <w:r>
        <w:rPr>
          <w:rFonts w:ascii="FrankRuehl" w:hAnsi="FrankRuehl" w:cs="FrankRuehl"/>
          <w:sz w:val="24"/>
          <w:szCs w:val="24"/>
          <w:rtl/>
          <w:lang w:eastAsia="en-US"/>
        </w:rPr>
        <w:tab/>
      </w:r>
      <w:hyperlink r:id="rId16" w:history="1">
        <w:r w:rsidR="005D10F5" w:rsidRPr="005D10F5">
          <w:rPr>
            <w:rFonts w:ascii="FrankRuehl" w:hAnsi="FrankRuehl" w:cs="FrankRuehl"/>
            <w:color w:val="0000FF"/>
            <w:sz w:val="24"/>
            <w:szCs w:val="24"/>
            <w:u w:val="single"/>
            <w:rtl/>
            <w:lang w:eastAsia="en-US"/>
          </w:rPr>
          <w:t>סעיף 3(א)</w:t>
        </w:r>
      </w:hyperlink>
      <w:r>
        <w:rPr>
          <w:rFonts w:ascii="FrankRuehl" w:hAnsi="FrankRuehl" w:cs="FrankRuehl"/>
          <w:sz w:val="24"/>
          <w:szCs w:val="24"/>
          <w:rtl/>
          <w:lang w:eastAsia="en-US"/>
        </w:rPr>
        <w:t xml:space="preserve"> ל</w:t>
      </w:r>
      <w:hyperlink r:id="rId17" w:history="1">
        <w:r w:rsidR="00C05184" w:rsidRPr="00C05184">
          <w:rPr>
            <w:rStyle w:val="Hyperlink"/>
            <w:rFonts w:ascii="FrankRuehl" w:hAnsi="FrankRuehl" w:cs="FrankRuehl"/>
            <w:sz w:val="24"/>
            <w:szCs w:val="24"/>
            <w:rtl/>
            <w:lang w:eastAsia="en-US"/>
          </w:rPr>
          <w:t>חוק למניעת הטרדה מינית</w:t>
        </w:r>
      </w:hyperlink>
      <w:r>
        <w:rPr>
          <w:rFonts w:ascii="FrankRuehl" w:hAnsi="FrankRuehl" w:cs="FrankRuehl"/>
          <w:sz w:val="24"/>
          <w:szCs w:val="24"/>
          <w:rtl/>
          <w:lang w:eastAsia="en-US"/>
        </w:rPr>
        <w:t xml:space="preserve"> קובע:</w:t>
      </w:r>
    </w:p>
    <w:p w14:paraId="73E90942" w14:textId="77777777" w:rsidR="00E44382" w:rsidRDefault="00E44382">
      <w:pPr>
        <w:pStyle w:val="a8"/>
        <w:tabs>
          <w:tab w:val="right" w:pos="992"/>
          <w:tab w:val="right" w:pos="1021"/>
        </w:tabs>
        <w:bidi/>
        <w:spacing w:after="120"/>
        <w:rPr>
          <w:rFonts w:ascii="FrankRuehl" w:hAnsi="FrankRuehl" w:cs="FrankRuehl"/>
          <w:sz w:val="24"/>
          <w:szCs w:val="24"/>
          <w:rtl/>
          <w:lang w:eastAsia="en-US"/>
        </w:rPr>
      </w:pPr>
      <w:r>
        <w:rPr>
          <w:rFonts w:ascii="FrankRuehl" w:hAnsi="FrankRuehl" w:cs="FrankRuehl"/>
          <w:sz w:val="24"/>
          <w:szCs w:val="24"/>
          <w:rtl/>
          <w:lang w:eastAsia="en-US"/>
        </w:rPr>
        <w:t>"(א)</w:t>
      </w:r>
      <w:r>
        <w:rPr>
          <w:rFonts w:ascii="FrankRuehl" w:hAnsi="FrankRuehl" w:cs="FrankRuehl"/>
          <w:sz w:val="24"/>
          <w:szCs w:val="24"/>
          <w:rtl/>
          <w:lang w:eastAsia="en-US"/>
        </w:rPr>
        <w:tab/>
      </w:r>
      <w:r>
        <w:rPr>
          <w:rFonts w:ascii="FrankRuehl" w:hAnsi="FrankRuehl" w:cs="FrankRuehl"/>
          <w:sz w:val="24"/>
          <w:szCs w:val="24"/>
          <w:rtl/>
          <w:lang w:eastAsia="en-US"/>
        </w:rPr>
        <w:tab/>
        <w:t>הטרדה מינית היא כל אחד ממעשים אלה:</w:t>
      </w:r>
    </w:p>
    <w:p w14:paraId="4E15116D" w14:textId="77777777" w:rsidR="00E44382" w:rsidRDefault="00E44382">
      <w:pPr>
        <w:pStyle w:val="a8"/>
        <w:bidi/>
        <w:spacing w:after="120"/>
        <w:ind w:left="1278" w:hanging="425"/>
        <w:rPr>
          <w:rFonts w:ascii="FrankRuehl" w:hAnsi="FrankRuehl" w:cs="FrankRuehl"/>
          <w:sz w:val="24"/>
          <w:szCs w:val="24"/>
          <w:rtl/>
          <w:lang w:eastAsia="en-US"/>
        </w:rPr>
      </w:pPr>
      <w:r>
        <w:rPr>
          <w:rFonts w:ascii="FrankRuehl" w:hAnsi="FrankRuehl" w:cs="FrankRuehl"/>
          <w:sz w:val="24"/>
          <w:szCs w:val="24"/>
          <w:rtl/>
          <w:lang w:eastAsia="en-US"/>
        </w:rPr>
        <w:t>(1)</w:t>
      </w:r>
      <w:r>
        <w:rPr>
          <w:rFonts w:ascii="FrankRuehl" w:hAnsi="FrankRuehl" w:cs="FrankRuehl"/>
          <w:sz w:val="24"/>
          <w:szCs w:val="24"/>
          <w:rtl/>
          <w:lang w:eastAsia="en-US"/>
        </w:rPr>
        <w:tab/>
        <w:t>חיטה באיומים, כמשמעותה בסעיף 428 ל</w:t>
      </w:r>
      <w:hyperlink r:id="rId18" w:history="1">
        <w:r w:rsidR="00C05184" w:rsidRPr="00C05184">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 כאשר המעשה שהאדם נדרש לעשותו הוא בעל אופי מיני;</w:t>
      </w:r>
    </w:p>
    <w:p w14:paraId="194A6488" w14:textId="77777777" w:rsidR="00E44382" w:rsidRDefault="00E44382">
      <w:pPr>
        <w:pStyle w:val="a8"/>
        <w:bidi/>
        <w:spacing w:after="120"/>
        <w:ind w:left="1278" w:hanging="425"/>
        <w:rPr>
          <w:rFonts w:ascii="FrankRuehl" w:hAnsi="FrankRuehl" w:cs="FrankRuehl"/>
          <w:sz w:val="24"/>
          <w:szCs w:val="24"/>
          <w:rtl/>
          <w:lang w:eastAsia="en-US"/>
        </w:rPr>
      </w:pPr>
      <w:r>
        <w:rPr>
          <w:rFonts w:ascii="FrankRuehl" w:hAnsi="FrankRuehl" w:cs="FrankRuehl"/>
          <w:sz w:val="24"/>
          <w:szCs w:val="24"/>
          <w:rtl/>
          <w:lang w:eastAsia="en-US"/>
        </w:rPr>
        <w:t>(2)</w:t>
      </w:r>
      <w:r>
        <w:rPr>
          <w:rFonts w:ascii="FrankRuehl" w:hAnsi="FrankRuehl" w:cs="FrankRuehl"/>
          <w:sz w:val="24"/>
          <w:szCs w:val="24"/>
          <w:rtl/>
          <w:lang w:eastAsia="en-US"/>
        </w:rPr>
        <w:tab/>
        <w:t>מעשים מגונים כמשמעותם בסעיפים 348 ו349</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 ל</w:t>
      </w:r>
      <w:hyperlink r:id="rId19" w:history="1">
        <w:r w:rsidR="00C05184" w:rsidRPr="00C05184">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w:t>
      </w:r>
    </w:p>
    <w:p w14:paraId="55FF7864" w14:textId="77777777" w:rsidR="00E44382" w:rsidRDefault="00E44382">
      <w:pPr>
        <w:pStyle w:val="a8"/>
        <w:bidi/>
        <w:spacing w:after="120"/>
        <w:ind w:left="1278" w:hanging="425"/>
        <w:rPr>
          <w:rFonts w:ascii="FrankRuehl" w:hAnsi="FrankRuehl" w:cs="FrankRuehl"/>
          <w:sz w:val="24"/>
          <w:szCs w:val="24"/>
          <w:rtl/>
          <w:lang w:eastAsia="en-US"/>
        </w:rPr>
      </w:pPr>
      <w:r>
        <w:rPr>
          <w:rFonts w:ascii="FrankRuehl" w:hAnsi="FrankRuehl" w:cs="FrankRuehl"/>
          <w:sz w:val="24"/>
          <w:szCs w:val="24"/>
          <w:rtl/>
          <w:lang w:eastAsia="en-US"/>
        </w:rPr>
        <w:t>(3)</w:t>
      </w:r>
      <w:r>
        <w:rPr>
          <w:rFonts w:ascii="FrankRuehl" w:hAnsi="FrankRuehl" w:cs="FrankRuehl"/>
          <w:sz w:val="24"/>
          <w:szCs w:val="24"/>
          <w:rtl/>
          <w:lang w:eastAsia="en-US"/>
        </w:rPr>
        <w:tab/>
        <w:t>הצעות חוזרות בעלות אופי מיני, המופנות לאדם אשר הראה למטריד  כי אינו מעונין בהצעות האמורות;</w:t>
      </w:r>
    </w:p>
    <w:p w14:paraId="44BA7D01" w14:textId="77777777" w:rsidR="00E44382" w:rsidRDefault="00E44382">
      <w:pPr>
        <w:pStyle w:val="a8"/>
        <w:bidi/>
        <w:spacing w:after="120"/>
        <w:ind w:left="1278" w:hanging="425"/>
        <w:rPr>
          <w:rFonts w:ascii="FrankRuehl" w:hAnsi="FrankRuehl" w:cs="FrankRuehl"/>
          <w:sz w:val="24"/>
          <w:szCs w:val="24"/>
          <w:rtl/>
          <w:lang w:eastAsia="en-US"/>
        </w:rPr>
      </w:pPr>
      <w:r>
        <w:rPr>
          <w:rFonts w:ascii="FrankRuehl" w:hAnsi="FrankRuehl" w:cs="FrankRuehl"/>
          <w:sz w:val="24"/>
          <w:szCs w:val="24"/>
          <w:rtl/>
          <w:lang w:eastAsia="en-US"/>
        </w:rPr>
        <w:t>(4)</w:t>
      </w:r>
      <w:r>
        <w:rPr>
          <w:rFonts w:ascii="FrankRuehl" w:hAnsi="FrankRuehl" w:cs="FrankRuehl"/>
          <w:sz w:val="24"/>
          <w:szCs w:val="24"/>
          <w:rtl/>
          <w:lang w:eastAsia="en-US"/>
        </w:rPr>
        <w:tab/>
        <w:t>התייחסויות חוזרות המופנות לאדם, המתמקדות במיניותו, כאשר אותו אדם הראה למטריד כי אינו מעונין בהתייחסויות האמורות;</w:t>
      </w:r>
    </w:p>
    <w:p w14:paraId="415A5FB0" w14:textId="77777777" w:rsidR="00E44382" w:rsidRDefault="00E44382">
      <w:pPr>
        <w:pStyle w:val="a8"/>
        <w:bidi/>
        <w:spacing w:after="120"/>
        <w:ind w:left="1278" w:hanging="425"/>
        <w:rPr>
          <w:rFonts w:ascii="FrankRuehl" w:hAnsi="FrankRuehl" w:cs="FrankRuehl"/>
          <w:sz w:val="24"/>
          <w:szCs w:val="24"/>
          <w:rtl/>
          <w:lang w:eastAsia="en-US"/>
        </w:rPr>
      </w:pPr>
      <w:r>
        <w:rPr>
          <w:rFonts w:ascii="FrankRuehl" w:hAnsi="FrankRuehl" w:cs="FrankRuehl"/>
          <w:sz w:val="24"/>
          <w:szCs w:val="24"/>
          <w:rtl/>
          <w:lang w:eastAsia="en-US"/>
        </w:rPr>
        <w:t>(5)</w:t>
      </w:r>
      <w:r>
        <w:rPr>
          <w:rFonts w:ascii="FrankRuehl" w:hAnsi="FrankRuehl" w:cs="FrankRuehl"/>
          <w:sz w:val="24"/>
          <w:szCs w:val="24"/>
          <w:rtl/>
          <w:lang w:eastAsia="en-US"/>
        </w:rPr>
        <w:tab/>
        <w:t>התייחסות מבזה או משפילה המופנית לאדם ביחס למינו או למיניותו, לרבות נטייתו המינית;</w:t>
      </w:r>
    </w:p>
    <w:p w14:paraId="4315B1FD" w14:textId="77777777" w:rsidR="00E44382" w:rsidRDefault="00E44382">
      <w:pPr>
        <w:pStyle w:val="a8"/>
        <w:bidi/>
        <w:spacing w:after="0"/>
        <w:ind w:left="1278" w:hanging="425"/>
        <w:rPr>
          <w:rFonts w:ascii="FrankRuehl" w:hAnsi="FrankRuehl" w:cs="FrankRuehl"/>
          <w:sz w:val="24"/>
          <w:szCs w:val="24"/>
          <w:rtl/>
          <w:lang w:eastAsia="en-US"/>
        </w:rPr>
      </w:pPr>
      <w:r>
        <w:rPr>
          <w:rFonts w:ascii="FrankRuehl" w:hAnsi="FrankRuehl" w:cs="FrankRuehl"/>
          <w:sz w:val="24"/>
          <w:szCs w:val="24"/>
          <w:rtl/>
          <w:lang w:eastAsia="en-US"/>
        </w:rPr>
        <w:t>(6)</w:t>
      </w:r>
      <w:r>
        <w:rPr>
          <w:rFonts w:ascii="FrankRuehl" w:hAnsi="FrankRuehl" w:cs="FrankRuehl"/>
          <w:sz w:val="24"/>
          <w:szCs w:val="24"/>
          <w:rtl/>
          <w:lang w:eastAsia="en-US"/>
        </w:rPr>
        <w:tab/>
        <w:t>הצעות או התייחסויות כאמור בפסקאות (3) או (4), המופנות למי מהמנויים בפסקאות המשנה (א) עד (ג), בנסיבות המפורטות בפסקאות משנה אלה, גם אם המוטרד לא הראה למטריד כי אינו מעונין בהצעות או בהתייחסויות האמורות:</w:t>
      </w:r>
    </w:p>
    <w:p w14:paraId="325A0297" w14:textId="77777777" w:rsidR="00E44382" w:rsidRDefault="00E44382">
      <w:pPr>
        <w:pStyle w:val="a8"/>
        <w:bidi/>
        <w:spacing w:after="80"/>
        <w:rPr>
          <w:rFonts w:ascii="FrankRuehl" w:hAnsi="FrankRuehl" w:cs="FrankRuehl"/>
          <w:sz w:val="24"/>
          <w:szCs w:val="24"/>
          <w:rtl/>
          <w:lang w:eastAsia="en-US"/>
        </w:rPr>
      </w:pPr>
      <w:r>
        <w:rPr>
          <w:rFonts w:ascii="FrankRuehl" w:hAnsi="FrankRuehl" w:cs="FrankRuehl"/>
          <w:sz w:val="24"/>
          <w:szCs w:val="24"/>
          <w:rtl/>
          <w:lang w:eastAsia="en-US"/>
        </w:rPr>
        <w:t>...</w:t>
      </w:r>
    </w:p>
    <w:p w14:paraId="42221FDD" w14:textId="77777777" w:rsidR="00E44382" w:rsidRDefault="00E44382">
      <w:pPr>
        <w:pStyle w:val="a8"/>
        <w:bidi/>
        <w:ind w:left="853" w:hanging="399"/>
        <w:rPr>
          <w:rFonts w:ascii="FrankRuehl" w:hAnsi="FrankRuehl" w:cs="FrankRuehl"/>
          <w:sz w:val="24"/>
          <w:szCs w:val="24"/>
          <w:rtl/>
          <w:lang w:eastAsia="en-US"/>
        </w:rPr>
      </w:pPr>
      <w:r>
        <w:rPr>
          <w:rFonts w:ascii="FrankRuehl" w:hAnsi="FrankRuehl" w:cs="FrankRuehl"/>
          <w:sz w:val="24"/>
          <w:szCs w:val="24"/>
          <w:rtl/>
          <w:lang w:eastAsia="en-US"/>
        </w:rPr>
        <w:t>(ג)</w:t>
      </w:r>
      <w:r>
        <w:rPr>
          <w:rFonts w:ascii="FrankRuehl" w:hAnsi="FrankRuehl" w:cs="FrankRuehl"/>
          <w:sz w:val="24"/>
          <w:szCs w:val="24"/>
          <w:rtl/>
          <w:lang w:eastAsia="en-US"/>
        </w:rPr>
        <w:tab/>
        <w:t>לעובד במסגרת יחסי עבודה, ולאדם בשירות במסגרת שירות – תוך ניצול מרות ביחסי עבודה או בשירות".</w:t>
      </w:r>
    </w:p>
    <w:p w14:paraId="322D464A"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רק מעשים המפורטים בסעיפים </w:t>
      </w:r>
      <w:hyperlink r:id="rId20" w:history="1">
        <w:r w:rsidR="005D10F5" w:rsidRPr="005D10F5">
          <w:rPr>
            <w:rFonts w:ascii="FrankRuehl" w:hAnsi="FrankRuehl" w:cs="FrankRuehl"/>
            <w:color w:val="0000FF"/>
            <w:sz w:val="24"/>
            <w:szCs w:val="24"/>
            <w:u w:val="single"/>
            <w:rtl/>
            <w:lang w:eastAsia="en-US"/>
          </w:rPr>
          <w:t>קטנים (3) עד (6)</w:t>
        </w:r>
      </w:hyperlink>
      <w:r>
        <w:rPr>
          <w:rFonts w:ascii="FrankRuehl" w:hAnsi="FrankRuehl" w:cs="FrankRuehl"/>
          <w:sz w:val="24"/>
          <w:szCs w:val="24"/>
          <w:rtl/>
          <w:lang w:eastAsia="en-US"/>
        </w:rPr>
        <w:t xml:space="preserve"> </w:t>
      </w:r>
      <w:hyperlink r:id="rId21" w:history="1">
        <w:r w:rsidR="005D10F5" w:rsidRPr="005D10F5">
          <w:rPr>
            <w:rFonts w:ascii="FrankRuehl" w:hAnsi="FrankRuehl" w:cs="FrankRuehl"/>
            <w:color w:val="0000FF"/>
            <w:sz w:val="24"/>
            <w:szCs w:val="24"/>
            <w:u w:val="single"/>
            <w:rtl/>
            <w:lang w:eastAsia="en-US"/>
          </w:rPr>
          <w:t>לסעיף 3(א)</w:t>
        </w:r>
      </w:hyperlink>
      <w:r>
        <w:rPr>
          <w:rFonts w:ascii="FrankRuehl" w:hAnsi="FrankRuehl" w:cs="FrankRuehl"/>
          <w:sz w:val="24"/>
          <w:szCs w:val="24"/>
          <w:rtl/>
          <w:lang w:eastAsia="en-US"/>
        </w:rPr>
        <w:t xml:space="preserve"> ל</w:t>
      </w:r>
      <w:hyperlink r:id="rId22" w:history="1">
        <w:r w:rsidR="00C05184" w:rsidRPr="00C05184">
          <w:rPr>
            <w:rStyle w:val="Hyperlink"/>
            <w:rFonts w:ascii="FrankRuehl" w:hAnsi="FrankRuehl" w:cs="FrankRuehl"/>
            <w:sz w:val="24"/>
            <w:szCs w:val="24"/>
            <w:rtl/>
            <w:lang w:eastAsia="en-US"/>
          </w:rPr>
          <w:t>חוק למניעת הטרדה מינית</w:t>
        </w:r>
      </w:hyperlink>
      <w:r>
        <w:rPr>
          <w:rFonts w:ascii="FrankRuehl" w:hAnsi="FrankRuehl" w:cs="FrankRuehl"/>
          <w:sz w:val="24"/>
          <w:szCs w:val="24"/>
          <w:rtl/>
          <w:lang w:eastAsia="en-US"/>
        </w:rPr>
        <w:t xml:space="preserve"> מהווים עבירה פלילית.</w:t>
      </w:r>
    </w:p>
    <w:p w14:paraId="0DEE5908"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הטרדה מינית יכולה ללבוש צורות שונות ויכולה להתרחש על רקע שונה. לעתים היא מתרחשת על רקע יחסי מרות ולעתים ללא רקע כזה. לעתים היא מתבטאת בדיבורים בלבד ולעתים היא לובשת צורה של פגיעה גופנית. לעתים הפגיעה הגופנית נושאת אופי של מגע מקרי כביכול ולעתים הפגיעה הגופנית נושאת אופי של מעשה מגונה ואף אונס. המשותף לכל ההטרדות המיניות "...הוא התנהגות בעלת אופי מיני של אדם אחד שיש בה כדי לפגוע באדם אחר" (ראה </w:t>
      </w:r>
      <w:hyperlink r:id="rId23" w:history="1">
        <w:r w:rsidR="00C05184" w:rsidRPr="00C05184">
          <w:rPr>
            <w:rStyle w:val="Hyperlink"/>
            <w:rFonts w:ascii="Miriam" w:hAnsi="Miriam" w:cs="Miriam"/>
            <w:sz w:val="24"/>
            <w:szCs w:val="19"/>
            <w:rtl/>
            <w:lang w:eastAsia="en-US"/>
          </w:rPr>
          <w:t>עש"מ 6713/96</w:t>
        </w:r>
      </w:hyperlink>
      <w:r>
        <w:rPr>
          <w:rFonts w:ascii="Miriam" w:hAnsi="Miriam" w:cs="Miriam"/>
          <w:sz w:val="24"/>
          <w:szCs w:val="19"/>
          <w:rtl/>
          <w:lang w:eastAsia="en-US"/>
        </w:rPr>
        <w:t xml:space="preserve"> מדינת ישראל נ' </w:t>
      </w:r>
      <w:r>
        <w:rPr>
          <w:rFonts w:ascii="Miriam" w:hAnsi="Miriam" w:cs="Miriam"/>
          <w:sz w:val="24"/>
          <w:szCs w:val="19"/>
          <w:rtl/>
          <w:lang w:eastAsia="en-US"/>
        </w:rPr>
        <w:br/>
        <w:t>בן אשר [1]</w:t>
      </w:r>
      <w:r>
        <w:rPr>
          <w:rFonts w:ascii="FrankRuehl" w:hAnsi="FrankRuehl" w:cs="FrankRuehl"/>
          <w:sz w:val="24"/>
          <w:szCs w:val="24"/>
          <w:rtl/>
          <w:lang w:eastAsia="en-US"/>
        </w:rPr>
        <w:t xml:space="preserve">, </w:t>
      </w:r>
      <w:r>
        <w:rPr>
          <w:rFonts w:ascii="Miriam" w:hAnsi="Miriam" w:cs="Miriam"/>
          <w:sz w:val="24"/>
          <w:szCs w:val="19"/>
          <w:rtl/>
          <w:lang w:eastAsia="en-US"/>
        </w:rPr>
        <w:t>בעמ' 663</w:t>
      </w:r>
      <w:r>
        <w:rPr>
          <w:rFonts w:ascii="FrankRuehl" w:hAnsi="FrankRuehl" w:cs="FrankRuehl"/>
          <w:sz w:val="24"/>
          <w:szCs w:val="24"/>
          <w:rtl/>
          <w:lang w:eastAsia="en-US"/>
        </w:rPr>
        <w:t>).</w:t>
      </w:r>
    </w:p>
    <w:p w14:paraId="0BDA3AB6"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הקושי בקביעת מעשה כהטרדה מינית מן הבחינה המשפטית נעוץ בקושי לקבוע מתי עוברת התנהגות בעלת אופי מיני את הגבול מתחום המותר אל תחום האסור.</w:t>
      </w:r>
    </w:p>
    <w:p w14:paraId="4E0B1170"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10.</w:t>
      </w:r>
      <w:r>
        <w:rPr>
          <w:rFonts w:ascii="FrankRuehl" w:hAnsi="FrankRuehl" w:cs="FrankRuehl"/>
          <w:sz w:val="24"/>
          <w:szCs w:val="24"/>
          <w:rtl/>
          <w:lang w:eastAsia="en-US"/>
        </w:rPr>
        <w:tab/>
        <w:t>אין ספק כי סגנון דיבורו של הנאשם היה בוטה ושולבו בו התבטאויות מיניות לא רק במסגרת יחסיו עם המתלוננות. העידו על כך ויקטור סרג'יו, קצין בריאות הנפש החיילי:</w:t>
      </w:r>
    </w:p>
    <w:p w14:paraId="19A8CDCE" w14:textId="77777777" w:rsidR="00E44382" w:rsidRDefault="00E44382">
      <w:pPr>
        <w:pStyle w:val="a8"/>
        <w:bidi/>
        <w:rPr>
          <w:rFonts w:ascii="FrankRuehl" w:hAnsi="FrankRuehl" w:cs="FrankRuehl"/>
          <w:sz w:val="24"/>
          <w:szCs w:val="24"/>
          <w:rtl/>
          <w:lang w:eastAsia="en-US"/>
        </w:rPr>
      </w:pPr>
      <w:r>
        <w:rPr>
          <w:rFonts w:ascii="FrankRuehl" w:hAnsi="FrankRuehl" w:cs="FrankRuehl"/>
          <w:sz w:val="24"/>
          <w:szCs w:val="24"/>
          <w:rtl/>
          <w:lang w:eastAsia="en-US"/>
        </w:rPr>
        <w:t xml:space="preserve">"אלי הוא תמיד היה איש חביב מאד. היה לי אולי חילוקי דעות עם עצמי על סגנון הדיבור... המילים הגסות לא מצאו חן בעיני, קולניות יתר" </w:t>
      </w:r>
      <w:r>
        <w:rPr>
          <w:rFonts w:ascii="FrankRuehl" w:hAnsi="FrankRuehl" w:cs="FrankRuehl"/>
          <w:sz w:val="24"/>
          <w:szCs w:val="24"/>
          <w:rtl/>
          <w:lang w:eastAsia="en-US"/>
        </w:rPr>
        <w:br/>
        <w:t>(עמ' 41 לפרוטוקול, שורה 11).</w:t>
      </w:r>
    </w:p>
    <w:p w14:paraId="7BEC22B0"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הדס שפירא, מ"מ ראש ענף שוטרות חובה בבסיס:</w:t>
      </w:r>
    </w:p>
    <w:p w14:paraId="2CFBA563" w14:textId="77777777" w:rsidR="00E44382" w:rsidRDefault="00E44382">
      <w:pPr>
        <w:pStyle w:val="a8"/>
        <w:bidi/>
        <w:rPr>
          <w:rFonts w:ascii="FrankRuehl" w:hAnsi="FrankRuehl" w:cs="FrankRuehl"/>
          <w:sz w:val="24"/>
          <w:szCs w:val="24"/>
          <w:rtl/>
          <w:lang w:eastAsia="en-US"/>
        </w:rPr>
      </w:pPr>
      <w:r>
        <w:rPr>
          <w:rFonts w:ascii="FrankRuehl" w:hAnsi="FrankRuehl" w:cs="FrankRuehl"/>
          <w:sz w:val="24"/>
          <w:szCs w:val="24"/>
          <w:rtl/>
          <w:lang w:eastAsia="en-US"/>
        </w:rPr>
        <w:t>"אני יודעת מידיעה אישית שהוא רגיל להתבטא באופן בוטה בתחום המיני. זה הסגנון שלו" (ת7/ שורה 9).</w:t>
      </w:r>
    </w:p>
    <w:p w14:paraId="4D048CB9"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דב הרץ, היועץ המשפטי של מג"ב:</w:t>
      </w:r>
    </w:p>
    <w:p w14:paraId="4297732B" w14:textId="77777777" w:rsidR="00E44382" w:rsidRDefault="00E44382">
      <w:pPr>
        <w:pStyle w:val="a8"/>
        <w:bidi/>
        <w:rPr>
          <w:rFonts w:ascii="FrankRuehl" w:hAnsi="FrankRuehl" w:cs="FrankRuehl"/>
          <w:sz w:val="24"/>
          <w:szCs w:val="24"/>
          <w:rtl/>
          <w:lang w:eastAsia="en-US"/>
        </w:rPr>
      </w:pPr>
      <w:r>
        <w:rPr>
          <w:rFonts w:ascii="FrankRuehl" w:hAnsi="FrankRuehl" w:cs="FrankRuehl"/>
          <w:sz w:val="24"/>
          <w:szCs w:val="24"/>
          <w:rtl/>
          <w:lang w:eastAsia="en-US"/>
        </w:rPr>
        <w:t>"כברה נוהג לדבר ולהתבטא בגסות כלפי גברים ונשים וכלפי מפקדים ועמיתים בכל שעה ובכל מקום" (ת8/ שורה 28).</w:t>
      </w:r>
    </w:p>
    <w:p w14:paraId="472A09EB"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11.</w:t>
      </w:r>
      <w:r>
        <w:rPr>
          <w:rFonts w:ascii="FrankRuehl" w:hAnsi="FrankRuehl" w:cs="FrankRuehl"/>
          <w:sz w:val="24"/>
          <w:szCs w:val="24"/>
          <w:rtl/>
          <w:lang w:eastAsia="en-US"/>
        </w:rPr>
        <w:tab/>
        <w:t>האם ניתן לייחס לנאשם הטרדה מינית או מעשים מגונים על רקע אישיותו והתנהגותו הכללית?</w:t>
      </w:r>
    </w:p>
    <w:p w14:paraId="32CB5949"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הסניגור סבור שלא. הסניגור סבור כי "כברה הוא כזה": גס רוח, פשוט, בוטה, מתרברב, "קשקשן זקן שמדבר מספר כל מיני שטויות" (עמ' 17 לפרוטוקול, שורה 13). אל לנו לחטוא, אומר הסניגור, ולקבוע כי התנהגותו הבוטה, שגם אם אין לברך עליה, עולה כדי הטרדה מינית כאשר לנאשם לא הייתה כל כוונה לבצע עבירה פלילית. גם החיילות לדעתו התייחסו אל הנאשם כקשקשן זקן ולכן לא ראו להתלונן עליו ורק כאשר הוגשה התלונה במח"ש קיבלה התנהגותו קונוטציה מינית.</w:t>
      </w:r>
    </w:p>
    <w:p w14:paraId="3E2D01FD"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אני סבורה כי מסכת הראיות שנפרשה בפניי מצביעה ללא צל של ספק כי הנאשם, בנוסף להיותו גס רוח ומתבטא בצורה בוטה הכוללת ביטויים מיניים כלפי כולם, הטריד מינית את המתלוננות ולא יכול להיות כל צל של ספק בעניין זה.</w:t>
      </w:r>
    </w:p>
    <w:p w14:paraId="5FB210CA"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במסגרת יחסיו עם המתלוננות, בעיקר כאשר הן נמצאו ביחידות אתו, נוספה לסגנון הקלוקל "הרגיל" הטרדה של ממש בין אם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הצעת הצעות מיניות מפורשות, בין אם על</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ידי התייחסות מבזה ומשפילה בשימוש בלשון בוטה יותר משפתו הרגילה בתיאורי מעלליו המיניים עם אשתו, נשים אחרות וחיילות אחרות – כל זאת תוך ניצול יחסי המרות שבינו לבין המתלוננות ותוך התעלמות מבקשתן המפורשת לחדול, או מהתנהגותן אשר הצביעה על חוסר הנוחות והפגיעה שהן חשות מהתנהגותו. </w:t>
      </w:r>
    </w:p>
    <w:p w14:paraId="4D3AF2F8"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לא יכול להיות ספק כי התנהגותו, לה היה מודע, והביטויים אותם השמיע עלו כדי הטרדה מינית.</w:t>
      </w:r>
    </w:p>
    <w:p w14:paraId="6987E8E9" w14:textId="77777777" w:rsidR="00E44382" w:rsidRDefault="00E44382">
      <w:pPr>
        <w:pStyle w:val="a"/>
        <w:bidi/>
        <w:rPr>
          <w:rFonts w:ascii="Miriam" w:hAnsi="Miriam" w:cs="Miriam"/>
          <w:sz w:val="24"/>
          <w:szCs w:val="19"/>
          <w:rtl/>
          <w:lang w:eastAsia="en-US"/>
        </w:rPr>
      </w:pPr>
      <w:r>
        <w:rPr>
          <w:rFonts w:ascii="Miriam" w:hAnsi="Miriam" w:cs="Miriam"/>
          <w:sz w:val="24"/>
          <w:szCs w:val="19"/>
          <w:rtl/>
          <w:lang w:eastAsia="en-US"/>
        </w:rPr>
        <w:t>יחסי מרות</w:t>
      </w:r>
    </w:p>
    <w:p w14:paraId="1DFF242A"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12.</w:t>
      </w:r>
      <w:r>
        <w:rPr>
          <w:rFonts w:ascii="FrankRuehl" w:hAnsi="FrankRuehl" w:cs="FrankRuehl"/>
          <w:sz w:val="24"/>
          <w:szCs w:val="24"/>
          <w:rtl/>
          <w:lang w:eastAsia="en-US"/>
        </w:rPr>
        <w:tab/>
        <w:t>בין הנאשם לבין החיילות התקיימו יחסי מרות. גם אם אין המדובר ביחסי מרות קלאסיים של מפקד ופקידה תחת פיקודו, עדיין יש לראות, לדעתי, את מערכת היחסים שבין הנאשם לחיילות כיחסי מרות.</w:t>
      </w:r>
    </w:p>
    <w:p w14:paraId="601B19DA"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הנאשם העיד על עצמו כי היה אחראי על כל הנושא הלוגיסטי במשמר הגבול, "כמו מטה ארצי של המשטרה אבל של מג"ב" (עמ' 3 לפרוטוקול, שורה 20 לעדותו).</w:t>
      </w:r>
    </w:p>
    <w:p w14:paraId="0ABB9BB0"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העיד שציוד ניתן לקבל רק ממנו. ופרט לאוכל, שגם עליו הוא אחראי בעקיפין, "הכל ממני" (עמ' 3 לפרוטוקול, שורה 24).</w:t>
      </w:r>
    </w:p>
    <w:p w14:paraId="5A505A18"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הוא שימש כאפסנאי יחיד בבסיס בעל דרגה בכירה "סגן אלוף מקבל אותה משכורת שלי" (עמ' 3 לפרוטוקול, שורה 19).</w:t>
      </w:r>
    </w:p>
    <w:p w14:paraId="579D3C89"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החיילות, בשירות חובה, נזקקו לשירותיו של הנאשם במסגרת תפקידן, לא הייתה להן כל דרך לעקוף את המפגשים אתו בהיותו אפסנאי יחיד והוא היה בעל דרגה בכירה מהן במערכת צבאית הנשענת על הייררכיה של דרגות. הנאשם התרברב בפניהן בכל הזדמנות כי הוא נמצא שנים רבות במערכת ואינו חושש מאיש, גם לא ממפקד מג"ב. הנאשם גם הבין וניצל את מעמדו בתוך המערכת לעומת מעמדן של החיילות.</w:t>
      </w:r>
    </w:p>
    <w:p w14:paraId="46282A3D"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שני אפשטיין העידה כי נמנעה מלבוא לאפסנאות לעתים תכופות והמתינה עד שלא היה מנוס מלהביא ציוד. כשפגש אותה הנאשם בבסיס שאל אם היא מפחדת לבוא והוסיף כי הוא יכול להתקשר לבוס שלה ולהגיד שהוא צריך אותה לעבודות אצלו ואז היא תרד (עמ' 3 לפרוטוקול, שורות 8-6).</w:t>
      </w:r>
    </w:p>
    <w:p w14:paraId="0DE9312B"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בהמשך העידה כי הנאשם היה מבקש ממנה להיכנס אתו למחסן כדי להביא את הציוד וכשנשאלה מדוע לא סירבה וביקשה ממנו כי יביא לה את הציוד לדלפק השיבה: "כי הוא לא היה מביא לי את הציוד ואז זה סירוב פקודה של הממונים עלי כי לא הייתי מביאה את הציוד שהייתי אמורה להביא" (עמ' 8 לפרוטוקול, שורה 7).</w:t>
      </w:r>
    </w:p>
    <w:p w14:paraId="460FEB47"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עדי העידה כי לאחר האירוע בו נשק לה בעורף ומשלא נעתר לבקשתה לעזוב אותה, אמרה לו כי היא יכולה להתלונן בפני נציב קבילות החיילים. הנאשם התקשר למפקדת שלה ואמר לה כי "הילדה שלה עושה בעיות" (עמ' 11 לפרוטוקול, שורה 8).</w:t>
      </w:r>
    </w:p>
    <w:p w14:paraId="6BC1E685"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כשנשאלה מדוע לא צעקה כאשר באחד האירועים בו לא היו נוכחים נוספים הכניס את ידו מתחת לחולצתה השיבה "אם אני אבוא ואצעק עליו אחר כך אני לא אקבל ציוד".</w:t>
      </w:r>
    </w:p>
    <w:p w14:paraId="08B57375"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כשנשאלה אתי לג'ני, אותה חיבק במותן וליטף בישבן, מדוע לא קמה והלכה משם השיבה: "הייתי צריכה את הציוד" (עמ' 35 לפרוטוקול, שורה 26). </w:t>
      </w:r>
    </w:p>
    <w:p w14:paraId="341AFBCA"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אין ספק כי כל אלה מלמדים על יחסי מרות בין הנאשם לחיילות וכי היחסים נתפסו הן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הנאשם והן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החיילות כיחסי מרות.</w:t>
      </w:r>
    </w:p>
    <w:p w14:paraId="0A3A3546"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13.</w:t>
      </w:r>
      <w:r>
        <w:rPr>
          <w:rFonts w:ascii="FrankRuehl" w:hAnsi="FrankRuehl" w:cs="FrankRuehl"/>
          <w:sz w:val="24"/>
          <w:szCs w:val="24"/>
          <w:rtl/>
          <w:lang w:eastAsia="en-US"/>
        </w:rPr>
        <w:tab/>
        <w:t xml:space="preserve">המסקנה כי התקיימו בין הנאשם לחיילות יחסי מרות יש בה כדי להקים את העבירה של הטרדה מינית גם באותם מקרים בהם החיילות לא אמרו לנאשם באורח מפורש כי אינן מעוניינות בהצעותיו בעלות האופי המיני או בהתייחסותו המופנית אליהן ומתמקדת במיניותן. </w:t>
      </w:r>
    </w:p>
    <w:p w14:paraId="761A7D71"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ודוק, אני סבורה כי בהתנהגותן הבהירו כל החיילות לנאשם כי אינן מעוניינות בהתנהגותו. אני גם סבורה כי הנאשם חש זאת ולכן שאל את שני אם היא פוחדת, והעבירה קמה על יסוד הוראת </w:t>
      </w:r>
      <w:hyperlink r:id="rId24" w:history="1">
        <w:r w:rsidR="005D10F5" w:rsidRPr="005D10F5">
          <w:rPr>
            <w:rFonts w:ascii="FrankRuehl" w:hAnsi="FrankRuehl" w:cs="FrankRuehl"/>
            <w:color w:val="0000FF"/>
            <w:sz w:val="24"/>
            <w:szCs w:val="24"/>
            <w:u w:val="single"/>
            <w:rtl/>
            <w:lang w:eastAsia="en-US"/>
          </w:rPr>
          <w:t>סעיפים 3(א)(3)</w:t>
        </w:r>
      </w:hyperlink>
      <w:r>
        <w:rPr>
          <w:rFonts w:ascii="FrankRuehl" w:hAnsi="FrankRuehl" w:cs="FrankRuehl"/>
          <w:sz w:val="24"/>
          <w:szCs w:val="24"/>
          <w:rtl/>
          <w:lang w:eastAsia="en-US"/>
        </w:rPr>
        <w:t xml:space="preserve"> ו</w:t>
      </w:r>
      <w:hyperlink r:id="rId25" w:history="1">
        <w:r w:rsidR="005D10F5" w:rsidRPr="005D10F5">
          <w:rPr>
            <w:rFonts w:ascii="FrankRuehl" w:hAnsi="FrankRuehl" w:cs="FrankRuehl"/>
            <w:color w:val="0000FF"/>
            <w:position w:val="4"/>
            <w:sz w:val="24"/>
            <w:szCs w:val="24"/>
            <w:u w:val="single"/>
            <w:rtl/>
            <w:lang w:eastAsia="en-US"/>
          </w:rPr>
          <w:t>3-(א)(4)</w:t>
        </w:r>
      </w:hyperlink>
      <w:r>
        <w:rPr>
          <w:rFonts w:ascii="FrankRuehl" w:hAnsi="FrankRuehl" w:cs="FrankRuehl"/>
          <w:sz w:val="24"/>
          <w:szCs w:val="24"/>
          <w:rtl/>
          <w:lang w:eastAsia="en-US"/>
        </w:rPr>
        <w:t xml:space="preserve"> ל</w:t>
      </w:r>
      <w:hyperlink r:id="rId26" w:history="1">
        <w:r w:rsidR="00C05184" w:rsidRPr="00C05184">
          <w:rPr>
            <w:rStyle w:val="Hyperlink"/>
            <w:rFonts w:ascii="FrankRuehl" w:hAnsi="FrankRuehl" w:cs="FrankRuehl"/>
            <w:sz w:val="24"/>
            <w:szCs w:val="24"/>
            <w:rtl/>
            <w:lang w:eastAsia="en-US"/>
          </w:rPr>
          <w:t>חוק למניעת הטרדה מינית</w:t>
        </w:r>
      </w:hyperlink>
      <w:r>
        <w:rPr>
          <w:rFonts w:ascii="FrankRuehl" w:hAnsi="FrankRuehl" w:cs="FrankRuehl"/>
          <w:sz w:val="24"/>
          <w:szCs w:val="24"/>
          <w:rtl/>
          <w:lang w:eastAsia="en-US"/>
        </w:rPr>
        <w:t>.</w:t>
      </w:r>
    </w:p>
    <w:p w14:paraId="714B4F09" w14:textId="77777777" w:rsidR="00E44382" w:rsidRDefault="00E44382">
      <w:pPr>
        <w:pStyle w:val="a"/>
        <w:bidi/>
        <w:rPr>
          <w:rFonts w:ascii="Miriam" w:hAnsi="Miriam" w:cs="Miriam"/>
          <w:sz w:val="24"/>
          <w:szCs w:val="19"/>
          <w:rtl/>
          <w:lang w:eastAsia="en-US"/>
        </w:rPr>
      </w:pPr>
      <w:r>
        <w:rPr>
          <w:rFonts w:ascii="Miriam" w:hAnsi="Miriam" w:cs="Miriam"/>
          <w:sz w:val="24"/>
          <w:szCs w:val="19"/>
          <w:rtl/>
          <w:lang w:eastAsia="en-US"/>
        </w:rPr>
        <w:t>ההצעות</w:t>
      </w:r>
    </w:p>
    <w:p w14:paraId="7123F731"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14.</w:t>
      </w:r>
      <w:r>
        <w:rPr>
          <w:rFonts w:ascii="FrankRuehl" w:hAnsi="FrankRuehl" w:cs="FrankRuehl"/>
          <w:sz w:val="24"/>
          <w:szCs w:val="24"/>
          <w:rtl/>
          <w:lang w:eastAsia="en-US"/>
        </w:rPr>
        <w:tab/>
        <w:t>לחלק מהחיילות בא הנאשם בהצעות למעשים מיניים של ממש:</w:t>
      </w:r>
    </w:p>
    <w:p w14:paraId="0BCEF470"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לשני אפשטיין אמר שהוא רוצה אותה, היא סטרילית לטעמו, יש לו דלי וסמרטוט מאחור באפסנאות ואם יעשו משהו אפשר להתנקות (עמ' 2 לפרוטוקול, שורות 20-13).</w:t>
      </w:r>
    </w:p>
    <w:p w14:paraId="1D8413E1" w14:textId="77777777" w:rsidR="00E44382" w:rsidRDefault="00E44382">
      <w:pPr>
        <w:pStyle w:val="a"/>
        <w:bidi/>
        <w:rPr>
          <w:rFonts w:ascii="FrankRuehl" w:hAnsi="FrankRuehl" w:cs="FrankRuehl"/>
          <w:spacing w:val="-4"/>
          <w:sz w:val="24"/>
          <w:szCs w:val="24"/>
          <w:rtl/>
          <w:lang w:eastAsia="en-US"/>
        </w:rPr>
      </w:pPr>
      <w:r>
        <w:rPr>
          <w:rFonts w:ascii="FrankRuehl" w:hAnsi="FrankRuehl" w:cs="FrankRuehl"/>
          <w:sz w:val="24"/>
          <w:szCs w:val="24"/>
          <w:rtl/>
          <w:lang w:eastAsia="en-US"/>
        </w:rPr>
        <w:t xml:space="preserve">לעפרה ניסים אמר כי הוא יפנק אותה והיא תפנק אותו, הוא ילקק אותה והיא תלקק </w:t>
      </w:r>
      <w:r>
        <w:rPr>
          <w:rFonts w:ascii="FrankRuehl" w:hAnsi="FrankRuehl" w:cs="FrankRuehl"/>
          <w:spacing w:val="-4"/>
          <w:sz w:val="24"/>
          <w:szCs w:val="24"/>
          <w:rtl/>
          <w:lang w:eastAsia="en-US"/>
        </w:rPr>
        <w:t>אותו. גם בפניה הזכיר את האפשרות להתנקות מאחור (עמ' 28 לפרוטוקול, שורות 17-13).</w:t>
      </w:r>
    </w:p>
    <w:p w14:paraId="6EFB5223"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 xml:space="preserve">לדנה נעמת הסביר כי אפשר לגמור גם בלי חדירות ומעל המכנסיים (עמ' 17 לפרוטוקול, שורה 8). </w:t>
      </w:r>
    </w:p>
    <w:p w14:paraId="3A8AF9C8"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לשאר הבנות היו הצעות בדרך מרומזת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תיאורים של מעשים מיניים שלו עם אשתו ועם נשים אחרות, חלקן חיילות שהיו באות אליו לאפסנאות,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הפחדה כי יכול לאנוס אותן ואף אחד לא יידע ואף אחד לא יאמין; על</w:t>
      </w:r>
      <w:r>
        <w:rPr>
          <w:rFonts w:ascii="FrankRuehl" w:hAnsi="FrankRuehl" w:cs="FrankRuehl"/>
          <w:position w:val="4"/>
          <w:sz w:val="24"/>
          <w:szCs w:val="24"/>
          <w:rtl/>
          <w:lang w:eastAsia="en-US"/>
        </w:rPr>
        <w:t>-</w:t>
      </w:r>
      <w:r>
        <w:rPr>
          <w:rFonts w:ascii="FrankRuehl" w:hAnsi="FrankRuehl" w:cs="FrankRuehl"/>
          <w:sz w:val="24"/>
          <w:szCs w:val="24"/>
          <w:rtl/>
          <w:lang w:eastAsia="en-US"/>
        </w:rPr>
        <w:t>ידי יצירת מצג כי אין עליו מורא אף לא של מפקד מג"ב ותוך הסברים כי יש מראה בכניסה לאפסנאות המאפשרת לראות מתוך המחסן את מי שנכנס לאפסנאות כך שהדברים ייעשו בדיסקרטיות מלאה.</w:t>
      </w:r>
    </w:p>
    <w:p w14:paraId="009D4B3F" w14:textId="77777777" w:rsidR="00E44382" w:rsidRDefault="00E44382">
      <w:pPr>
        <w:pStyle w:val="a"/>
        <w:bidi/>
        <w:rPr>
          <w:rFonts w:ascii="Miriam" w:hAnsi="Miriam" w:cs="Miriam"/>
          <w:sz w:val="24"/>
          <w:szCs w:val="19"/>
          <w:rtl/>
          <w:lang w:eastAsia="en-US"/>
        </w:rPr>
      </w:pPr>
      <w:r>
        <w:rPr>
          <w:rFonts w:ascii="Miriam" w:hAnsi="Miriam" w:cs="Miriam"/>
          <w:sz w:val="24"/>
          <w:szCs w:val="19"/>
          <w:rtl/>
          <w:lang w:eastAsia="en-US"/>
        </w:rPr>
        <w:t>המעשים המגונים</w:t>
      </w:r>
    </w:p>
    <w:p w14:paraId="2D5C5E58"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15.</w:t>
      </w:r>
      <w:r>
        <w:rPr>
          <w:rFonts w:ascii="FrankRuehl" w:hAnsi="FrankRuehl" w:cs="FrankRuehl"/>
          <w:sz w:val="24"/>
          <w:szCs w:val="24"/>
          <w:rtl/>
          <w:lang w:eastAsia="en-US"/>
        </w:rPr>
        <w:tab/>
        <w:t xml:space="preserve">המעשים המגונים בוצעו כלפי עדי ליברמן אותה חיבק בהזדמנות אחת ונשק לעורפה בהזדמנות אחרת. </w:t>
      </w:r>
    </w:p>
    <w:p w14:paraId="4B9C211F"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כלפי שני אפשטיין אותה ביקש להתלוות אליו למחסן מאחור ושם בהיותם לבד רחוק מעיני כל חיבק אותה והכניס את ידו מתחת לחולצתה. בפעם נוספת הגיע הנאשם למשרדה של שני אפשטיין וחיבק אותה.</w:t>
      </w:r>
    </w:p>
    <w:p w14:paraId="3FAF8EB9"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כלפי דנה נעמת אותה תפס בחזה ואמר לה "את רואה אף אחד לא רואה", או כאשר היה נתקל בה בבסיס היה מחבק אותה ונושק לה ביד או בלחי.</w:t>
      </w:r>
    </w:p>
    <w:p w14:paraId="4D0312F1"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כלפי אתי לגני אותה חיבק וליטף בישבן.</w:t>
      </w:r>
    </w:p>
    <w:p w14:paraId="09FA8930"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כלפי אילנית שלום אותה נישק בצווארה עת המתינה לקבלת ציוד.</w:t>
      </w:r>
    </w:p>
    <w:p w14:paraId="6B6D9D8C"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כלפי עופרה ניסים אותה היה מלטף בישבן.</w:t>
      </w:r>
    </w:p>
    <w:p w14:paraId="6741FD04"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מהמעשים המגונים המיוחסים לו כלפי מירב שמאלי החלטתי לזכותו שכן ייתכן והנגיעה בירכה המיוחסת לו באותו מקרה לא נעשתה בקונוטציה מינית אלא כניסיון להסב את תשומת לבה של מירב עת נסעו יחדיו ברכב וכפי שהעידה בעצמה: "ציינתי במח"ש שדיברנו ותוך כדי השיחה הוא נגע לי ברגל כדי ליצור אתי קשר עין" (עמ' 26 לפרוטוקול, שורה 13).</w:t>
      </w:r>
    </w:p>
    <w:p w14:paraId="699477B7" w14:textId="77777777" w:rsidR="00E44382" w:rsidRDefault="00E44382">
      <w:pPr>
        <w:pStyle w:val="a"/>
        <w:bidi/>
        <w:rPr>
          <w:rFonts w:ascii="Miriam" w:hAnsi="Miriam" w:cs="Miriam"/>
          <w:sz w:val="24"/>
          <w:szCs w:val="19"/>
          <w:rtl/>
          <w:lang w:eastAsia="en-US"/>
        </w:rPr>
      </w:pPr>
      <w:r>
        <w:rPr>
          <w:rFonts w:ascii="Miriam" w:hAnsi="Miriam" w:cs="Miriam"/>
          <w:sz w:val="24"/>
          <w:szCs w:val="19"/>
          <w:rtl/>
          <w:lang w:eastAsia="en-US"/>
        </w:rPr>
        <w:t>מודעות הנאשם למעשיו</w:t>
      </w:r>
    </w:p>
    <w:p w14:paraId="7FC18B95"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16.</w:t>
      </w:r>
      <w:r>
        <w:rPr>
          <w:rFonts w:ascii="FrankRuehl" w:hAnsi="FrankRuehl" w:cs="FrankRuehl"/>
          <w:sz w:val="24"/>
          <w:szCs w:val="24"/>
          <w:rtl/>
          <w:lang w:eastAsia="en-US"/>
        </w:rPr>
        <w:tab/>
        <w:t>מעצם הכחשת הנאשם את מעשיו ואת סגנון דיבורו ניתן להבין כי גם הנאשם מבין ומודע למעשיו ושאין המדובר בהתנהגות מקובלת. הנאשם "הרשה לעצמו" להודות בעדותו רק ב"יכול להיות כשעושים לי כיף [טפיחה על השכם – ז' ב'] או בחצר שעוברים חיבוק אבהי" (עמ' 7 לפרוטוקול, שורה 1).</w:t>
      </w:r>
    </w:p>
    <w:p w14:paraId="3F14C6BE"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17.</w:t>
      </w:r>
      <w:r>
        <w:rPr>
          <w:rFonts w:ascii="FrankRuehl" w:hAnsi="FrankRuehl" w:cs="FrankRuehl"/>
          <w:sz w:val="24"/>
          <w:szCs w:val="24"/>
          <w:rtl/>
          <w:lang w:eastAsia="en-US"/>
        </w:rPr>
        <w:tab/>
        <w:t>כל החיילות העידו כי התנהגותו של הנאשם הייתה שונה כאשר היו אתו לבדן באפסנאות וכאשר היה עוד מישהו נוכח ולכן השתדלו לא להגיע בגפן לאפסנאות. הן העידו כי דאג להשאיר אותן אחרונות ולטפל קודם בחיילים אשר באו לקבל ציוד (ראו עדויותיהן של דנה נעמת (עמ' 20 לפרוטוקול, שורה 5), לירון ועקנין (עמ' 22 לפרוטוקול, שורה 25), מירב שמי (עמ' 25 לפרוטוקול, שורה 20, עמ' 26 לפרוטוקול, שורה 5), עפרה ניסים עמ' 29 לפרוטוקול, שורה 19)).</w:t>
      </w:r>
    </w:p>
    <w:p w14:paraId="1B194B5B"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אתי לג'ני העידה כי כשליטף אותה בישבן והיא ניסתה להתרחק ממנו הבחין בכך הנאשם ואמר לה "אל תדאגי אני לא אעשה לך כלום" (עמ' 34 לפרוטוקול, שורה 11).</w:t>
      </w:r>
    </w:p>
    <w:p w14:paraId="346C9DDA" w14:textId="77777777" w:rsidR="00E44382" w:rsidRDefault="00E44382">
      <w:pPr>
        <w:pStyle w:val="a"/>
        <w:bidi/>
        <w:rPr>
          <w:rFonts w:ascii="Miriam" w:hAnsi="Miriam" w:cs="Miriam"/>
          <w:color w:val="FFFFFF"/>
          <w:sz w:val="24"/>
          <w:szCs w:val="19"/>
          <w:rtl/>
          <w:lang w:eastAsia="en-US"/>
        </w:rPr>
      </w:pPr>
      <w:r>
        <w:rPr>
          <w:rFonts w:ascii="FrankRuehl" w:hAnsi="FrankRuehl" w:cs="FrankRuehl"/>
          <w:sz w:val="24"/>
          <w:szCs w:val="24"/>
          <w:rtl/>
          <w:lang w:eastAsia="en-US"/>
        </w:rPr>
        <w:t xml:space="preserve">גם מהעובדה שאף אחת מהבנות לא קיבלה את הצעותיו ולא שיתפה אותו בחוויות מיניות משל עצמה היה על הנאשם להיות מודע לכך כי מעשיו והתנהגותו אינם מקובלים על החיילות. </w:t>
      </w:r>
    </w:p>
    <w:p w14:paraId="45F08C16" w14:textId="77777777" w:rsidR="00E44382" w:rsidRDefault="00E44382">
      <w:pPr>
        <w:pStyle w:val="a"/>
        <w:bidi/>
        <w:rPr>
          <w:rFonts w:ascii="FrankRuehl" w:hAnsi="FrankRuehl" w:cs="FrankRuehl"/>
          <w:sz w:val="24"/>
          <w:szCs w:val="24"/>
          <w:rtl/>
          <w:lang w:eastAsia="en-US"/>
        </w:rPr>
      </w:pPr>
      <w:r>
        <w:rPr>
          <w:rFonts w:ascii="Miriam" w:hAnsi="Miriam" w:cs="Miriam"/>
          <w:color w:val="FFFFFF"/>
          <w:sz w:val="24"/>
          <w:szCs w:val="19"/>
          <w:rtl/>
          <w:lang w:eastAsia="en-US"/>
        </w:rPr>
        <w:t>5129371</w:t>
      </w:r>
      <w:r>
        <w:rPr>
          <w:rFonts w:ascii="Miriam" w:hAnsi="Miriam" w:cs="Miriam"/>
          <w:sz w:val="24"/>
          <w:szCs w:val="19"/>
          <w:rtl/>
          <w:lang w:eastAsia="en-US"/>
        </w:rPr>
        <w:t>סוף דבר</w:t>
      </w:r>
    </w:p>
    <w:p w14:paraId="383B044E"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t>18.</w:t>
      </w:r>
      <w:r>
        <w:rPr>
          <w:rFonts w:ascii="FrankRuehl" w:hAnsi="FrankRuehl" w:cs="FrankRuehl"/>
          <w:sz w:val="24"/>
          <w:szCs w:val="24"/>
          <w:rtl/>
          <w:lang w:eastAsia="en-US"/>
        </w:rPr>
        <w:tab/>
        <w:t xml:space="preserve"> העולה מכל האמור הוא כי הנאשם, באורח שיטתי, נהג להטריד את החיילות בבסיס מג"ב ולבצע בהן מעשים מגונים תוך שהוא מנצל את יחסי המרות שבינו לבינן. התביעה הוכיחה את כל המיוחס לנאשם בכתב</w:t>
      </w:r>
      <w:r>
        <w:rPr>
          <w:rFonts w:ascii="FrankRuehl" w:hAnsi="FrankRuehl" w:cs="FrankRuehl"/>
          <w:position w:val="4"/>
          <w:sz w:val="24"/>
          <w:szCs w:val="24"/>
          <w:rtl/>
          <w:lang w:eastAsia="en-US"/>
        </w:rPr>
        <w:t>-</w:t>
      </w:r>
      <w:r>
        <w:rPr>
          <w:rFonts w:ascii="FrankRuehl" w:hAnsi="FrankRuehl" w:cs="FrankRuehl"/>
          <w:sz w:val="24"/>
          <w:szCs w:val="24"/>
          <w:rtl/>
          <w:lang w:eastAsia="en-US"/>
        </w:rPr>
        <w:t>האישום (כולל הטפיחה על הירך המיוחסת לו שבוצעה כלפי מירב שמאלי למרות שסברתי כי אין בה משום מעשה מגונה), ועל</w:t>
      </w:r>
      <w:r>
        <w:rPr>
          <w:rFonts w:ascii="FrankRuehl" w:hAnsi="FrankRuehl" w:cs="FrankRuehl"/>
          <w:position w:val="4"/>
          <w:sz w:val="24"/>
          <w:szCs w:val="24"/>
          <w:rtl/>
          <w:lang w:eastAsia="en-US"/>
        </w:rPr>
        <w:t>-</w:t>
      </w:r>
      <w:r>
        <w:rPr>
          <w:rFonts w:ascii="FrankRuehl" w:hAnsi="FrankRuehl" w:cs="FrankRuehl"/>
          <w:sz w:val="24"/>
          <w:szCs w:val="24"/>
          <w:rtl/>
          <w:lang w:eastAsia="en-US"/>
        </w:rPr>
        <w:t>כן אני מרשיעה אותו בעבירות במיוחסות לו בכתב</w:t>
      </w:r>
      <w:r>
        <w:rPr>
          <w:rFonts w:ascii="FrankRuehl" w:hAnsi="FrankRuehl" w:cs="FrankRuehl"/>
          <w:position w:val="4"/>
          <w:sz w:val="24"/>
          <w:szCs w:val="24"/>
          <w:rtl/>
          <w:lang w:eastAsia="en-US"/>
        </w:rPr>
        <w:t>-</w:t>
      </w:r>
      <w:r>
        <w:rPr>
          <w:rFonts w:ascii="FrankRuehl" w:hAnsi="FrankRuehl" w:cs="FrankRuehl"/>
          <w:sz w:val="24"/>
          <w:szCs w:val="24"/>
          <w:rtl/>
          <w:lang w:eastAsia="en-US"/>
        </w:rPr>
        <w:t xml:space="preserve">האישום, עבירות לפי </w:t>
      </w:r>
      <w:hyperlink r:id="rId27" w:history="1">
        <w:r w:rsidR="005D10F5" w:rsidRPr="005D10F5">
          <w:rPr>
            <w:rFonts w:ascii="FrankRuehl" w:hAnsi="FrankRuehl" w:cs="FrankRuehl"/>
            <w:color w:val="0000FF"/>
            <w:sz w:val="24"/>
            <w:szCs w:val="24"/>
            <w:u w:val="single"/>
            <w:rtl/>
            <w:lang w:eastAsia="en-US"/>
          </w:rPr>
          <w:t>סעיף 5</w:t>
        </w:r>
      </w:hyperlink>
      <w:r>
        <w:rPr>
          <w:rFonts w:ascii="FrankRuehl" w:hAnsi="FrankRuehl" w:cs="FrankRuehl"/>
          <w:sz w:val="24"/>
          <w:szCs w:val="24"/>
          <w:rtl/>
          <w:lang w:eastAsia="en-US"/>
        </w:rPr>
        <w:t xml:space="preserve"> ביחד עם </w:t>
      </w:r>
      <w:hyperlink r:id="rId28" w:history="1">
        <w:r w:rsidR="005D10F5" w:rsidRPr="005D10F5">
          <w:rPr>
            <w:rFonts w:ascii="FrankRuehl" w:hAnsi="FrankRuehl" w:cs="FrankRuehl"/>
            <w:color w:val="0000FF"/>
            <w:sz w:val="24"/>
            <w:szCs w:val="24"/>
            <w:u w:val="single"/>
            <w:rtl/>
            <w:lang w:eastAsia="en-US"/>
          </w:rPr>
          <w:t>3(א)</w:t>
        </w:r>
      </w:hyperlink>
      <w:r>
        <w:rPr>
          <w:rFonts w:ascii="FrankRuehl" w:hAnsi="FrankRuehl" w:cs="FrankRuehl"/>
          <w:sz w:val="24"/>
          <w:szCs w:val="24"/>
          <w:rtl/>
          <w:lang w:eastAsia="en-US"/>
        </w:rPr>
        <w:t xml:space="preserve"> ל</w:t>
      </w:r>
      <w:hyperlink r:id="rId29" w:history="1">
        <w:r w:rsidR="00C05184" w:rsidRPr="00C05184">
          <w:rPr>
            <w:rStyle w:val="Hyperlink"/>
            <w:rFonts w:ascii="FrankRuehl" w:hAnsi="FrankRuehl" w:cs="FrankRuehl"/>
            <w:sz w:val="24"/>
            <w:szCs w:val="24"/>
            <w:rtl/>
            <w:lang w:eastAsia="en-US"/>
          </w:rPr>
          <w:t>חוק למניעת הטרדה מינית</w:t>
        </w:r>
      </w:hyperlink>
      <w:r>
        <w:rPr>
          <w:rFonts w:ascii="FrankRuehl" w:hAnsi="FrankRuehl" w:cs="FrankRuehl"/>
          <w:sz w:val="24"/>
          <w:szCs w:val="24"/>
          <w:rtl/>
          <w:lang w:eastAsia="en-US"/>
        </w:rPr>
        <w:t xml:space="preserve"> ולפי </w:t>
      </w:r>
      <w:hyperlink r:id="rId30" w:history="1">
        <w:r w:rsidR="005D10F5" w:rsidRPr="005D10F5">
          <w:rPr>
            <w:rFonts w:ascii="FrankRuehl" w:hAnsi="FrankRuehl" w:cs="FrankRuehl"/>
            <w:color w:val="0000FF"/>
            <w:sz w:val="24"/>
            <w:szCs w:val="24"/>
            <w:u w:val="single"/>
            <w:rtl/>
            <w:lang w:eastAsia="en-US"/>
          </w:rPr>
          <w:t>סעיף 348 (ג)</w:t>
        </w:r>
      </w:hyperlink>
      <w:r>
        <w:rPr>
          <w:rFonts w:ascii="FrankRuehl" w:hAnsi="FrankRuehl" w:cs="FrankRuehl"/>
          <w:sz w:val="24"/>
          <w:szCs w:val="24"/>
          <w:rtl/>
          <w:lang w:eastAsia="en-US"/>
        </w:rPr>
        <w:t xml:space="preserve"> ל</w:t>
      </w:r>
      <w:hyperlink r:id="rId31" w:history="1">
        <w:r w:rsidR="00C05184" w:rsidRPr="00C05184">
          <w:rPr>
            <w:rStyle w:val="Hyperlink"/>
            <w:rFonts w:ascii="FrankRuehl" w:hAnsi="FrankRuehl" w:cs="FrankRuehl"/>
            <w:sz w:val="24"/>
            <w:szCs w:val="24"/>
            <w:rtl/>
            <w:lang w:eastAsia="en-US"/>
          </w:rPr>
          <w:t>חוק העונשין</w:t>
        </w:r>
      </w:hyperlink>
      <w:r>
        <w:rPr>
          <w:rFonts w:ascii="FrankRuehl" w:hAnsi="FrankRuehl" w:cs="FrankRuehl"/>
          <w:sz w:val="24"/>
          <w:szCs w:val="24"/>
          <w:rtl/>
          <w:lang w:eastAsia="en-US"/>
        </w:rPr>
        <w:t>.</w:t>
      </w:r>
    </w:p>
    <w:p w14:paraId="4B20F5C8" w14:textId="77777777" w:rsidR="00E44382" w:rsidRDefault="00E44382">
      <w:pPr>
        <w:pStyle w:val="a"/>
        <w:bidi/>
        <w:spacing w:before="240"/>
        <w:rPr>
          <w:rFonts w:ascii="FrankRuehl" w:hAnsi="FrankRuehl" w:cs="FrankRuehl"/>
          <w:sz w:val="24"/>
          <w:szCs w:val="24"/>
          <w:rtl/>
          <w:lang w:eastAsia="en-US"/>
        </w:rPr>
      </w:pPr>
      <w:bookmarkStart w:id="1" w:name="Status"/>
      <w:bookmarkEnd w:id="1"/>
      <w:r>
        <w:rPr>
          <w:rFonts w:ascii="FrankRuehl" w:hAnsi="FrankRuehl" w:cs="FrankRuehl"/>
          <w:sz w:val="24"/>
          <w:szCs w:val="24"/>
          <w:rtl/>
          <w:lang w:eastAsia="en-US"/>
        </w:rPr>
        <w:t>ניתנה היום, ה' באלול תש"ס (5.9.2000), בנוכחות הצדדים.</w:t>
      </w:r>
    </w:p>
    <w:p w14:paraId="4A81E481" w14:textId="77777777" w:rsidR="00E44382" w:rsidRDefault="00E44382">
      <w:pPr>
        <w:pStyle w:val="a"/>
        <w:bidi/>
        <w:rPr>
          <w:rFonts w:ascii="FrankRuehl" w:hAnsi="FrankRuehl" w:cs="FrankRuehl"/>
          <w:sz w:val="24"/>
          <w:szCs w:val="24"/>
          <w:rtl/>
          <w:lang w:eastAsia="en-US"/>
        </w:rPr>
      </w:pPr>
      <w:r>
        <w:rPr>
          <w:rFonts w:ascii="FrankRuehl" w:hAnsi="FrankRuehl" w:cs="FrankRuehl"/>
          <w:sz w:val="24"/>
          <w:szCs w:val="24"/>
          <w:rtl/>
          <w:lang w:eastAsia="en-US"/>
        </w:rPr>
        <w:br w:type="page"/>
      </w:r>
      <w:bookmarkStart w:id="2" w:name="ABSTRACT_START"/>
      <w:bookmarkEnd w:id="2"/>
      <w:r>
        <w:rPr>
          <w:rFonts w:ascii="FrankRuehl" w:hAnsi="FrankRuehl" w:cs="FrankRuehl"/>
          <w:sz w:val="24"/>
          <w:szCs w:val="24"/>
          <w:rtl/>
          <w:lang w:eastAsia="en-US"/>
        </w:rPr>
        <w:t>מיני-רציו:</w:t>
      </w:r>
    </w:p>
    <w:p w14:paraId="74280373" w14:textId="77777777" w:rsidR="00E44382" w:rsidRDefault="00E44382">
      <w:pPr>
        <w:pStyle w:val="21"/>
        <w:bidi/>
        <w:rPr>
          <w:rFonts w:ascii="Miriam" w:hAnsi="Miriam" w:cs="Miriam"/>
          <w:sz w:val="24"/>
          <w:szCs w:val="19"/>
          <w:rtl/>
          <w:lang w:eastAsia="en-US"/>
        </w:rPr>
      </w:pPr>
      <w:r>
        <w:rPr>
          <w:rFonts w:ascii="Miriam" w:hAnsi="Miriam" w:cs="Miriam"/>
          <w:sz w:val="24"/>
          <w:szCs w:val="19"/>
          <w:rtl/>
          <w:lang w:eastAsia="en-US"/>
        </w:rPr>
        <w:t>עונשין</w:t>
      </w:r>
      <w:r>
        <w:rPr>
          <w:rFonts w:ascii="FrankRuehl" w:hAnsi="FrankRuehl" w:cs="FrankRuehl"/>
          <w:sz w:val="24"/>
          <w:szCs w:val="24"/>
          <w:rtl/>
          <w:lang w:eastAsia="en-US"/>
        </w:rPr>
        <w:t xml:space="preserve"> </w:t>
      </w:r>
      <w:r>
        <w:rPr>
          <w:sz w:val="24"/>
          <w:szCs w:val="24"/>
          <w:rtl/>
          <w:lang w:eastAsia="en-US"/>
        </w:rPr>
        <w:t>–</w:t>
      </w:r>
      <w:r>
        <w:rPr>
          <w:rFonts w:ascii="FrankRuehl" w:hAnsi="FrankRuehl" w:cs="FrankRuehl"/>
          <w:sz w:val="24"/>
          <w:szCs w:val="24"/>
          <w:rtl/>
          <w:lang w:eastAsia="en-US"/>
        </w:rPr>
        <w:t xml:space="preserve"> </w:t>
      </w:r>
      <w:r>
        <w:rPr>
          <w:rFonts w:ascii="Miriam" w:hAnsi="Miriam" w:cs="Miriam"/>
          <w:sz w:val="24"/>
          <w:szCs w:val="19"/>
          <w:rtl/>
          <w:lang w:eastAsia="en-US"/>
        </w:rPr>
        <w:t>עבירות</w:t>
      </w:r>
      <w:r>
        <w:rPr>
          <w:rFonts w:ascii="FrankRuehl" w:hAnsi="FrankRuehl" w:cs="FrankRuehl"/>
          <w:sz w:val="24"/>
          <w:szCs w:val="24"/>
          <w:rtl/>
          <w:lang w:eastAsia="en-US"/>
        </w:rPr>
        <w:t xml:space="preserve"> </w:t>
      </w:r>
      <w:r>
        <w:rPr>
          <w:sz w:val="24"/>
          <w:szCs w:val="24"/>
          <w:rtl/>
          <w:lang w:eastAsia="en-US"/>
        </w:rPr>
        <w:t>–</w:t>
      </w:r>
      <w:r>
        <w:rPr>
          <w:rFonts w:ascii="FrankRuehl" w:hAnsi="FrankRuehl" w:cs="FrankRuehl"/>
          <w:sz w:val="24"/>
          <w:szCs w:val="24"/>
          <w:rtl/>
          <w:lang w:eastAsia="en-US"/>
        </w:rPr>
        <w:t xml:space="preserve"> </w:t>
      </w:r>
      <w:r>
        <w:rPr>
          <w:rFonts w:ascii="Miriam" w:hAnsi="Miriam" w:cs="Miriam"/>
          <w:sz w:val="24"/>
          <w:szCs w:val="19"/>
          <w:rtl/>
          <w:lang w:eastAsia="en-US"/>
        </w:rPr>
        <w:t>הטרדה מינית</w:t>
      </w:r>
    </w:p>
    <w:p w14:paraId="3E1943C5" w14:textId="77777777" w:rsidR="00E44382" w:rsidRDefault="00E44382">
      <w:pPr>
        <w:pStyle w:val="21"/>
        <w:bidi/>
        <w:rPr>
          <w:rFonts w:ascii="FrankRuehl" w:hAnsi="FrankRuehl" w:cs="FrankRuehl"/>
          <w:sz w:val="24"/>
          <w:szCs w:val="24"/>
          <w:rtl/>
          <w:lang w:eastAsia="en-US"/>
        </w:rPr>
      </w:pPr>
      <w:r>
        <w:rPr>
          <w:rFonts w:ascii="FrankRuehl" w:hAnsi="FrankRuehl" w:cs="FrankRuehl"/>
          <w:sz w:val="24"/>
          <w:szCs w:val="24"/>
          <w:rtl/>
          <w:lang w:eastAsia="en-US"/>
        </w:rPr>
        <w:t xml:space="preserve">הקו המפריד בין היות אדם גס רוח לבין היותו מטריד מינית – יחסי מרות ותלות </w:t>
      </w:r>
      <w:r>
        <w:rPr>
          <w:sz w:val="24"/>
          <w:szCs w:val="24"/>
          <w:lang w:eastAsia="en-US"/>
        </w:rPr>
        <w:t>–</w:t>
      </w:r>
      <w:r>
        <w:rPr>
          <w:rFonts w:ascii="FrankRuehl" w:hAnsi="FrankRuehl" w:cs="FrankRuehl"/>
          <w:sz w:val="24"/>
          <w:szCs w:val="24"/>
          <w:rtl/>
          <w:lang w:eastAsia="en-US"/>
        </w:rPr>
        <w:t xml:space="preserve"> בין אפסנאי לבין חיילות המשרתות עמו בבסיס.</w:t>
      </w:r>
    </w:p>
    <w:p w14:paraId="6A49B31B" w14:textId="77777777" w:rsidR="00E44382" w:rsidRDefault="00E44382">
      <w:pPr>
        <w:pStyle w:val="a"/>
        <w:bidi/>
        <w:rPr>
          <w:rFonts w:ascii="FrankRuehl" w:hAnsi="FrankRuehl" w:cs="FrankRuehl"/>
          <w:sz w:val="24"/>
          <w:szCs w:val="24"/>
          <w:rtl/>
          <w:lang w:eastAsia="en-US"/>
        </w:rPr>
      </w:pPr>
      <w:bookmarkStart w:id="3" w:name="ABSTRACT_END"/>
      <w:bookmarkEnd w:id="3"/>
    </w:p>
    <w:sectPr w:rsidR="00E44382">
      <w:headerReference w:type="even" r:id="rId32"/>
      <w:headerReference w:type="default" r:id="rId33"/>
      <w:footerReference w:type="even" r:id="rId34"/>
      <w:footerReference w:type="default" r:id="rId35"/>
      <w:endnotePr>
        <w:numFmt w:val="lowerLetter"/>
      </w:endnotePr>
      <w:pgSz w:w="11909" w:h="16834"/>
      <w:pgMar w:top="3600" w:right="2693" w:bottom="3686" w:left="2693" w:header="2578" w:footer="2045" w:gutter="0"/>
      <w:pgNumType w:start="69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519A" w14:textId="77777777" w:rsidR="0066186F" w:rsidRPr="003C677C" w:rsidRDefault="0066186F">
      <w:pPr>
        <w:rPr>
          <w:rFonts w:ascii="Miriam" w:hAnsi="Miriam"/>
        </w:rPr>
      </w:pPr>
      <w:r>
        <w:separator/>
      </w:r>
    </w:p>
  </w:endnote>
  <w:endnote w:type="continuationSeparator" w:id="0">
    <w:p w14:paraId="4A7EBCBA" w14:textId="77777777" w:rsidR="0066186F" w:rsidRPr="003C677C" w:rsidRDefault="0066186F">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FE89" w14:textId="77777777" w:rsidR="0066186F" w:rsidRDefault="0066186F">
    <w:pPr>
      <w:pStyle w:val="Footer"/>
      <w:tabs>
        <w:tab w:val="clear" w:pos="4153"/>
        <w:tab w:val="clear" w:pos="8306"/>
        <w:tab w:val="right" w:pos="6521"/>
        <w:tab w:val="center" w:pos="9640"/>
      </w:tabs>
      <w:bidi/>
      <w:spacing w:after="60"/>
      <w:rPr>
        <w:rFonts w:cs="FrankRuehl"/>
        <w:szCs w:val="22"/>
        <w:rtl/>
        <w:lang w:eastAsia="en-US"/>
      </w:rPr>
    </w:pPr>
    <w:r>
      <w:rPr>
        <w:rStyle w:val="PageNumber"/>
        <w:rFonts w:cs="FrankRuehl"/>
        <w:szCs w:val="22"/>
        <w:rtl/>
      </w:rPr>
      <w:fldChar w:fldCharType="begin"/>
    </w:r>
    <w:r>
      <w:rPr>
        <w:rStyle w:val="PageNumber"/>
        <w:rFonts w:cs="FrankRuehl"/>
        <w:szCs w:val="22"/>
        <w:rtl/>
        <w:lang w:eastAsia="en-US"/>
      </w:rPr>
      <w:instrText xml:space="preserve"> </w:instrText>
    </w:r>
    <w:r>
      <w:rPr>
        <w:rStyle w:val="PageNumber"/>
        <w:rFonts w:cs="FrankRuehl"/>
        <w:szCs w:val="22"/>
        <w:lang w:eastAsia="en-US"/>
      </w:rPr>
      <w:instrText>PAGE</w:instrText>
    </w:r>
    <w:r>
      <w:rPr>
        <w:rStyle w:val="PageNumber"/>
        <w:rFonts w:cs="FrankRuehl"/>
        <w:szCs w:val="22"/>
        <w:rtl/>
        <w:lang w:eastAsia="en-US"/>
      </w:rPr>
      <w:instrText xml:space="preserve"> </w:instrText>
    </w:r>
    <w:r>
      <w:rPr>
        <w:rStyle w:val="PageNumber"/>
        <w:rFonts w:cs="FrankRuehl"/>
        <w:szCs w:val="22"/>
        <w:rtl/>
      </w:rPr>
      <w:fldChar w:fldCharType="separate"/>
    </w:r>
    <w:r w:rsidR="005E20EC">
      <w:rPr>
        <w:rStyle w:val="PageNumber"/>
        <w:rFonts w:cs="FrankRuehl"/>
        <w:noProof/>
        <w:szCs w:val="22"/>
        <w:rtl/>
        <w:lang w:eastAsia="en-US"/>
      </w:rPr>
      <w:t>698</w:t>
    </w:r>
    <w:r>
      <w:rPr>
        <w:rStyle w:val="PageNumber"/>
        <w:rFonts w:cs="FrankRuehl"/>
        <w:szCs w:val="22"/>
        <w:rtl/>
      </w:rPr>
      <w:fldChar w:fldCharType="end"/>
    </w:r>
    <w:r>
      <w:rPr>
        <w:rStyle w:val="PageNumber"/>
        <w:rFonts w:cs="FrankRuehl"/>
        <w:szCs w:val="22"/>
        <w:rtl/>
        <w:lang w:eastAsia="en-US"/>
      </w:rPr>
      <w:tab/>
    </w:r>
    <w:r>
      <w:rPr>
        <w:rFonts w:cs="FrankRuehl"/>
        <w:szCs w:val="22"/>
        <w:rtl/>
        <w:lang w:eastAsia="en-US"/>
      </w:rPr>
      <w:t>פ"מ, כרך תש"ס, חלק שלישי, תש"ס2000-</w:t>
    </w:r>
  </w:p>
  <w:p w14:paraId="37A2B360" w14:textId="77777777" w:rsidR="0066186F" w:rsidRDefault="0066186F">
    <w:pPr>
      <w:pStyle w:val="Footer"/>
      <w:pBdr>
        <w:top w:val="single" w:sz="6" w:space="1" w:color="auto"/>
        <w:between w:val="single" w:sz="6" w:space="0" w:color="auto"/>
      </w:pBdr>
      <w:tabs>
        <w:tab w:val="clear" w:pos="4153"/>
        <w:tab w:val="clear" w:pos="8306"/>
        <w:tab w:val="right" w:pos="6521"/>
        <w:tab w:val="center" w:pos="9640"/>
      </w:tabs>
      <w:spacing w:after="60"/>
      <w:jc w:val="center"/>
      <w:rPr>
        <w:rStyle w:val="PageNumber"/>
        <w:rFonts w:ascii="TopType Jerushalmi" w:hAnsi="TopType Jerushalmi" w:cs="TopType Jerushalmi"/>
        <w:color w:val="000000"/>
        <w:sz w:val="22"/>
        <w:szCs w:val="22"/>
        <w:rtl/>
        <w:lang w:eastAsia="en-US"/>
      </w:rPr>
    </w:pPr>
    <w:r>
      <w:rPr>
        <w:rStyle w:val="PageNumber"/>
        <w:rFonts w:ascii="TopType Jerushalmi" w:hAnsi="TopType Jerushalmi" w:cs="TopType Jerushalmi"/>
        <w:color w:val="000000"/>
        <w:sz w:val="22"/>
        <w:szCs w:val="22"/>
        <w:rtl/>
        <w:lang w:eastAsia="en-US"/>
      </w:rPr>
      <w:t xml:space="preserve">נבו הוצאה לאור בע"מ  </w:t>
    </w:r>
    <w:r>
      <w:rPr>
        <w:rStyle w:val="PageNumber"/>
        <w:color w:val="000000"/>
        <w:sz w:val="28"/>
        <w:szCs w:val="28"/>
        <w:lang w:eastAsia="en-US"/>
      </w:rPr>
      <w:t>nevo.co.il</w:t>
    </w:r>
    <w:r>
      <w:rPr>
        <w:rStyle w:val="PageNumber"/>
        <w:rFonts w:ascii="TopType Jerushalmi" w:hAnsi="TopType Jerushalmi" w:cs="TopType Jerushalmi"/>
        <w:color w:val="000000"/>
        <w:sz w:val="22"/>
        <w:szCs w:val="22"/>
        <w:rtl/>
        <w:lang w:eastAsia="en-US"/>
      </w:rPr>
      <w:t xml:space="preserve">   המאגר המשפטי הישראלי</w:t>
    </w:r>
  </w:p>
  <w:p w14:paraId="77C82909" w14:textId="77777777" w:rsidR="0066186F" w:rsidRDefault="0066186F">
    <w:pPr>
      <w:pStyle w:val="Footer"/>
      <w:pBdr>
        <w:top w:val="single" w:sz="6" w:space="1" w:color="auto"/>
        <w:between w:val="single" w:sz="6" w:space="0" w:color="auto"/>
      </w:pBdr>
      <w:tabs>
        <w:tab w:val="clear" w:pos="4153"/>
        <w:tab w:val="clear" w:pos="8306"/>
        <w:tab w:val="right" w:pos="6521"/>
        <w:tab w:val="center" w:pos="9640"/>
      </w:tabs>
      <w:rPr>
        <w:rStyle w:val="PageNumber"/>
        <w:color w:val="000000"/>
        <w:sz w:val="14"/>
        <w:szCs w:val="14"/>
        <w:lang w:eastAsia="en-US"/>
      </w:rPr>
    </w:pPr>
    <w:r>
      <w:rPr>
        <w:rStyle w:val="PageNumber"/>
        <w:rFonts w:ascii="TopType Jerushalmi" w:hAnsi="TopType Jerushalmi" w:cs="TopType Jerushalmi"/>
        <w:color w:val="000000"/>
        <w:sz w:val="14"/>
        <w:szCs w:val="14"/>
        <w:rtl/>
      </w:rPr>
      <w:fldChar w:fldCharType="begin"/>
    </w:r>
    <w:r>
      <w:rPr>
        <w:rStyle w:val="PageNumber"/>
        <w:rFonts w:ascii="TopType Jerushalmi" w:hAnsi="TopType Jerushalmi" w:cs="TopType Jerushalmi"/>
        <w:color w:val="000000"/>
        <w:sz w:val="14"/>
        <w:szCs w:val="14"/>
        <w:rtl/>
        <w:lang w:eastAsia="en-US"/>
      </w:rPr>
      <w:instrText xml:space="preserve"> </w:instrText>
    </w:r>
    <w:r>
      <w:rPr>
        <w:rStyle w:val="PageNumber"/>
        <w:color w:val="000000"/>
        <w:sz w:val="14"/>
        <w:szCs w:val="14"/>
        <w:lang w:eastAsia="en-US"/>
      </w:rPr>
      <w:instrText>FILENAME \p  \* MERGEFORMAT</w:instrText>
    </w:r>
    <w:r>
      <w:rPr>
        <w:rStyle w:val="PageNumber"/>
        <w:rFonts w:ascii="TopType Jerushalmi" w:hAnsi="TopType Jerushalmi" w:cs="TopType Jerushalmi"/>
        <w:color w:val="000000"/>
        <w:sz w:val="14"/>
        <w:szCs w:val="14"/>
        <w:rtl/>
        <w:lang w:eastAsia="en-US"/>
      </w:rPr>
      <w:instrText xml:space="preserve"> </w:instrText>
    </w:r>
    <w:r>
      <w:rPr>
        <w:rStyle w:val="PageNumber"/>
        <w:rFonts w:ascii="TopType Jerushalmi" w:hAnsi="TopType Jerushalmi" w:cs="TopType Jerushalmi"/>
        <w:color w:val="000000"/>
        <w:sz w:val="14"/>
        <w:szCs w:val="14"/>
        <w:rtl/>
      </w:rPr>
      <w:fldChar w:fldCharType="separate"/>
    </w:r>
    <w:r w:rsidRPr="00C05184">
      <w:rPr>
        <w:rStyle w:val="PageNumber"/>
        <w:noProof/>
      </w:rPr>
      <w:t>Z:\000000000000000000000000000000=2015--------------------\HAKIKA-KIDUD\00-98\to</w:t>
    </w:r>
    <w:r>
      <w:rPr>
        <w:rStyle w:val="PageNumber"/>
        <w:rFonts w:ascii="TopType Jerushalmi" w:hAnsi="TopType Jerushalmi" w:cs="TopType Jerushalmi"/>
        <w:noProof/>
        <w:color w:val="000000"/>
        <w:sz w:val="14"/>
        <w:szCs w:val="14"/>
        <w:lang w:eastAsia="en-US"/>
      </w:rPr>
      <w:t xml:space="preserve"> run\outdoc-nohyper\OutDoc-Makor\s994174-padi.doc</w:t>
    </w:r>
    <w:r>
      <w:rPr>
        <w:rStyle w:val="PageNumber"/>
        <w:rFonts w:ascii="TopType Jerushalmi" w:hAnsi="TopType Jerushalmi"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91A1" w14:textId="77777777" w:rsidR="0066186F" w:rsidRDefault="0066186F">
    <w:pPr>
      <w:pStyle w:val="Footer"/>
      <w:tabs>
        <w:tab w:val="clear" w:pos="4153"/>
        <w:tab w:val="clear" w:pos="8306"/>
        <w:tab w:val="right" w:pos="6521"/>
        <w:tab w:val="center" w:pos="9640"/>
      </w:tabs>
      <w:bidi/>
      <w:spacing w:after="60"/>
      <w:rPr>
        <w:rStyle w:val="PageNumber"/>
        <w:rFonts w:cs="FrankRuehl"/>
        <w:szCs w:val="22"/>
        <w:rtl/>
        <w:lang w:eastAsia="en-US"/>
      </w:rPr>
    </w:pPr>
    <w:r>
      <w:rPr>
        <w:rFonts w:cs="FrankRuehl"/>
        <w:szCs w:val="22"/>
        <w:rtl/>
        <w:lang w:eastAsia="en-US"/>
      </w:rPr>
      <w:t>פ"מ, כרך תש"ס, חלק שלישי, תש"ס2000-</w:t>
    </w:r>
    <w:r>
      <w:rPr>
        <w:rFonts w:cs="FrankRuehl"/>
        <w:szCs w:val="22"/>
        <w:rtl/>
        <w:lang w:eastAsia="en-US"/>
      </w:rPr>
      <w:tab/>
    </w:r>
    <w:r>
      <w:rPr>
        <w:rStyle w:val="PageNumber"/>
        <w:rFonts w:cs="FrankRuehl"/>
        <w:szCs w:val="22"/>
        <w:rtl/>
      </w:rPr>
      <w:fldChar w:fldCharType="begin"/>
    </w:r>
    <w:r>
      <w:rPr>
        <w:rStyle w:val="PageNumber"/>
        <w:rFonts w:cs="FrankRuehl"/>
        <w:szCs w:val="22"/>
        <w:rtl/>
        <w:lang w:eastAsia="en-US"/>
      </w:rPr>
      <w:instrText xml:space="preserve"> </w:instrText>
    </w:r>
    <w:r>
      <w:rPr>
        <w:rStyle w:val="PageNumber"/>
        <w:rFonts w:cs="FrankRuehl"/>
        <w:szCs w:val="22"/>
        <w:lang w:eastAsia="en-US"/>
      </w:rPr>
      <w:instrText>PAGE</w:instrText>
    </w:r>
    <w:r>
      <w:rPr>
        <w:rStyle w:val="PageNumber"/>
        <w:rFonts w:cs="FrankRuehl"/>
        <w:szCs w:val="22"/>
        <w:rtl/>
        <w:lang w:eastAsia="en-US"/>
      </w:rPr>
      <w:instrText xml:space="preserve"> </w:instrText>
    </w:r>
    <w:r>
      <w:rPr>
        <w:rStyle w:val="PageNumber"/>
        <w:rFonts w:cs="FrankRuehl"/>
        <w:szCs w:val="22"/>
        <w:rtl/>
      </w:rPr>
      <w:fldChar w:fldCharType="separate"/>
    </w:r>
    <w:r>
      <w:rPr>
        <w:rStyle w:val="PageNumber"/>
        <w:rFonts w:cs="FrankRuehl"/>
        <w:noProof/>
        <w:szCs w:val="22"/>
        <w:rtl/>
        <w:lang w:eastAsia="en-US"/>
      </w:rPr>
      <w:t>699</w:t>
    </w:r>
    <w:r>
      <w:rPr>
        <w:rStyle w:val="PageNumber"/>
        <w:rFonts w:cs="FrankRuehl"/>
        <w:szCs w:val="22"/>
        <w:rtl/>
      </w:rPr>
      <w:fldChar w:fldCharType="end"/>
    </w:r>
  </w:p>
  <w:p w14:paraId="6FB8BDBA" w14:textId="77777777" w:rsidR="0066186F" w:rsidRDefault="0066186F">
    <w:pPr>
      <w:pStyle w:val="Footer"/>
      <w:pBdr>
        <w:top w:val="single" w:sz="6" w:space="1" w:color="auto"/>
        <w:between w:val="single" w:sz="6" w:space="0" w:color="auto"/>
      </w:pBdr>
      <w:tabs>
        <w:tab w:val="clear" w:pos="4153"/>
        <w:tab w:val="clear" w:pos="8306"/>
        <w:tab w:val="right" w:pos="6521"/>
        <w:tab w:val="center" w:pos="9640"/>
      </w:tabs>
      <w:spacing w:after="60"/>
      <w:jc w:val="center"/>
      <w:rPr>
        <w:rStyle w:val="PageNumber"/>
        <w:rFonts w:ascii="TopType Jerushalmi" w:hAnsi="TopType Jerushalmi" w:cs="TopType Jerushalmi"/>
        <w:color w:val="000000"/>
        <w:sz w:val="22"/>
        <w:szCs w:val="22"/>
        <w:rtl/>
        <w:lang w:eastAsia="en-US"/>
      </w:rPr>
    </w:pPr>
    <w:r>
      <w:rPr>
        <w:rStyle w:val="PageNumber"/>
        <w:rFonts w:ascii="TopType Jerushalmi" w:hAnsi="TopType Jerushalmi" w:cs="TopType Jerushalmi"/>
        <w:color w:val="000000"/>
        <w:sz w:val="22"/>
        <w:szCs w:val="22"/>
        <w:rtl/>
        <w:lang w:eastAsia="en-US"/>
      </w:rPr>
      <w:t xml:space="preserve">נבו הוצאה לאור בע"מ  </w:t>
    </w:r>
    <w:r>
      <w:rPr>
        <w:rStyle w:val="PageNumber"/>
        <w:color w:val="000000"/>
        <w:sz w:val="28"/>
        <w:szCs w:val="28"/>
        <w:lang w:eastAsia="en-US"/>
      </w:rPr>
      <w:t>nevo.co.il</w:t>
    </w:r>
    <w:r>
      <w:rPr>
        <w:rStyle w:val="PageNumber"/>
        <w:rFonts w:ascii="TopType Jerushalmi" w:hAnsi="TopType Jerushalmi" w:cs="TopType Jerushalmi"/>
        <w:color w:val="000000"/>
        <w:sz w:val="22"/>
        <w:szCs w:val="22"/>
        <w:rtl/>
        <w:lang w:eastAsia="en-US"/>
      </w:rPr>
      <w:t xml:space="preserve">   המאגר המשפטי הישראלי</w:t>
    </w:r>
  </w:p>
  <w:p w14:paraId="1D538CAC" w14:textId="77777777" w:rsidR="0066186F" w:rsidRDefault="0066186F">
    <w:pPr>
      <w:pStyle w:val="Footer"/>
      <w:pBdr>
        <w:top w:val="single" w:sz="6" w:space="1" w:color="auto"/>
        <w:between w:val="single" w:sz="6" w:space="0" w:color="auto"/>
      </w:pBdr>
      <w:tabs>
        <w:tab w:val="clear" w:pos="4153"/>
        <w:tab w:val="clear" w:pos="8306"/>
        <w:tab w:val="right" w:pos="6521"/>
        <w:tab w:val="center" w:pos="9640"/>
      </w:tabs>
      <w:rPr>
        <w:rStyle w:val="PageNumber"/>
        <w:color w:val="000000"/>
        <w:sz w:val="14"/>
        <w:szCs w:val="14"/>
        <w:lang w:eastAsia="en-US"/>
      </w:rPr>
    </w:pPr>
    <w:r>
      <w:rPr>
        <w:rStyle w:val="PageNumber"/>
        <w:rFonts w:ascii="TopType Jerushalmi" w:hAnsi="TopType Jerushalmi" w:cs="TopType Jerushalmi"/>
        <w:color w:val="000000"/>
        <w:sz w:val="14"/>
        <w:szCs w:val="14"/>
        <w:rtl/>
      </w:rPr>
      <w:fldChar w:fldCharType="begin"/>
    </w:r>
    <w:r>
      <w:rPr>
        <w:rStyle w:val="PageNumber"/>
        <w:rFonts w:ascii="TopType Jerushalmi" w:hAnsi="TopType Jerushalmi" w:cs="TopType Jerushalmi"/>
        <w:color w:val="000000"/>
        <w:sz w:val="14"/>
        <w:szCs w:val="14"/>
        <w:rtl/>
        <w:lang w:eastAsia="en-US"/>
      </w:rPr>
      <w:instrText xml:space="preserve"> </w:instrText>
    </w:r>
    <w:r>
      <w:rPr>
        <w:rStyle w:val="PageNumber"/>
        <w:color w:val="000000"/>
        <w:sz w:val="14"/>
        <w:szCs w:val="14"/>
        <w:lang w:eastAsia="en-US"/>
      </w:rPr>
      <w:instrText>FILENAME \p  \* MERGEFORMAT</w:instrText>
    </w:r>
    <w:r>
      <w:rPr>
        <w:rStyle w:val="PageNumber"/>
        <w:rFonts w:ascii="TopType Jerushalmi" w:hAnsi="TopType Jerushalmi" w:cs="TopType Jerushalmi"/>
        <w:color w:val="000000"/>
        <w:sz w:val="14"/>
        <w:szCs w:val="14"/>
        <w:rtl/>
        <w:lang w:eastAsia="en-US"/>
      </w:rPr>
      <w:instrText xml:space="preserve"> </w:instrText>
    </w:r>
    <w:r>
      <w:rPr>
        <w:rStyle w:val="PageNumber"/>
        <w:rFonts w:ascii="TopType Jerushalmi" w:hAnsi="TopType Jerushalmi" w:cs="TopType Jerushalmi"/>
        <w:color w:val="000000"/>
        <w:sz w:val="14"/>
        <w:szCs w:val="14"/>
        <w:rtl/>
      </w:rPr>
      <w:fldChar w:fldCharType="separate"/>
    </w:r>
    <w:r w:rsidRPr="00C05184">
      <w:rPr>
        <w:rStyle w:val="PageNumber"/>
        <w:noProof/>
      </w:rPr>
      <w:t>Z:\000000000000000000000000000000=2015--------------------\HAKIKA-KIDUD\00-98\to</w:t>
    </w:r>
    <w:r>
      <w:rPr>
        <w:rStyle w:val="PageNumber"/>
        <w:rFonts w:ascii="TopType Jerushalmi" w:hAnsi="TopType Jerushalmi" w:cs="TopType Jerushalmi"/>
        <w:noProof/>
        <w:color w:val="000000"/>
        <w:sz w:val="14"/>
        <w:szCs w:val="14"/>
        <w:lang w:eastAsia="en-US"/>
      </w:rPr>
      <w:t xml:space="preserve"> run\outdoc-nohyper\OutDoc-Makor\s994174-padi.doc</w:t>
    </w:r>
    <w:r>
      <w:rPr>
        <w:rStyle w:val="PageNumbe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5957" w14:textId="77777777" w:rsidR="0066186F" w:rsidRPr="003C677C" w:rsidRDefault="0066186F">
      <w:pPr>
        <w:rPr>
          <w:rFonts w:ascii="Miriam" w:hAnsi="Miriam"/>
        </w:rPr>
      </w:pPr>
      <w:r>
        <w:separator/>
      </w:r>
    </w:p>
  </w:footnote>
  <w:footnote w:type="continuationSeparator" w:id="0">
    <w:p w14:paraId="2C410D5F" w14:textId="77777777" w:rsidR="0066186F" w:rsidRPr="003C677C" w:rsidRDefault="0066186F">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08739" w14:textId="77777777" w:rsidR="0066186F" w:rsidRDefault="0066186F">
    <w:pPr>
      <w:pStyle w:val="Header"/>
      <w:pBdr>
        <w:bottom w:val="single" w:sz="6" w:space="1" w:color="auto"/>
      </w:pBdr>
      <w:tabs>
        <w:tab w:val="clear" w:pos="4153"/>
        <w:tab w:val="clear" w:pos="8306"/>
        <w:tab w:val="right" w:pos="6521"/>
        <w:tab w:val="center" w:pos="9498"/>
      </w:tabs>
      <w:bidi/>
      <w:rPr>
        <w:rFonts w:cs="FrankRuehl"/>
        <w:szCs w:val="24"/>
        <w:rtl/>
        <w:lang w:eastAsia="en-US"/>
      </w:rPr>
    </w:pPr>
    <w:r>
      <w:rPr>
        <w:rFonts w:cs="FrankRuehl"/>
        <w:szCs w:val="24"/>
        <w:rtl/>
        <w:lang w:eastAsia="en-US"/>
      </w:rPr>
      <w:t>ת"פ (רמ') 4174/99</w:t>
    </w:r>
    <w:r>
      <w:rPr>
        <w:rFonts w:cs="FrankRuehl"/>
        <w:szCs w:val="24"/>
        <w:rtl/>
        <w:lang w:eastAsia="en-US"/>
      </w:rPr>
      <w:tab/>
      <w:t>מדינת ישראל נ' כברה</w:t>
    </w:r>
    <w:r>
      <w:rPr>
        <w:rFonts w:cs="FrankRuehl"/>
        <w:noProof/>
        <w:szCs w:val="24"/>
      </w:rPr>
      <w:pict w14:anchorId="48A24BE7">
        <v:group id="_x0000_s2049" style="position:absolute;left:0;text-align:left;margin-left:-36.85pt;margin-top:25.5pt;width:14.25pt;height:408.3pt;z-index:251657216;mso-position-horizontal-relative:text;mso-position-vertical-relative:margin" coordsize="20000,20000" o:allowincell="f">
          <v:rect id="_x0000_s2050" style="position:absolute;width:20000;height:698" filled="f" stroked="f" strokeweight="0">
            <v:textbox inset="0,0,0,0">
              <w:txbxContent>
                <w:p w14:paraId="1252BB20" w14:textId="77777777" w:rsidR="0066186F" w:rsidRDefault="0066186F">
                  <w:pPr>
                    <w:rPr>
                      <w:rFonts w:ascii="FrankRuehl" w:hAnsi="FrankRuehl" w:cs="FrankRuehl"/>
                      <w:rtl/>
                    </w:rPr>
                  </w:pPr>
                  <w:r>
                    <w:rPr>
                      <w:rFonts w:ascii="Miriam" w:hAnsi="Miriam" w:cs="Miriam"/>
                      <w:sz w:val="29"/>
                      <w:szCs w:val="29"/>
                      <w:rtl/>
                    </w:rPr>
                    <w:t>א</w:t>
                  </w:r>
                </w:p>
              </w:txbxContent>
            </v:textbox>
          </v:rect>
          <v:rect id="_x0000_s2051" style="position:absolute;top:3262;width:20000;height:698" filled="f" stroked="f" strokeweight="0">
            <v:textbox inset="0,0,0,0">
              <w:txbxContent>
                <w:p w14:paraId="0549AD1F" w14:textId="77777777" w:rsidR="0066186F" w:rsidRDefault="0066186F">
                  <w:pPr>
                    <w:rPr>
                      <w:rFonts w:ascii="FrankRuehl" w:hAnsi="FrankRuehl" w:cs="FrankRuehl"/>
                      <w:rtl/>
                    </w:rPr>
                  </w:pPr>
                  <w:r>
                    <w:rPr>
                      <w:rFonts w:ascii="Miriam" w:hAnsi="Miriam" w:cs="Miriam"/>
                      <w:sz w:val="29"/>
                      <w:szCs w:val="29"/>
                      <w:rtl/>
                    </w:rPr>
                    <w:t>ב</w:t>
                  </w:r>
                </w:p>
              </w:txbxContent>
            </v:textbox>
          </v:rect>
          <v:rect id="_x0000_s2052" style="position:absolute;top:6458;width:20000;height:698" filled="f" stroked="f" strokeweight="0">
            <v:textbox inset="0,0,0,0">
              <w:txbxContent>
                <w:p w14:paraId="2206B21C" w14:textId="77777777" w:rsidR="0066186F" w:rsidRDefault="0066186F">
                  <w:pPr>
                    <w:rPr>
                      <w:rFonts w:ascii="FrankRuehl" w:hAnsi="FrankRuehl" w:cs="FrankRuehl"/>
                      <w:rtl/>
                    </w:rPr>
                  </w:pPr>
                  <w:r>
                    <w:rPr>
                      <w:rFonts w:ascii="Miriam" w:hAnsi="Miriam" w:cs="Miriam"/>
                      <w:sz w:val="28"/>
                      <w:szCs w:val="28"/>
                      <w:rtl/>
                    </w:rPr>
                    <w:t>ג</w:t>
                  </w:r>
                </w:p>
              </w:txbxContent>
            </v:textbox>
          </v:rect>
          <v:rect id="_x0000_s2053" style="position:absolute;top:9652;width:20000;height:698" filled="f" stroked="f" strokeweight="0">
            <v:textbox inset="0,0,0,0">
              <w:txbxContent>
                <w:p w14:paraId="6C95FB13" w14:textId="77777777" w:rsidR="0066186F" w:rsidRDefault="0066186F">
                  <w:pPr>
                    <w:rPr>
                      <w:rFonts w:ascii="FrankRuehl" w:hAnsi="FrankRuehl" w:cs="FrankRuehl"/>
                      <w:rtl/>
                    </w:rPr>
                  </w:pPr>
                  <w:r>
                    <w:rPr>
                      <w:rFonts w:ascii="Miriam" w:hAnsi="Miriam" w:cs="Miriam"/>
                      <w:sz w:val="28"/>
                      <w:szCs w:val="28"/>
                      <w:rtl/>
                    </w:rPr>
                    <w:t>ד</w:t>
                  </w:r>
                </w:p>
              </w:txbxContent>
            </v:textbox>
          </v:rect>
          <v:rect id="_x0000_s2054" style="position:absolute;top:12846;width:20000;height:698" filled="f" stroked="f" strokeweight="0">
            <v:textbox inset="0,0,0,0">
              <w:txbxContent>
                <w:p w14:paraId="066DFB5C" w14:textId="77777777" w:rsidR="0066186F" w:rsidRDefault="0066186F">
                  <w:pPr>
                    <w:rPr>
                      <w:rFonts w:ascii="FrankRuehl" w:hAnsi="FrankRuehl" w:cs="FrankRuehl"/>
                      <w:rtl/>
                    </w:rPr>
                  </w:pPr>
                  <w:r>
                    <w:rPr>
                      <w:rFonts w:ascii="Miriam" w:hAnsi="Miriam" w:cs="Miriam"/>
                      <w:sz w:val="28"/>
                      <w:szCs w:val="28"/>
                      <w:rtl/>
                    </w:rPr>
                    <w:t>ה</w:t>
                  </w:r>
                </w:p>
              </w:txbxContent>
            </v:textbox>
          </v:rect>
          <v:rect id="_x0000_s2055" style="position:absolute;top:16108;width:20000;height:698" filled="f" stroked="f" strokeweight="0">
            <v:textbox inset="0,0,0,0">
              <w:txbxContent>
                <w:p w14:paraId="650D91AA" w14:textId="77777777" w:rsidR="0066186F" w:rsidRDefault="0066186F">
                  <w:pPr>
                    <w:rPr>
                      <w:rFonts w:ascii="FrankRuehl" w:hAnsi="FrankRuehl" w:cs="FrankRuehl"/>
                      <w:rtl/>
                    </w:rPr>
                  </w:pPr>
                  <w:r>
                    <w:rPr>
                      <w:rFonts w:ascii="Miriam" w:hAnsi="Miriam" w:cs="Miriam"/>
                      <w:sz w:val="28"/>
                      <w:szCs w:val="28"/>
                      <w:rtl/>
                    </w:rPr>
                    <w:t>ו</w:t>
                  </w:r>
                </w:p>
              </w:txbxContent>
            </v:textbox>
          </v:rect>
          <v:rect id="_x0000_s2056" style="position:absolute;top:19302;width:20000;height:698" filled="f" stroked="f" strokeweight="0">
            <v:textbox inset="0,0,0,0">
              <w:txbxContent>
                <w:p w14:paraId="37DB684B" w14:textId="77777777" w:rsidR="0066186F" w:rsidRDefault="0066186F">
                  <w:pPr>
                    <w:rPr>
                      <w:rFonts w:ascii="FrankRuehl" w:hAnsi="FrankRuehl" w:cs="FrankRuehl"/>
                      <w:rtl/>
                    </w:rPr>
                  </w:pPr>
                  <w:r>
                    <w:rPr>
                      <w:rFonts w:ascii="Miriam" w:hAnsi="Miriam" w:cs="Miriam"/>
                      <w:sz w:val="28"/>
                      <w:szCs w:val="28"/>
                      <w:rtl/>
                    </w:rPr>
                    <w:t>ז</w:t>
                  </w:r>
                </w:p>
              </w:txbxContent>
            </v:textbox>
          </v:rect>
          <w10:wrap anchory="margin"/>
        </v:group>
      </w:pict>
    </w:r>
  </w:p>
  <w:p w14:paraId="07806E80" w14:textId="77777777" w:rsidR="0066186F" w:rsidRDefault="0066186F">
    <w:pPr>
      <w:pStyle w:val="2"/>
      <w:bidi/>
      <w:rPr>
        <w:rFonts w:cs="Miriam"/>
        <w:szCs w:val="19"/>
        <w:rtl/>
        <w:lang w:eastAsia="en-US"/>
      </w:rPr>
    </w:pPr>
    <w:r>
      <w:rPr>
        <w:rFonts w:cs="Miriam"/>
        <w:szCs w:val="19"/>
        <w:rtl/>
        <w:lang w:eastAsia="en-US"/>
      </w:rPr>
      <w:t>השופטת ז' בוסתן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B353" w14:textId="77777777" w:rsidR="0066186F" w:rsidRDefault="0066186F">
    <w:pPr>
      <w:pStyle w:val="Header"/>
      <w:pBdr>
        <w:bottom w:val="single" w:sz="6" w:space="1" w:color="auto"/>
      </w:pBdr>
      <w:tabs>
        <w:tab w:val="clear" w:pos="4153"/>
        <w:tab w:val="clear" w:pos="8306"/>
        <w:tab w:val="right" w:pos="6521"/>
        <w:tab w:val="center" w:pos="9498"/>
      </w:tabs>
      <w:bidi/>
      <w:rPr>
        <w:rFonts w:cs="FrankRuehl"/>
        <w:szCs w:val="24"/>
        <w:rtl/>
        <w:lang w:eastAsia="en-US"/>
      </w:rPr>
    </w:pPr>
    <w:r>
      <w:rPr>
        <w:rFonts w:cs="FrankRuehl"/>
        <w:szCs w:val="24"/>
        <w:rtl/>
        <w:lang w:eastAsia="en-US"/>
      </w:rPr>
      <w:t>ת"פ (רמ') 4174/99</w:t>
    </w:r>
    <w:r>
      <w:rPr>
        <w:rFonts w:cs="FrankRuehl"/>
        <w:szCs w:val="24"/>
        <w:rtl/>
        <w:lang w:eastAsia="en-US"/>
      </w:rPr>
      <w:tab/>
      <w:t>מדינת ישראל נ' כברה</w:t>
    </w:r>
    <w:r>
      <w:rPr>
        <w:rFonts w:cs="FrankRuehl"/>
        <w:noProof/>
        <w:szCs w:val="24"/>
      </w:rPr>
      <w:pict w14:anchorId="1546B1BD">
        <v:group id="_x0000_s2065" style="position:absolute;left:0;text-align:left;margin-left:-36.85pt;margin-top:25.5pt;width:14.25pt;height:408.3pt;z-index:251658240;mso-position-horizontal-relative:text;mso-position-vertical-relative:margin" coordsize="20000,20000" o:allowincell="f">
          <v:rect id="_x0000_s2066" style="position:absolute;width:20000;height:698" filled="f" stroked="f" strokeweight="0">
            <v:textbox inset="0,0,0,0">
              <w:txbxContent>
                <w:p w14:paraId="7172ECC3" w14:textId="77777777" w:rsidR="0066186F" w:rsidRDefault="0066186F">
                  <w:pPr>
                    <w:rPr>
                      <w:rFonts w:ascii="FrankRuehl" w:hAnsi="FrankRuehl" w:cs="FrankRuehl"/>
                      <w:rtl/>
                    </w:rPr>
                  </w:pPr>
                  <w:r>
                    <w:rPr>
                      <w:rFonts w:ascii="Miriam" w:hAnsi="Miriam" w:cs="Miriam"/>
                      <w:sz w:val="29"/>
                      <w:szCs w:val="29"/>
                      <w:rtl/>
                    </w:rPr>
                    <w:t>א</w:t>
                  </w:r>
                </w:p>
              </w:txbxContent>
            </v:textbox>
          </v:rect>
          <v:rect id="_x0000_s2067" style="position:absolute;top:3262;width:20000;height:698" filled="f" stroked="f" strokeweight="0">
            <v:textbox inset="0,0,0,0">
              <w:txbxContent>
                <w:p w14:paraId="3B24D1D5" w14:textId="77777777" w:rsidR="0066186F" w:rsidRDefault="0066186F">
                  <w:pPr>
                    <w:rPr>
                      <w:rFonts w:ascii="FrankRuehl" w:hAnsi="FrankRuehl" w:cs="FrankRuehl"/>
                      <w:rtl/>
                    </w:rPr>
                  </w:pPr>
                  <w:r>
                    <w:rPr>
                      <w:rFonts w:ascii="Miriam" w:hAnsi="Miriam" w:cs="Miriam"/>
                      <w:sz w:val="29"/>
                      <w:szCs w:val="29"/>
                      <w:rtl/>
                    </w:rPr>
                    <w:t>ב</w:t>
                  </w:r>
                </w:p>
              </w:txbxContent>
            </v:textbox>
          </v:rect>
          <v:rect id="_x0000_s2068" style="position:absolute;top:6458;width:20000;height:698" filled="f" stroked="f" strokeweight="0">
            <v:textbox inset="0,0,0,0">
              <w:txbxContent>
                <w:p w14:paraId="2CDA3F5F" w14:textId="77777777" w:rsidR="0066186F" w:rsidRDefault="0066186F">
                  <w:pPr>
                    <w:rPr>
                      <w:rFonts w:ascii="FrankRuehl" w:hAnsi="FrankRuehl" w:cs="FrankRuehl"/>
                      <w:rtl/>
                    </w:rPr>
                  </w:pPr>
                  <w:r>
                    <w:rPr>
                      <w:rFonts w:ascii="Miriam" w:hAnsi="Miriam" w:cs="Miriam"/>
                      <w:sz w:val="28"/>
                      <w:szCs w:val="28"/>
                      <w:rtl/>
                    </w:rPr>
                    <w:t>ג</w:t>
                  </w:r>
                </w:p>
              </w:txbxContent>
            </v:textbox>
          </v:rect>
          <v:rect id="_x0000_s2069" style="position:absolute;top:9652;width:20000;height:698" filled="f" stroked="f" strokeweight="0">
            <v:textbox inset="0,0,0,0">
              <w:txbxContent>
                <w:p w14:paraId="4EEC07B5" w14:textId="77777777" w:rsidR="0066186F" w:rsidRDefault="0066186F">
                  <w:pPr>
                    <w:rPr>
                      <w:rFonts w:ascii="FrankRuehl" w:hAnsi="FrankRuehl" w:cs="FrankRuehl"/>
                      <w:rtl/>
                    </w:rPr>
                  </w:pPr>
                  <w:r>
                    <w:rPr>
                      <w:rFonts w:ascii="Miriam" w:hAnsi="Miriam" w:cs="Miriam"/>
                      <w:sz w:val="28"/>
                      <w:szCs w:val="28"/>
                      <w:rtl/>
                    </w:rPr>
                    <w:t>ד</w:t>
                  </w:r>
                </w:p>
              </w:txbxContent>
            </v:textbox>
          </v:rect>
          <v:rect id="_x0000_s2070" style="position:absolute;top:12846;width:20000;height:698" filled="f" stroked="f" strokeweight="0">
            <v:textbox inset="0,0,0,0">
              <w:txbxContent>
                <w:p w14:paraId="5A1B6161" w14:textId="77777777" w:rsidR="0066186F" w:rsidRDefault="0066186F">
                  <w:pPr>
                    <w:rPr>
                      <w:rFonts w:ascii="FrankRuehl" w:hAnsi="FrankRuehl" w:cs="FrankRuehl"/>
                      <w:rtl/>
                    </w:rPr>
                  </w:pPr>
                  <w:r>
                    <w:rPr>
                      <w:rFonts w:ascii="Miriam" w:hAnsi="Miriam" w:cs="Miriam"/>
                      <w:sz w:val="28"/>
                      <w:szCs w:val="28"/>
                      <w:rtl/>
                    </w:rPr>
                    <w:t>ה</w:t>
                  </w:r>
                </w:p>
              </w:txbxContent>
            </v:textbox>
          </v:rect>
          <v:rect id="_x0000_s2071" style="position:absolute;top:16108;width:20000;height:698" filled="f" stroked="f" strokeweight="0">
            <v:textbox inset="0,0,0,0">
              <w:txbxContent>
                <w:p w14:paraId="5C46749D" w14:textId="77777777" w:rsidR="0066186F" w:rsidRDefault="0066186F">
                  <w:pPr>
                    <w:rPr>
                      <w:rFonts w:ascii="FrankRuehl" w:hAnsi="FrankRuehl" w:cs="FrankRuehl"/>
                      <w:rtl/>
                    </w:rPr>
                  </w:pPr>
                  <w:r>
                    <w:rPr>
                      <w:rFonts w:ascii="Miriam" w:hAnsi="Miriam" w:cs="Miriam"/>
                      <w:sz w:val="28"/>
                      <w:szCs w:val="28"/>
                      <w:rtl/>
                    </w:rPr>
                    <w:t>ו</w:t>
                  </w:r>
                </w:p>
              </w:txbxContent>
            </v:textbox>
          </v:rect>
          <v:rect id="_x0000_s2072" style="position:absolute;top:19302;width:20000;height:698" filled="f" stroked="f" strokeweight="0">
            <v:textbox inset="0,0,0,0">
              <w:txbxContent>
                <w:p w14:paraId="63439865" w14:textId="77777777" w:rsidR="0066186F" w:rsidRDefault="0066186F">
                  <w:pPr>
                    <w:rPr>
                      <w:rFonts w:ascii="FrankRuehl" w:hAnsi="FrankRuehl" w:cs="FrankRuehl"/>
                      <w:rtl/>
                    </w:rPr>
                  </w:pPr>
                  <w:r>
                    <w:rPr>
                      <w:rFonts w:ascii="Miriam" w:hAnsi="Miriam" w:cs="Miriam"/>
                      <w:sz w:val="28"/>
                      <w:szCs w:val="28"/>
                      <w:rtl/>
                    </w:rPr>
                    <w:t>ז</w:t>
                  </w:r>
                </w:p>
              </w:txbxContent>
            </v:textbox>
          </v:rect>
          <w10:wrap anchory="margin"/>
        </v:group>
      </w:pict>
    </w:r>
  </w:p>
  <w:p w14:paraId="250C667F" w14:textId="77777777" w:rsidR="0066186F" w:rsidRDefault="0066186F">
    <w:pPr>
      <w:pStyle w:val="2"/>
      <w:bidi/>
      <w:rPr>
        <w:rFonts w:cs="Miriam"/>
        <w:szCs w:val="19"/>
        <w:rtl/>
        <w:lang w:eastAsia="en-US"/>
      </w:rPr>
    </w:pPr>
    <w:r>
      <w:rPr>
        <w:rFonts w:cs="Miriam"/>
        <w:szCs w:val="19"/>
        <w:rtl/>
        <w:lang w:eastAsia="en-US"/>
      </w:rPr>
      <w:t>השופטת ז' בוסתן</w:t>
    </w:r>
  </w:p>
  <w:p w14:paraId="67C4ECFA" w14:textId="77777777" w:rsidR="0066186F" w:rsidRDefault="0066186F">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4382"/>
    <w:rsid w:val="000B3BF2"/>
    <w:rsid w:val="005D10F5"/>
    <w:rsid w:val="005E20EC"/>
    <w:rsid w:val="0066186F"/>
    <w:rsid w:val="007365D8"/>
    <w:rsid w:val="00C05184"/>
    <w:rsid w:val="00E44382"/>
    <w:rsid w:val="00EA6381"/>
    <w:rsid w:val="00F73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93B6934"/>
  <w15:chartTrackingRefBased/>
  <w15:docId w15:val="{B191FD4F-D622-4609-AE6E-9D327F95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he-IL"/>
    </w:rPr>
  </w:style>
  <w:style w:type="paragraph" w:styleId="Heading1">
    <w:name w:val="heading 1"/>
    <w:basedOn w:val="Normal"/>
    <w:next w:val="Normal"/>
    <w:qFormat/>
    <w:pPr>
      <w:keepNext/>
      <w:spacing w:before="240" w:after="60" w:line="360" w:lineRule="auto"/>
      <w:jc w:val="center"/>
      <w:outlineLvl w:val="0"/>
    </w:pPr>
    <w:rPr>
      <w:rFonts w:ascii="Arial" w:hAnsi="Arial"/>
      <w:b/>
      <w:bCs/>
      <w:noProof/>
      <w:kern w:val="28"/>
      <w:sz w:val="28"/>
      <w:szCs w:val="28"/>
      <w:u w:val="single"/>
    </w:rPr>
  </w:style>
  <w:style w:type="paragraph" w:styleId="Heading9">
    <w:name w:val="heading 9"/>
    <w:basedOn w:val="Normal"/>
    <w:next w:val="Normal"/>
    <w:qFormat/>
    <w:pPr>
      <w:keepNext/>
      <w:spacing w:line="360" w:lineRule="auto"/>
      <w:outlineLvl w:val="8"/>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2">
    <w:name w:val="ëåúøú_øöä_òìéåðä2"/>
    <w:basedOn w:val="Header"/>
    <w:pPr>
      <w:tabs>
        <w:tab w:val="clear" w:pos="4153"/>
        <w:tab w:val="clear" w:pos="8306"/>
        <w:tab w:val="right" w:pos="6521"/>
        <w:tab w:val="center" w:pos="9498"/>
      </w:tabs>
      <w:spacing w:before="40"/>
      <w:jc w:val="right"/>
    </w:pPr>
  </w:style>
  <w:style w:type="paragraph" w:customStyle="1" w:styleId="a">
    <w:name w:val="ëììé"/>
    <w:basedOn w:val="Normal"/>
    <w:pPr>
      <w:spacing w:after="210" w:line="280" w:lineRule="exact"/>
      <w:ind w:firstLine="284"/>
      <w:jc w:val="both"/>
    </w:pPr>
  </w:style>
  <w:style w:type="paragraph" w:customStyle="1" w:styleId="3">
    <w:name w:val="ñøâì3"/>
    <w:basedOn w:val="Normal"/>
    <w:pPr>
      <w:tabs>
        <w:tab w:val="left" w:pos="3210"/>
        <w:tab w:val="left" w:pos="6753"/>
      </w:tabs>
    </w:pPr>
    <w:rPr>
      <w:rFonts w:ascii="Arial" w:hAnsi="Arial"/>
      <w:sz w:val="22"/>
      <w:szCs w:val="22"/>
    </w:rPr>
  </w:style>
  <w:style w:type="paragraph" w:customStyle="1" w:styleId="-1">
    <w:name w:val="ðâã-1"/>
    <w:basedOn w:val="a"/>
    <w:pPr>
      <w:spacing w:after="100" w:line="240" w:lineRule="exact"/>
      <w:ind w:firstLine="0"/>
    </w:pPr>
    <w:rPr>
      <w:sz w:val="22"/>
      <w:szCs w:val="22"/>
    </w:rPr>
  </w:style>
  <w:style w:type="paragraph" w:customStyle="1" w:styleId="-10">
    <w:name w:val="ëåúøú-1"/>
    <w:basedOn w:val="a"/>
    <w:pPr>
      <w:spacing w:after="120"/>
      <w:ind w:firstLine="0"/>
      <w:jc w:val="center"/>
    </w:pPr>
  </w:style>
  <w:style w:type="paragraph" w:customStyle="1" w:styleId="-">
    <w:name w:val="ôñ÷-ãéï"/>
    <w:basedOn w:val="a"/>
    <w:pPr>
      <w:spacing w:after="0"/>
      <w:jc w:val="center"/>
    </w:pPr>
    <w:rPr>
      <w:rFonts w:ascii="Arial" w:hAnsi="Arial"/>
      <w:b/>
      <w:bCs/>
      <w:u w:val="single"/>
    </w:rPr>
  </w:style>
  <w:style w:type="paragraph" w:customStyle="1" w:styleId="a0">
    <w:name w:val="ëåúøúôðéí"/>
    <w:basedOn w:val="a"/>
    <w:pPr>
      <w:spacing w:before="240" w:after="120"/>
    </w:pPr>
    <w:rPr>
      <w:rFonts w:ascii="Arial" w:hAnsi="Arial"/>
    </w:rPr>
  </w:style>
  <w:style w:type="paragraph" w:customStyle="1" w:styleId="ibr">
    <w:name w:val="ibr"/>
    <w:basedOn w:val="a0"/>
    <w:pPr>
      <w:spacing w:before="0"/>
      <w:ind w:left="454" w:right="454" w:firstLine="0"/>
    </w:pPr>
    <w:rPr>
      <w:rFonts w:ascii="Times New Roman" w:hAnsi="Times New Roman"/>
    </w:rPr>
  </w:style>
  <w:style w:type="paragraph" w:customStyle="1" w:styleId="a1">
    <w:name w:val="ñâðåï îñôø úé÷"/>
    <w:basedOn w:val="Normal"/>
    <w:pPr>
      <w:spacing w:line="360" w:lineRule="auto"/>
      <w:jc w:val="right"/>
    </w:pPr>
  </w:style>
  <w:style w:type="paragraph" w:customStyle="1" w:styleId="a2">
    <w:name w:val="úàøéê èéåèä"/>
    <w:basedOn w:val="Normal"/>
    <w:pPr>
      <w:jc w:val="center"/>
    </w:pPr>
    <w:rPr>
      <w:b/>
      <w:bCs/>
      <w:i/>
      <w:iCs/>
      <w:sz w:val="28"/>
      <w:szCs w:val="28"/>
    </w:rPr>
  </w:style>
  <w:style w:type="paragraph" w:styleId="FootnoteText">
    <w:name w:val="footnote text"/>
    <w:basedOn w:val="Normal"/>
    <w:semiHidden/>
  </w:style>
  <w:style w:type="paragraph" w:customStyle="1" w:styleId="1">
    <w:name w:val="ëðéñä1"/>
    <w:basedOn w:val="Normal"/>
    <w:pPr>
      <w:tabs>
        <w:tab w:val="left" w:pos="340"/>
        <w:tab w:val="left" w:pos="680"/>
      </w:tabs>
      <w:spacing w:line="240" w:lineRule="exact"/>
      <w:ind w:left="680" w:hanging="680"/>
      <w:jc w:val="both"/>
    </w:pPr>
    <w:rPr>
      <w:sz w:val="18"/>
      <w:szCs w:val="18"/>
    </w:rPr>
  </w:style>
  <w:style w:type="paragraph" w:customStyle="1" w:styleId="a3">
    <w:name w:val="ú÷öéø"/>
    <w:basedOn w:val="1"/>
    <w:pPr>
      <w:ind w:left="0" w:firstLine="284"/>
    </w:pPr>
  </w:style>
  <w:style w:type="paragraph" w:customStyle="1" w:styleId="0">
    <w:name w:val="ëðéñä0"/>
    <w:basedOn w:val="1"/>
    <w:pPr>
      <w:tabs>
        <w:tab w:val="clear" w:pos="680"/>
      </w:tabs>
      <w:ind w:left="340" w:hanging="340"/>
    </w:pPr>
  </w:style>
  <w:style w:type="paragraph" w:customStyle="1" w:styleId="a4">
    <w:name w:val="ëðéñúôñé÷äëôåìä"/>
    <w:basedOn w:val="1"/>
    <w:pPr>
      <w:tabs>
        <w:tab w:val="clear" w:pos="340"/>
        <w:tab w:val="left" w:pos="1021"/>
      </w:tabs>
      <w:ind w:left="992" w:hanging="538"/>
    </w:pPr>
  </w:style>
  <w:style w:type="paragraph" w:customStyle="1" w:styleId="4">
    <w:name w:val="ñøâì4"/>
    <w:basedOn w:val="Normal"/>
    <w:pPr>
      <w:tabs>
        <w:tab w:val="left" w:pos="800"/>
      </w:tabs>
      <w:spacing w:line="480" w:lineRule="auto"/>
      <w:jc w:val="both"/>
    </w:pPr>
    <w:rPr>
      <w:rFonts w:ascii="Arial" w:hAnsi="Arial"/>
      <w:sz w:val="22"/>
      <w:szCs w:val="22"/>
    </w:rPr>
  </w:style>
  <w:style w:type="paragraph" w:customStyle="1" w:styleId="a5">
    <w:name w:val="àæëåøéí"/>
    <w:basedOn w:val="a"/>
    <w:pPr>
      <w:tabs>
        <w:tab w:val="left" w:pos="567"/>
      </w:tabs>
      <w:spacing w:after="40" w:line="260" w:lineRule="exact"/>
      <w:ind w:left="567" w:hanging="567"/>
    </w:pPr>
  </w:style>
  <w:style w:type="paragraph" w:customStyle="1" w:styleId="ENG">
    <w:name w:val="àæëåøENG"/>
    <w:basedOn w:val="a5"/>
    <w:pPr>
      <w:ind w:left="0" w:right="567"/>
    </w:pPr>
  </w:style>
  <w:style w:type="paragraph" w:customStyle="1" w:styleId="a6">
    <w:name w:val="ùíùåôè"/>
    <w:basedOn w:val="a"/>
    <w:rPr>
      <w:rFonts w:ascii="Arial" w:hAnsi="Arial"/>
    </w:rPr>
  </w:style>
  <w:style w:type="paragraph" w:customStyle="1" w:styleId="a7">
    <w:name w:val="ëåúøúàæëåø"/>
    <w:basedOn w:val="a5"/>
    <w:pPr>
      <w:spacing w:after="120"/>
    </w:pPr>
  </w:style>
  <w:style w:type="paragraph" w:customStyle="1" w:styleId="5">
    <w:name w:val="ñøâì5"/>
    <w:basedOn w:val="Normal"/>
    <w:pPr>
      <w:ind w:left="1644" w:right="1276"/>
      <w:jc w:val="both"/>
    </w:pPr>
    <w:rPr>
      <w:sz w:val="22"/>
      <w:szCs w:val="22"/>
    </w:rPr>
  </w:style>
  <w:style w:type="paragraph" w:customStyle="1" w:styleId="a8">
    <w:name w:val="öéèåè"/>
    <w:basedOn w:val="a"/>
    <w:pPr>
      <w:ind w:left="454" w:right="454" w:firstLine="0"/>
    </w:pPr>
  </w:style>
  <w:style w:type="paragraph" w:customStyle="1" w:styleId="ENG0">
    <w:name w:val="öéèåèENG"/>
    <w:basedOn w:val="a"/>
    <w:pPr>
      <w:ind w:left="454" w:right="454" w:firstLine="0"/>
    </w:pPr>
  </w:style>
  <w:style w:type="paragraph" w:customStyle="1" w:styleId="a9">
    <w:name w:val="îñôø äìéê"/>
    <w:basedOn w:val="a"/>
    <w:pPr>
      <w:jc w:val="right"/>
    </w:pPr>
  </w:style>
  <w:style w:type="paragraph" w:customStyle="1" w:styleId="aa">
    <w:name w:val="ùí ëåúá ôñ÷ äãéï"/>
    <w:basedOn w:val="4"/>
    <w:next w:val="4"/>
    <w:pPr>
      <w:spacing w:line="360" w:lineRule="auto"/>
    </w:pPr>
    <w:rPr>
      <w:rFonts w:ascii="Times New Roman" w:hAnsi="Times New Roman"/>
      <w:b/>
      <w:bCs/>
      <w:u w:val="single"/>
    </w:rPr>
  </w:style>
  <w:style w:type="paragraph" w:customStyle="1" w:styleId="ab">
    <w:name w:val="ñâðåï ìëåúøú ôñ&quot;ã"/>
    <w:basedOn w:val="Normal"/>
    <w:pPr>
      <w:spacing w:line="360" w:lineRule="auto"/>
    </w:pPr>
    <w:rPr>
      <w:b/>
      <w:bCs/>
      <w:u w:val="single"/>
    </w:rPr>
  </w:style>
  <w:style w:type="paragraph" w:customStyle="1" w:styleId="ac">
    <w:name w:val="ñâðåï ãó ôúéçä ôñ÷ ãéï"/>
    <w:basedOn w:val="3"/>
    <w:pPr>
      <w:tabs>
        <w:tab w:val="clear" w:pos="3210"/>
        <w:tab w:val="left" w:pos="3209"/>
      </w:tabs>
      <w:spacing w:line="360" w:lineRule="auto"/>
    </w:pPr>
    <w:rPr>
      <w:rFonts w:ascii="Times New Roman" w:hAnsi="Times New Roman"/>
    </w:rPr>
  </w:style>
  <w:style w:type="paragraph" w:customStyle="1" w:styleId="ad">
    <w:name w:val="ëåúøú äîñîê"/>
    <w:basedOn w:val="Normal"/>
    <w:pPr>
      <w:spacing w:line="360" w:lineRule="auto"/>
      <w:jc w:val="center"/>
    </w:pPr>
    <w:rPr>
      <w:spacing w:val="30"/>
      <w:u w:val="single"/>
    </w:rPr>
  </w:style>
  <w:style w:type="paragraph" w:customStyle="1" w:styleId="ae">
    <w:name w:val="øùéîú úôåöä"/>
    <w:basedOn w:val="Normal"/>
    <w:rPr>
      <w:i/>
      <w:iCs/>
    </w:rPr>
  </w:style>
  <w:style w:type="paragraph" w:customStyle="1" w:styleId="6">
    <w:name w:val="ñøâì6"/>
    <w:basedOn w:val="Normal"/>
    <w:pPr>
      <w:tabs>
        <w:tab w:val="left" w:pos="794"/>
        <w:tab w:val="left" w:pos="2268"/>
        <w:tab w:val="left" w:pos="5783"/>
        <w:tab w:val="left" w:pos="7371"/>
      </w:tabs>
    </w:pPr>
    <w:rPr>
      <w:sz w:val="22"/>
      <w:szCs w:val="22"/>
    </w:rPr>
  </w:style>
  <w:style w:type="character" w:customStyle="1" w:styleId="af">
    <w:name w:val="îçå÷"/>
    <w:rPr>
      <w:strike/>
    </w:rPr>
  </w:style>
  <w:style w:type="character" w:customStyle="1" w:styleId="af0">
    <w:name w:val="éã"/>
    <w:basedOn w:val="DefaultParagraphFont"/>
  </w:style>
  <w:style w:type="character" w:customStyle="1" w:styleId="miriam95">
    <w:name w:val="miriam95"/>
    <w:rPr>
      <w:rFonts w:ascii="Times New Roman" w:hAnsi="Times New Roman"/>
      <w:sz w:val="19"/>
      <w:szCs w:val="19"/>
    </w:rPr>
  </w:style>
  <w:style w:type="paragraph" w:customStyle="1" w:styleId="10">
    <w:name w:val="ñøâì1"/>
    <w:basedOn w:val="Normal"/>
    <w:pPr>
      <w:spacing w:line="480" w:lineRule="auto"/>
      <w:jc w:val="both"/>
    </w:pPr>
    <w:rPr>
      <w:rFonts w:ascii="Arial" w:hAnsi="Arial"/>
      <w:sz w:val="22"/>
      <w:szCs w:val="22"/>
    </w:rPr>
  </w:style>
  <w:style w:type="paragraph" w:customStyle="1" w:styleId="X1">
    <w:name w:val="X1"/>
    <w:basedOn w:val="Normal"/>
    <w:pPr>
      <w:widowControl w:val="0"/>
      <w:tabs>
        <w:tab w:val="left" w:pos="3210"/>
        <w:tab w:val="left" w:pos="6753"/>
      </w:tabs>
    </w:pPr>
    <w:rPr>
      <w:rFonts w:ascii="Arial" w:hAnsi="Arial"/>
      <w:sz w:val="22"/>
      <w:szCs w:val="22"/>
    </w:rPr>
  </w:style>
  <w:style w:type="character" w:customStyle="1" w:styleId="af1">
    <w:name w:val="øâéì"/>
    <w:rPr>
      <w:rFonts w:ascii="Times New Roman" w:hAnsi="Times New Roman"/>
      <w:sz w:val="24"/>
      <w:szCs w:val="24"/>
    </w:rPr>
  </w:style>
  <w:style w:type="paragraph" w:customStyle="1" w:styleId="12">
    <w:name w:val="ôøð÷øéäì12"/>
    <w:basedOn w:val="a5"/>
  </w:style>
  <w:style w:type="paragraph" w:customStyle="1" w:styleId="11">
    <w:name w:val="ñâðåï1"/>
    <w:basedOn w:val="a8"/>
    <w:pPr>
      <w:spacing w:after="60" w:line="260" w:lineRule="exact"/>
      <w:ind w:left="1020" w:hanging="340"/>
    </w:pPr>
  </w:style>
  <w:style w:type="paragraph" w:customStyle="1" w:styleId="20">
    <w:name w:val="ñâðåï2"/>
    <w:basedOn w:val="a8"/>
    <w:pPr>
      <w:spacing w:after="60" w:line="260" w:lineRule="exact"/>
      <w:ind w:left="1418" w:hanging="426"/>
    </w:pPr>
  </w:style>
  <w:style w:type="paragraph" w:customStyle="1" w:styleId="fcfa">
    <w:name w:val="ëåúøfcfaôðéí"/>
    <w:basedOn w:val="a"/>
    <w:pPr>
      <w:widowControl w:val="0"/>
      <w:spacing w:before="240" w:after="120" w:line="-280" w:lineRule="auto"/>
    </w:pPr>
    <w:rPr>
      <w:rFonts w:ascii="Arial" w:hAnsi="Arial"/>
    </w:rPr>
  </w:style>
  <w:style w:type="paragraph" w:styleId="BlockText">
    <w:name w:val="Block Text"/>
    <w:basedOn w:val="Normal"/>
    <w:pPr>
      <w:widowControl w:val="0"/>
      <w:tabs>
        <w:tab w:val="left" w:pos="1440"/>
      </w:tabs>
      <w:ind w:left="-7" w:firstLine="7"/>
      <w:jc w:val="both"/>
    </w:pPr>
    <w:rPr>
      <w:noProof/>
      <w:sz w:val="24"/>
      <w:szCs w:val="24"/>
    </w:rPr>
  </w:style>
  <w:style w:type="paragraph" w:customStyle="1" w:styleId="9">
    <w:name w:val="áùíäöããú9"/>
    <w:basedOn w:val="a"/>
    <w:pPr>
      <w:widowControl w:val="0"/>
      <w:spacing w:after="60" w:line="-280" w:lineRule="auto"/>
      <w:ind w:firstLine="0"/>
    </w:pPr>
  </w:style>
  <w:style w:type="paragraph" w:customStyle="1" w:styleId="af2">
    <w:name w:val="ñâðåï ìëåúøú ôñ&quot;"/>
    <w:basedOn w:val="Normal"/>
    <w:pPr>
      <w:widowControl w:val="0"/>
      <w:spacing w:line="360" w:lineRule="auto"/>
    </w:pPr>
    <w:rPr>
      <w:b/>
      <w:bCs/>
      <w:u w:val="single"/>
    </w:rPr>
  </w:style>
  <w:style w:type="paragraph" w:customStyle="1" w:styleId="o4">
    <w:name w:val="øùéîú úôåöo4"/>
    <w:basedOn w:val="Normal"/>
    <w:pPr>
      <w:widowControl w:val="0"/>
    </w:pPr>
    <w:rPr>
      <w:i/>
      <w:iCs/>
    </w:rPr>
  </w:style>
  <w:style w:type="paragraph" w:styleId="BodyText2">
    <w:name w:val="Body Text 2"/>
    <w:basedOn w:val="Normal"/>
    <w:pPr>
      <w:widowControl w:val="0"/>
      <w:spacing w:after="120" w:line="360" w:lineRule="auto"/>
      <w:ind w:left="360"/>
    </w:pPr>
    <w:rPr>
      <w:sz w:val="22"/>
      <w:szCs w:val="22"/>
    </w:rPr>
  </w:style>
  <w:style w:type="paragraph" w:styleId="BodyText3">
    <w:name w:val="Body Text 3"/>
    <w:basedOn w:val="BodyText2"/>
  </w:style>
  <w:style w:type="paragraph" w:customStyle="1" w:styleId="af3">
    <w:name w:val="çúéîä"/>
    <w:basedOn w:val="Normal"/>
    <w:pPr>
      <w:spacing w:line="360" w:lineRule="auto"/>
      <w:jc w:val="center"/>
    </w:pPr>
    <w:rPr>
      <w:noProof/>
      <w:sz w:val="22"/>
      <w:szCs w:val="22"/>
    </w:rPr>
  </w:style>
  <w:style w:type="paragraph" w:customStyle="1" w:styleId="BodyText21">
    <w:name w:val="Body Text 21"/>
    <w:basedOn w:val="Normal"/>
    <w:pPr>
      <w:spacing w:line="360" w:lineRule="auto"/>
    </w:pPr>
    <w:rPr>
      <w:sz w:val="28"/>
      <w:szCs w:val="28"/>
    </w:rPr>
  </w:style>
  <w:style w:type="paragraph" w:customStyle="1" w:styleId="21">
    <w:name w:val="úåëï2"/>
    <w:basedOn w:val="a"/>
    <w:pPr>
      <w:tabs>
        <w:tab w:val="right" w:pos="6577"/>
      </w:tabs>
      <w:spacing w:before="60" w:after="60" w:line="230" w:lineRule="exact"/>
      <w:ind w:left="568" w:right="170" w:hanging="284"/>
    </w:pPr>
  </w:style>
  <w:style w:type="character" w:styleId="Hyperlink">
    <w:name w:val="Hyperlink"/>
    <w:rsid w:val="00C05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2507" TargetMode="External"/><Relationship Id="rId21" Type="http://schemas.openxmlformats.org/officeDocument/2006/relationships/hyperlink" Target="http://www.nevo.co.il/law/72507/3.a"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2507/3.a" TargetMode="External"/><Relationship Id="rId17" Type="http://schemas.openxmlformats.org/officeDocument/2006/relationships/hyperlink" Target="http://www.nevo.co.il/law/72507" TargetMode="External"/><Relationship Id="rId25" Type="http://schemas.openxmlformats.org/officeDocument/2006/relationships/hyperlink" Target="http://www.nevo.co.il/law/72507/3.a.4"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2507/3.a" TargetMode="External"/><Relationship Id="rId20" Type="http://schemas.openxmlformats.org/officeDocument/2006/relationships/hyperlink" Target="http://www.nevo.co.il/law/72507/3.a.3.;3.a.4.;3.a.5.;3.a.6" TargetMode="External"/><Relationship Id="rId29" Type="http://schemas.openxmlformats.org/officeDocument/2006/relationships/hyperlink" Target="http://www.nevo.co.il/law/72507" TargetMode="External"/><Relationship Id="rId1" Type="http://schemas.openxmlformats.org/officeDocument/2006/relationships/styles" Target="styles.xml"/><Relationship Id="rId6" Type="http://schemas.openxmlformats.org/officeDocument/2006/relationships/hyperlink" Target="http://www.nevo.co.il/law/72507" TargetMode="External"/><Relationship Id="rId11" Type="http://schemas.openxmlformats.org/officeDocument/2006/relationships/hyperlink" Target="http://www.nevo.co.il/law/72507/5" TargetMode="External"/><Relationship Id="rId24" Type="http://schemas.openxmlformats.org/officeDocument/2006/relationships/hyperlink" Target="http://www.nevo.co.il/law/72507/3.a.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047124" TargetMode="External"/><Relationship Id="rId28" Type="http://schemas.openxmlformats.org/officeDocument/2006/relationships/hyperlink" Target="http://www.nevo.co.il/law/72507/3.a"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2507"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2507" TargetMode="External"/><Relationship Id="rId27" Type="http://schemas.openxmlformats.org/officeDocument/2006/relationships/hyperlink" Target="http://www.nevo.co.il/law/72507/5" TargetMode="External"/><Relationship Id="rId30" Type="http://schemas.openxmlformats.org/officeDocument/2006/relationships/hyperlink" Target="http://www.nevo.co.il/law/70301/348.c" TargetMode="External"/><Relationship Id="rId35" Type="http://schemas.openxmlformats.org/officeDocument/2006/relationships/footer" Target="footer2.xml"/><Relationship Id="rId8" Type="http://schemas.openxmlformats.org/officeDocument/2006/relationships/hyperlink" Target="http://www.nevo.co.il/case/604712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2872</Words>
  <Characters>16377</Characters>
  <Application>Microsoft Office Word</Application>
  <DocSecurity>0</DocSecurity>
  <Lines>136</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19211</CharactersWithSpaces>
  <SharedDoc>false</SharedDoc>
  <HLinks>
    <vt:vector size="156" baseType="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7864418</vt:i4>
      </vt:variant>
      <vt:variant>
        <vt:i4>69</vt:i4>
      </vt:variant>
      <vt:variant>
        <vt:i4>0</vt:i4>
      </vt:variant>
      <vt:variant>
        <vt:i4>5</vt:i4>
      </vt:variant>
      <vt:variant>
        <vt:lpwstr>http://www.nevo.co.il/law/72507</vt:lpwstr>
      </vt:variant>
      <vt:variant>
        <vt:lpwstr/>
      </vt:variant>
      <vt:variant>
        <vt:i4>7929958</vt:i4>
      </vt:variant>
      <vt:variant>
        <vt:i4>66</vt:i4>
      </vt:variant>
      <vt:variant>
        <vt:i4>0</vt:i4>
      </vt:variant>
      <vt:variant>
        <vt:i4>5</vt:i4>
      </vt:variant>
      <vt:variant>
        <vt:lpwstr>http://www.nevo.co.il/law/72507/3.a</vt:lpwstr>
      </vt:variant>
      <vt:variant>
        <vt:lpwstr/>
      </vt:variant>
      <vt:variant>
        <vt:i4>5701717</vt:i4>
      </vt:variant>
      <vt:variant>
        <vt:i4>63</vt:i4>
      </vt:variant>
      <vt:variant>
        <vt:i4>0</vt:i4>
      </vt:variant>
      <vt:variant>
        <vt:i4>5</vt:i4>
      </vt:variant>
      <vt:variant>
        <vt:lpwstr>http://www.nevo.co.il/law/72507/5</vt:lpwstr>
      </vt:variant>
      <vt:variant>
        <vt:lpwstr/>
      </vt:variant>
      <vt:variant>
        <vt:i4>7864418</vt:i4>
      </vt:variant>
      <vt:variant>
        <vt:i4>60</vt:i4>
      </vt:variant>
      <vt:variant>
        <vt:i4>0</vt:i4>
      </vt:variant>
      <vt:variant>
        <vt:i4>5</vt:i4>
      </vt:variant>
      <vt:variant>
        <vt:lpwstr>http://www.nevo.co.il/law/72507</vt:lpwstr>
      </vt:variant>
      <vt:variant>
        <vt:lpwstr/>
      </vt:variant>
      <vt:variant>
        <vt:i4>5701639</vt:i4>
      </vt:variant>
      <vt:variant>
        <vt:i4>57</vt:i4>
      </vt:variant>
      <vt:variant>
        <vt:i4>0</vt:i4>
      </vt:variant>
      <vt:variant>
        <vt:i4>5</vt:i4>
      </vt:variant>
      <vt:variant>
        <vt:lpwstr>http://www.nevo.co.il/law/72507/3.a.4</vt:lpwstr>
      </vt:variant>
      <vt:variant>
        <vt:lpwstr/>
      </vt:variant>
      <vt:variant>
        <vt:i4>5701639</vt:i4>
      </vt:variant>
      <vt:variant>
        <vt:i4>54</vt:i4>
      </vt:variant>
      <vt:variant>
        <vt:i4>0</vt:i4>
      </vt:variant>
      <vt:variant>
        <vt:i4>5</vt:i4>
      </vt:variant>
      <vt:variant>
        <vt:lpwstr>http://www.nevo.co.il/law/72507/3.a.3</vt:lpwstr>
      </vt:variant>
      <vt:variant>
        <vt:lpwstr/>
      </vt:variant>
      <vt:variant>
        <vt:i4>3604593</vt:i4>
      </vt:variant>
      <vt:variant>
        <vt:i4>51</vt:i4>
      </vt:variant>
      <vt:variant>
        <vt:i4>0</vt:i4>
      </vt:variant>
      <vt:variant>
        <vt:i4>5</vt:i4>
      </vt:variant>
      <vt:variant>
        <vt:lpwstr>http://www.nevo.co.il/case/6047124</vt:lpwstr>
      </vt:variant>
      <vt:variant>
        <vt:lpwstr/>
      </vt:variant>
      <vt:variant>
        <vt:i4>7864418</vt:i4>
      </vt:variant>
      <vt:variant>
        <vt:i4>48</vt:i4>
      </vt:variant>
      <vt:variant>
        <vt:i4>0</vt:i4>
      </vt:variant>
      <vt:variant>
        <vt:i4>5</vt:i4>
      </vt:variant>
      <vt:variant>
        <vt:lpwstr>http://www.nevo.co.il/law/72507</vt:lpwstr>
      </vt:variant>
      <vt:variant>
        <vt:lpwstr/>
      </vt:variant>
      <vt:variant>
        <vt:i4>7929958</vt:i4>
      </vt:variant>
      <vt:variant>
        <vt:i4>45</vt:i4>
      </vt:variant>
      <vt:variant>
        <vt:i4>0</vt:i4>
      </vt:variant>
      <vt:variant>
        <vt:i4>5</vt:i4>
      </vt:variant>
      <vt:variant>
        <vt:lpwstr>http://www.nevo.co.il/law/72507/3.a</vt:lpwstr>
      </vt:variant>
      <vt:variant>
        <vt:lpwstr/>
      </vt:variant>
      <vt:variant>
        <vt:i4>7209085</vt:i4>
      </vt:variant>
      <vt:variant>
        <vt:i4>42</vt:i4>
      </vt:variant>
      <vt:variant>
        <vt:i4>0</vt:i4>
      </vt:variant>
      <vt:variant>
        <vt:i4>5</vt:i4>
      </vt:variant>
      <vt:variant>
        <vt:lpwstr>http://www.nevo.co.il/law/72507/3.a.3.;3.a.4.;3.a.5.;3.a.6</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7864418</vt:i4>
      </vt:variant>
      <vt:variant>
        <vt:i4>33</vt:i4>
      </vt:variant>
      <vt:variant>
        <vt:i4>0</vt:i4>
      </vt:variant>
      <vt:variant>
        <vt:i4>5</vt:i4>
      </vt:variant>
      <vt:variant>
        <vt:lpwstr>http://www.nevo.co.il/law/72507</vt:lpwstr>
      </vt:variant>
      <vt:variant>
        <vt:lpwstr/>
      </vt:variant>
      <vt:variant>
        <vt:i4>7929958</vt:i4>
      </vt:variant>
      <vt:variant>
        <vt:i4>30</vt:i4>
      </vt:variant>
      <vt:variant>
        <vt:i4>0</vt:i4>
      </vt:variant>
      <vt:variant>
        <vt:i4>5</vt:i4>
      </vt:variant>
      <vt:variant>
        <vt:lpwstr>http://www.nevo.co.il/law/72507/3.a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7864418</vt:i4>
      </vt:variant>
      <vt:variant>
        <vt:i4>21</vt:i4>
      </vt:variant>
      <vt:variant>
        <vt:i4>0</vt:i4>
      </vt:variant>
      <vt:variant>
        <vt:i4>5</vt:i4>
      </vt:variant>
      <vt:variant>
        <vt:lpwstr>http://www.nevo.co.il/law/72507</vt:lpwstr>
      </vt:variant>
      <vt:variant>
        <vt:lpwstr/>
      </vt:variant>
      <vt:variant>
        <vt:i4>7929958</vt:i4>
      </vt:variant>
      <vt:variant>
        <vt:i4>18</vt:i4>
      </vt:variant>
      <vt:variant>
        <vt:i4>0</vt:i4>
      </vt:variant>
      <vt:variant>
        <vt:i4>5</vt:i4>
      </vt:variant>
      <vt:variant>
        <vt:lpwstr>http://www.nevo.co.il/law/72507/3.a</vt:lpwstr>
      </vt:variant>
      <vt:variant>
        <vt:lpwstr/>
      </vt:variant>
      <vt:variant>
        <vt:i4>5701717</vt:i4>
      </vt:variant>
      <vt:variant>
        <vt:i4>15</vt:i4>
      </vt:variant>
      <vt:variant>
        <vt:i4>0</vt:i4>
      </vt:variant>
      <vt:variant>
        <vt:i4>5</vt:i4>
      </vt:variant>
      <vt:variant>
        <vt:lpwstr>http://www.nevo.co.il/law/72507/5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7864418</vt:i4>
      </vt:variant>
      <vt:variant>
        <vt:i4>9</vt:i4>
      </vt:variant>
      <vt:variant>
        <vt:i4>0</vt:i4>
      </vt:variant>
      <vt:variant>
        <vt:i4>5</vt:i4>
      </vt:variant>
      <vt:variant>
        <vt:lpwstr>http://www.nevo.co.il/law/72507</vt:lpwstr>
      </vt:variant>
      <vt:variant>
        <vt:lpwstr/>
      </vt:variant>
      <vt:variant>
        <vt:i4>3604593</vt:i4>
      </vt:variant>
      <vt:variant>
        <vt:i4>6</vt:i4>
      </vt:variant>
      <vt:variant>
        <vt:i4>0</vt:i4>
      </vt:variant>
      <vt:variant>
        <vt:i4>5</vt:i4>
      </vt:variant>
      <vt:variant>
        <vt:lpwstr>http://www.nevo.co.il/case/6047124</vt:lpwstr>
      </vt:variant>
      <vt:variant>
        <vt:lpwstr/>
      </vt:variant>
      <vt:variant>
        <vt:i4>7995492</vt:i4>
      </vt:variant>
      <vt:variant>
        <vt:i4>3</vt:i4>
      </vt:variant>
      <vt:variant>
        <vt:i4>0</vt:i4>
      </vt:variant>
      <vt:variant>
        <vt:i4>5</vt:i4>
      </vt:variant>
      <vt:variant>
        <vt:lpwstr>http://www.nevo.co.il/law/70301</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2002-10-09T07:51:00Z</cp:lastPrinted>
  <dcterms:created xsi:type="dcterms:W3CDTF">2022-05-24T10:30:00Z</dcterms:created>
  <dcterms:modified xsi:type="dcterms:W3CDTF">2022-05-24T10:30:00Z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ז' בוסתן</vt:lpwstr>
  </property>
  <property fmtid="{D5CDD505-2E9C-101B-9397-08002B2CF9AE}" pid="3" name="LAWYER">
    <vt:lpwstr>רניצקי;מרדכי לנצ'נר</vt:lpwstr>
  </property>
  <property fmtid="{D5CDD505-2E9C-101B-9397-08002B2CF9AE}" pid="4" name="APPELLANT">
    <vt:lpwstr>מדינת ישראל</vt:lpwstr>
  </property>
  <property fmtid="{D5CDD505-2E9C-101B-9397-08002B2CF9AE}" pid="5" name="APPELLEE">
    <vt:lpwstr>מנחם כברה</vt:lpwstr>
  </property>
  <property fmtid="{D5CDD505-2E9C-101B-9397-08002B2CF9AE}" pid="6" name="PROCESS">
    <vt:lpwstr>תפ</vt:lpwstr>
  </property>
  <property fmtid="{D5CDD505-2E9C-101B-9397-08002B2CF9AE}" pid="7" name="PROCNUM">
    <vt:lpwstr>4174</vt:lpwstr>
  </property>
  <property fmtid="{D5CDD505-2E9C-101B-9397-08002B2CF9AE}" pid="8" name="PROCYEAR">
    <vt:lpwstr>99</vt:lpwstr>
  </property>
  <property fmtid="{D5CDD505-2E9C-101B-9397-08002B2CF9AE}" pid="9" name="DATE">
    <vt:lpwstr>20000905</vt:lpwstr>
  </property>
  <property fmtid="{D5CDD505-2E9C-101B-9397-08002B2CF9AE}" pid="10" name="CITY">
    <vt:lpwstr>רמ'</vt:lpwstr>
  </property>
  <property fmtid="{D5CDD505-2E9C-101B-9397-08002B2CF9AE}" pid="11" name="PSAKDIN">
    <vt:lpwstr>הכרעת-דין</vt:lpwstr>
  </property>
  <property fmtid="{D5CDD505-2E9C-101B-9397-08002B2CF9AE}" pid="12" name="TYPE">
    <vt:lpwstr>3</vt:lpwstr>
  </property>
  <property fmtid="{D5CDD505-2E9C-101B-9397-08002B2CF9AE}" pid="13" name="VOLUME">
    <vt:lpwstr>תשס</vt:lpwstr>
  </property>
  <property fmtid="{D5CDD505-2E9C-101B-9397-08002B2CF9AE}" pid="14" name="PART">
    <vt:lpwstr>3</vt:lpwstr>
  </property>
  <property fmtid="{D5CDD505-2E9C-101B-9397-08002B2CF9AE}" pid="15" name="PAGE">
    <vt:lpwstr>698</vt:lpwstr>
  </property>
  <property fmtid="{D5CDD505-2E9C-101B-9397-08002B2CF9AE}" pid="16" name="PADIMAIL">
    <vt:lpwstr>YES</vt:lpwstr>
  </property>
  <property fmtid="{D5CDD505-2E9C-101B-9397-08002B2CF9AE}" pid="17" name="WORDNUMPAGES">
    <vt:lpwstr>12</vt:lpwstr>
  </property>
  <property fmtid="{D5CDD505-2E9C-101B-9397-08002B2CF9AE}" pid="18" name="ISABSTRACT">
    <vt:lpwstr>Y</vt:lpwstr>
  </property>
  <property fmtid="{D5CDD505-2E9C-101B-9397-08002B2CF9AE}" pid="19" name="CASESLISTTMP1">
    <vt:lpwstr>6047124:2</vt:lpwstr>
  </property>
  <property fmtid="{D5CDD505-2E9C-101B-9397-08002B2CF9AE}" pid="20" name="LAWLISTTMP1">
    <vt:lpwstr>72507/005:2;003.a:4;003.a.3:2;003.a.4:2;003.a.5;003.a.6</vt:lpwstr>
  </property>
  <property fmtid="{D5CDD505-2E9C-101B-9397-08002B2CF9AE}" pid="21" name="LAWLISTTMP2">
    <vt:lpwstr>70301/348.c:2</vt:lpwstr>
  </property>
</Properties>
</file>