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3AB83" w14:textId="77777777" w:rsidR="00B23B5A" w:rsidRDefault="00B23B5A">
      <w:pPr>
        <w:spacing w:line="240" w:lineRule="auto"/>
        <w:jc w:val="center"/>
        <w:rPr>
          <w:sz w:val="24"/>
          <w:szCs w:val="24"/>
          <w:rtl/>
        </w:rPr>
      </w:pPr>
      <w:bookmarkStart w:id="0" w:name="צד_ג"/>
      <w:r>
        <w:rPr>
          <w:rFonts w:hint="cs"/>
          <w:b/>
          <w:bCs/>
          <w:sz w:val="24"/>
          <w:szCs w:val="24"/>
          <w:rtl/>
        </w:rPr>
        <w:t>בתי המשפט</w:t>
      </w:r>
      <w:r>
        <w:rPr>
          <w:rFonts w:hint="cs"/>
          <w:sz w:val="24"/>
          <w:szCs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202FAA" w14:paraId="78BA4DBC" w14:textId="77777777" w:rsidTr="00202FAA">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A47933D" w14:textId="77777777" w:rsidR="00202FAA" w:rsidRDefault="00202FAA">
            <w:pPr>
              <w:spacing w:line="240" w:lineRule="auto"/>
              <w:rPr>
                <w:b/>
                <w:bCs/>
                <w:sz w:val="24"/>
                <w:szCs w:val="24"/>
              </w:rPr>
            </w:pPr>
            <w:r>
              <w:rPr>
                <w:rFonts w:hint="cs"/>
                <w:b/>
                <w:bCs/>
                <w:sz w:val="24"/>
                <w:szCs w:val="24"/>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66E84C0C" w14:textId="77777777" w:rsidR="00202FAA" w:rsidRDefault="00202FAA">
            <w:pPr>
              <w:spacing w:line="240" w:lineRule="auto"/>
              <w:rPr>
                <w:b/>
                <w:bCs/>
                <w:sz w:val="24"/>
                <w:szCs w:val="24"/>
              </w:rPr>
            </w:pPr>
            <w:r>
              <w:rPr>
                <w:rFonts w:hint="cs"/>
                <w:b/>
                <w:bCs/>
                <w:sz w:val="24"/>
                <w:szCs w:val="24"/>
                <w:rtl/>
              </w:rPr>
              <w:t>פ  8267/99</w:t>
            </w:r>
          </w:p>
        </w:tc>
      </w:tr>
      <w:tr w:rsidR="00202FAA" w14:paraId="25799DD3" w14:textId="77777777" w:rsidTr="00202FAA">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E451C49" w14:textId="77777777" w:rsidR="00202FAA" w:rsidRDefault="00202FAA">
            <w:pPr>
              <w:bidi w:val="0"/>
              <w:spacing w:line="240" w:lineRule="auto"/>
              <w:jc w:val="left"/>
              <w:rPr>
                <w:b/>
                <w:bCs/>
                <w:sz w:val="24"/>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5C5AE114" w14:textId="77777777" w:rsidR="00202FAA" w:rsidRDefault="00984BA0">
            <w:pPr>
              <w:spacing w:line="240" w:lineRule="auto"/>
              <w:rPr>
                <w:b/>
                <w:bCs/>
                <w:sz w:val="24"/>
                <w:szCs w:val="24"/>
              </w:rPr>
            </w:pPr>
            <w:r>
              <w:rPr>
                <w:sz w:val="24"/>
                <w:szCs w:val="24"/>
                <w:rtl/>
              </w:rPr>
              <w:t xml:space="preserve"> </w:t>
            </w:r>
          </w:p>
        </w:tc>
      </w:tr>
      <w:tr w:rsidR="00202FAA" w14:paraId="5BA6AB5D" w14:textId="77777777" w:rsidTr="00202FAA">
        <w:trPr>
          <w:trHeight w:val="286"/>
        </w:trPr>
        <w:tc>
          <w:tcPr>
            <w:tcW w:w="908" w:type="dxa"/>
            <w:tcBorders>
              <w:top w:val="single" w:sz="4" w:space="0" w:color="auto"/>
              <w:left w:val="single" w:sz="4" w:space="0" w:color="auto"/>
              <w:bottom w:val="single" w:sz="4" w:space="0" w:color="auto"/>
              <w:right w:val="single" w:sz="4" w:space="0" w:color="auto"/>
            </w:tcBorders>
          </w:tcPr>
          <w:p w14:paraId="45A86E29" w14:textId="77777777" w:rsidR="00202FAA" w:rsidRDefault="00202FAA">
            <w:pPr>
              <w:spacing w:line="240" w:lineRule="auto"/>
              <w:rPr>
                <w:b/>
                <w:bCs/>
                <w:sz w:val="24"/>
                <w:szCs w:val="24"/>
              </w:rPr>
            </w:pPr>
            <w:r>
              <w:rPr>
                <w:rFonts w:hint="cs"/>
                <w:b/>
                <w:bCs/>
                <w:sz w:val="24"/>
                <w:szCs w:val="24"/>
                <w:rtl/>
              </w:rPr>
              <w:t>בפני:</w:t>
            </w:r>
            <w:r>
              <w:rPr>
                <w:b/>
                <w:bCs/>
                <w:color w:val="FFFFFF"/>
                <w:sz w:val="4"/>
                <w:szCs w:val="4"/>
                <w:rtl/>
              </w:rPr>
              <w:t>ב</w:t>
            </w:r>
          </w:p>
        </w:tc>
        <w:tc>
          <w:tcPr>
            <w:tcW w:w="4706" w:type="dxa"/>
            <w:tcBorders>
              <w:top w:val="single" w:sz="4" w:space="0" w:color="auto"/>
              <w:left w:val="single" w:sz="4" w:space="0" w:color="auto"/>
              <w:bottom w:val="single" w:sz="4" w:space="0" w:color="auto"/>
              <w:right w:val="single" w:sz="4" w:space="0" w:color="auto"/>
            </w:tcBorders>
          </w:tcPr>
          <w:p w14:paraId="6996F1CF" w14:textId="77777777" w:rsidR="00202FAA" w:rsidRDefault="00202FAA">
            <w:pPr>
              <w:spacing w:line="240" w:lineRule="auto"/>
              <w:rPr>
                <w:b/>
                <w:bCs/>
                <w:sz w:val="24"/>
                <w:szCs w:val="24"/>
              </w:rPr>
            </w:pPr>
            <w:r>
              <w:rPr>
                <w:rFonts w:hint="cs"/>
                <w:b/>
                <w:bCs/>
                <w:sz w:val="24"/>
                <w:szCs w:val="24"/>
                <w:rtl/>
              </w:rPr>
              <w:t>כב' השופטת רחל גרינברג</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EC78703" w14:textId="77777777" w:rsidR="00202FAA" w:rsidRDefault="00202FAA">
            <w:pPr>
              <w:spacing w:line="240" w:lineRule="auto"/>
              <w:rPr>
                <w:b/>
                <w:bCs/>
                <w:sz w:val="24"/>
                <w:szCs w:val="24"/>
              </w:rPr>
            </w:pPr>
            <w:r>
              <w:rPr>
                <w:rFonts w:hint="cs"/>
                <w:b/>
                <w:bCs/>
                <w:sz w:val="24"/>
                <w:szCs w:val="24"/>
                <w:rtl/>
              </w:rPr>
              <w:t>תאריך:</w:t>
            </w:r>
            <w:r>
              <w:rPr>
                <w:b/>
                <w:bCs/>
                <w:color w:val="FFFFFF"/>
                <w:sz w:val="4"/>
                <w:szCs w:val="4"/>
                <w:rtl/>
              </w:rPr>
              <w:t>נ</w:t>
            </w:r>
          </w:p>
        </w:tc>
        <w:tc>
          <w:tcPr>
            <w:tcW w:w="1951" w:type="dxa"/>
            <w:tcBorders>
              <w:top w:val="single" w:sz="4" w:space="0" w:color="auto"/>
              <w:left w:val="single" w:sz="4" w:space="0" w:color="auto"/>
              <w:bottom w:val="single" w:sz="4" w:space="0" w:color="auto"/>
              <w:right w:val="single" w:sz="4" w:space="0" w:color="auto"/>
            </w:tcBorders>
          </w:tcPr>
          <w:p w14:paraId="27935EC0" w14:textId="77777777" w:rsidR="00202FAA" w:rsidRDefault="00202FAA">
            <w:pPr>
              <w:spacing w:line="240" w:lineRule="auto"/>
              <w:rPr>
                <w:b/>
                <w:bCs/>
                <w:sz w:val="24"/>
                <w:szCs w:val="24"/>
              </w:rPr>
            </w:pPr>
            <w:r>
              <w:rPr>
                <w:rFonts w:hint="cs"/>
                <w:b/>
                <w:bCs/>
                <w:sz w:val="24"/>
                <w:szCs w:val="24"/>
                <w:rtl/>
              </w:rPr>
              <w:t>19/06/2002</w:t>
            </w:r>
          </w:p>
        </w:tc>
      </w:tr>
    </w:tbl>
    <w:p w14:paraId="2408F0CB" w14:textId="77777777" w:rsidR="00B23B5A" w:rsidRDefault="00984BA0">
      <w:pPr>
        <w:spacing w:line="240" w:lineRule="auto"/>
        <w:rPr>
          <w:rFonts w:hint="cs"/>
          <w:sz w:val="24"/>
          <w:szCs w:val="24"/>
          <w:rtl/>
        </w:rPr>
      </w:pPr>
      <w:r>
        <w:rPr>
          <w:rFonts w:hint="cs"/>
          <w:sz w:val="24"/>
          <w:szCs w:val="24"/>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202FAA" w14:paraId="57AE4C8B" w14:textId="77777777" w:rsidTr="00202FAA">
        <w:tc>
          <w:tcPr>
            <w:tcW w:w="1362" w:type="dxa"/>
          </w:tcPr>
          <w:p w14:paraId="060A65B4" w14:textId="77777777" w:rsidR="00202FAA" w:rsidRDefault="00202FAA">
            <w:pPr>
              <w:spacing w:line="240" w:lineRule="auto"/>
              <w:rPr>
                <w:b/>
                <w:bCs/>
                <w:sz w:val="24"/>
                <w:szCs w:val="24"/>
              </w:rPr>
            </w:pPr>
            <w:r>
              <w:rPr>
                <w:rFonts w:hint="cs"/>
                <w:b/>
                <w:bCs/>
                <w:sz w:val="24"/>
                <w:szCs w:val="24"/>
                <w:rtl/>
              </w:rPr>
              <w:t>בעניין:</w:t>
            </w:r>
            <w:r>
              <w:rPr>
                <w:b/>
                <w:bCs/>
                <w:color w:val="FFFFFF"/>
                <w:sz w:val="4"/>
                <w:szCs w:val="4"/>
                <w:rtl/>
              </w:rPr>
              <w:t>ו</w:t>
            </w:r>
          </w:p>
        </w:tc>
        <w:tc>
          <w:tcPr>
            <w:tcW w:w="4820" w:type="dxa"/>
            <w:gridSpan w:val="2"/>
          </w:tcPr>
          <w:p w14:paraId="57EC6894" w14:textId="77777777" w:rsidR="00202FAA" w:rsidRDefault="00202FAA">
            <w:pPr>
              <w:spacing w:line="240" w:lineRule="auto"/>
              <w:rPr>
                <w:b/>
                <w:bCs/>
                <w:sz w:val="24"/>
                <w:szCs w:val="24"/>
              </w:rPr>
            </w:pPr>
            <w:r>
              <w:rPr>
                <w:rFonts w:hint="cs"/>
                <w:b/>
                <w:bCs/>
                <w:sz w:val="24"/>
                <w:szCs w:val="24"/>
                <w:rtl/>
              </w:rPr>
              <w:t>מדינת ישראל</w:t>
            </w:r>
          </w:p>
        </w:tc>
        <w:tc>
          <w:tcPr>
            <w:tcW w:w="2409" w:type="dxa"/>
          </w:tcPr>
          <w:p w14:paraId="2374ECD4" w14:textId="77777777" w:rsidR="00202FAA" w:rsidRDefault="00984BA0">
            <w:pPr>
              <w:spacing w:line="240" w:lineRule="auto"/>
              <w:rPr>
                <w:b/>
                <w:bCs/>
                <w:sz w:val="24"/>
                <w:szCs w:val="24"/>
              </w:rPr>
            </w:pPr>
            <w:r>
              <w:rPr>
                <w:rFonts w:hint="cs"/>
                <w:sz w:val="24"/>
                <w:rtl/>
              </w:rPr>
              <w:t xml:space="preserve"> </w:t>
            </w:r>
            <w:r>
              <w:rPr>
                <w:sz w:val="24"/>
                <w:szCs w:val="24"/>
                <w:rtl/>
              </w:rPr>
              <w:t xml:space="preserve"> </w:t>
            </w:r>
          </w:p>
        </w:tc>
      </w:tr>
      <w:tr w:rsidR="00202FAA" w14:paraId="6C0CFA9E" w14:textId="77777777" w:rsidTr="00202FAA">
        <w:tc>
          <w:tcPr>
            <w:tcW w:w="1362" w:type="dxa"/>
          </w:tcPr>
          <w:p w14:paraId="54BB4DEE" w14:textId="77777777" w:rsidR="00202FAA" w:rsidRDefault="00984BA0">
            <w:pPr>
              <w:spacing w:line="240" w:lineRule="auto"/>
              <w:rPr>
                <w:b/>
                <w:bCs/>
                <w:sz w:val="24"/>
                <w:szCs w:val="24"/>
                <w:u w:val="single"/>
              </w:rPr>
            </w:pPr>
            <w:bookmarkStart w:id="1" w:name="בא_כוח_א" w:colFirst="2" w:colLast="2"/>
            <w:r>
              <w:rPr>
                <w:sz w:val="24"/>
                <w:szCs w:val="24"/>
                <w:rtl/>
              </w:rPr>
              <w:t xml:space="preserve"> </w:t>
            </w:r>
          </w:p>
        </w:tc>
        <w:tc>
          <w:tcPr>
            <w:tcW w:w="1757" w:type="dxa"/>
          </w:tcPr>
          <w:p w14:paraId="30A990B5" w14:textId="77777777" w:rsidR="00202FAA" w:rsidRDefault="00202FAA">
            <w:pPr>
              <w:spacing w:line="240" w:lineRule="auto"/>
              <w:rPr>
                <w:b/>
                <w:bCs/>
                <w:sz w:val="24"/>
                <w:szCs w:val="24"/>
              </w:rPr>
            </w:pPr>
            <w:r>
              <w:rPr>
                <w:rFonts w:hint="cs"/>
                <w:b/>
                <w:bCs/>
                <w:sz w:val="24"/>
                <w:szCs w:val="24"/>
                <w:rtl/>
              </w:rPr>
              <w:t>ע"י ב"כ עו"ד</w:t>
            </w:r>
          </w:p>
        </w:tc>
        <w:tc>
          <w:tcPr>
            <w:tcW w:w="3063" w:type="dxa"/>
          </w:tcPr>
          <w:p w14:paraId="74214325" w14:textId="77777777" w:rsidR="00202FAA" w:rsidRDefault="00202FAA">
            <w:pPr>
              <w:spacing w:line="240" w:lineRule="auto"/>
              <w:rPr>
                <w:b/>
                <w:bCs/>
                <w:sz w:val="24"/>
                <w:szCs w:val="24"/>
              </w:rPr>
            </w:pPr>
            <w:r>
              <w:rPr>
                <w:rFonts w:hint="cs"/>
                <w:b/>
                <w:bCs/>
                <w:sz w:val="24"/>
                <w:szCs w:val="24"/>
                <w:rtl/>
              </w:rPr>
              <w:t xml:space="preserve">מירב שווץ </w:t>
            </w:r>
          </w:p>
        </w:tc>
        <w:tc>
          <w:tcPr>
            <w:tcW w:w="2409" w:type="dxa"/>
          </w:tcPr>
          <w:p w14:paraId="3B19E903" w14:textId="77777777" w:rsidR="00202FAA" w:rsidRDefault="00202FAA">
            <w:pPr>
              <w:spacing w:line="240" w:lineRule="auto"/>
              <w:rPr>
                <w:b/>
                <w:bCs/>
                <w:sz w:val="24"/>
                <w:szCs w:val="24"/>
              </w:rPr>
            </w:pPr>
            <w:r>
              <w:rPr>
                <w:rFonts w:hint="cs"/>
                <w:b/>
                <w:bCs/>
                <w:sz w:val="24"/>
                <w:szCs w:val="24"/>
                <w:rtl/>
              </w:rPr>
              <w:t>המאשימה</w:t>
            </w:r>
          </w:p>
        </w:tc>
      </w:tr>
      <w:bookmarkEnd w:id="1"/>
      <w:tr w:rsidR="00202FAA" w14:paraId="6E6AFE96" w14:textId="77777777" w:rsidTr="00202FAA">
        <w:tc>
          <w:tcPr>
            <w:tcW w:w="1362" w:type="dxa"/>
          </w:tcPr>
          <w:p w14:paraId="48F77A21" w14:textId="77777777" w:rsidR="00202FAA" w:rsidRDefault="00984BA0">
            <w:pPr>
              <w:spacing w:line="240" w:lineRule="auto"/>
              <w:rPr>
                <w:b/>
                <w:bCs/>
                <w:sz w:val="24"/>
                <w:szCs w:val="24"/>
              </w:rPr>
            </w:pPr>
            <w:r>
              <w:rPr>
                <w:sz w:val="24"/>
                <w:szCs w:val="24"/>
                <w:rtl/>
              </w:rPr>
              <w:t xml:space="preserve"> </w:t>
            </w:r>
          </w:p>
        </w:tc>
        <w:tc>
          <w:tcPr>
            <w:tcW w:w="4820" w:type="dxa"/>
            <w:gridSpan w:val="2"/>
          </w:tcPr>
          <w:p w14:paraId="59153235" w14:textId="77777777" w:rsidR="00202FAA" w:rsidRDefault="00202FAA">
            <w:pPr>
              <w:spacing w:line="240" w:lineRule="auto"/>
              <w:jc w:val="center"/>
              <w:rPr>
                <w:b/>
                <w:bCs/>
                <w:sz w:val="24"/>
                <w:szCs w:val="24"/>
              </w:rPr>
            </w:pPr>
            <w:r>
              <w:rPr>
                <w:rFonts w:hint="cs"/>
                <w:b/>
                <w:bCs/>
                <w:sz w:val="24"/>
                <w:szCs w:val="24"/>
                <w:rtl/>
              </w:rPr>
              <w:t>נ  ג  ד</w:t>
            </w:r>
          </w:p>
        </w:tc>
        <w:tc>
          <w:tcPr>
            <w:tcW w:w="2409" w:type="dxa"/>
          </w:tcPr>
          <w:p w14:paraId="1D33FC83" w14:textId="77777777" w:rsidR="00202FAA" w:rsidRDefault="00984BA0">
            <w:pPr>
              <w:spacing w:line="240" w:lineRule="auto"/>
              <w:rPr>
                <w:b/>
                <w:bCs/>
                <w:sz w:val="24"/>
                <w:szCs w:val="24"/>
              </w:rPr>
            </w:pPr>
            <w:r>
              <w:rPr>
                <w:sz w:val="24"/>
                <w:szCs w:val="24"/>
                <w:rtl/>
              </w:rPr>
              <w:t xml:space="preserve"> </w:t>
            </w:r>
          </w:p>
        </w:tc>
      </w:tr>
      <w:tr w:rsidR="00202FAA" w14:paraId="3C4F5BF6" w14:textId="77777777" w:rsidTr="00202FAA">
        <w:tc>
          <w:tcPr>
            <w:tcW w:w="1362" w:type="dxa"/>
          </w:tcPr>
          <w:p w14:paraId="19B5A7E5" w14:textId="77777777" w:rsidR="00202FAA" w:rsidRDefault="00984BA0">
            <w:pPr>
              <w:spacing w:line="240" w:lineRule="auto"/>
              <w:rPr>
                <w:b/>
                <w:bCs/>
                <w:sz w:val="24"/>
                <w:szCs w:val="24"/>
                <w:u w:val="single"/>
              </w:rPr>
            </w:pPr>
            <w:bookmarkStart w:id="2" w:name="שם_ב" w:colFirst="1" w:colLast="1"/>
            <w:r>
              <w:rPr>
                <w:sz w:val="24"/>
                <w:szCs w:val="24"/>
                <w:rtl/>
              </w:rPr>
              <w:t xml:space="preserve"> </w:t>
            </w:r>
          </w:p>
        </w:tc>
        <w:tc>
          <w:tcPr>
            <w:tcW w:w="4820" w:type="dxa"/>
            <w:gridSpan w:val="2"/>
          </w:tcPr>
          <w:p w14:paraId="68F6C924" w14:textId="77777777" w:rsidR="00202FAA" w:rsidRDefault="00202FAA">
            <w:pPr>
              <w:spacing w:line="240" w:lineRule="auto"/>
              <w:rPr>
                <w:b/>
                <w:bCs/>
                <w:sz w:val="24"/>
                <w:szCs w:val="24"/>
              </w:rPr>
            </w:pPr>
            <w:r>
              <w:rPr>
                <w:rFonts w:hint="cs"/>
                <w:b/>
                <w:bCs/>
                <w:sz w:val="24"/>
                <w:szCs w:val="24"/>
                <w:rtl/>
              </w:rPr>
              <w:t>פלוני – בעצמו</w:t>
            </w:r>
          </w:p>
        </w:tc>
        <w:tc>
          <w:tcPr>
            <w:tcW w:w="2409" w:type="dxa"/>
          </w:tcPr>
          <w:p w14:paraId="5E8F58D2" w14:textId="77777777" w:rsidR="00202FAA" w:rsidRDefault="00202FAA">
            <w:pPr>
              <w:spacing w:line="240" w:lineRule="auto"/>
              <w:rPr>
                <w:b/>
                <w:bCs/>
                <w:sz w:val="24"/>
                <w:szCs w:val="24"/>
              </w:rPr>
            </w:pPr>
            <w:r>
              <w:rPr>
                <w:rFonts w:hint="cs"/>
                <w:b/>
                <w:bCs/>
                <w:sz w:val="24"/>
                <w:szCs w:val="24"/>
                <w:rtl/>
              </w:rPr>
              <w:t>הנאשם</w:t>
            </w:r>
          </w:p>
        </w:tc>
      </w:tr>
      <w:tr w:rsidR="00202FAA" w14:paraId="7FB40549" w14:textId="77777777" w:rsidTr="00202FAA">
        <w:tc>
          <w:tcPr>
            <w:tcW w:w="1362" w:type="dxa"/>
          </w:tcPr>
          <w:p w14:paraId="4B87C6E1" w14:textId="77777777" w:rsidR="00202FAA" w:rsidRDefault="00984BA0">
            <w:pPr>
              <w:spacing w:line="240" w:lineRule="auto"/>
              <w:rPr>
                <w:b/>
                <w:bCs/>
                <w:sz w:val="24"/>
                <w:szCs w:val="24"/>
                <w:u w:val="single"/>
              </w:rPr>
            </w:pPr>
            <w:bookmarkStart w:id="3" w:name="בא_כוח_ב" w:colFirst="2" w:colLast="2"/>
            <w:bookmarkEnd w:id="2"/>
            <w:r>
              <w:rPr>
                <w:sz w:val="24"/>
                <w:szCs w:val="24"/>
                <w:rtl/>
              </w:rPr>
              <w:t xml:space="preserve"> </w:t>
            </w:r>
          </w:p>
        </w:tc>
        <w:tc>
          <w:tcPr>
            <w:tcW w:w="1757" w:type="dxa"/>
          </w:tcPr>
          <w:p w14:paraId="32E58FC3" w14:textId="77777777" w:rsidR="00202FAA" w:rsidRDefault="00202FAA">
            <w:pPr>
              <w:spacing w:line="240" w:lineRule="auto"/>
              <w:rPr>
                <w:b/>
                <w:bCs/>
                <w:sz w:val="24"/>
                <w:szCs w:val="24"/>
              </w:rPr>
            </w:pPr>
            <w:r>
              <w:rPr>
                <w:rFonts w:hint="cs"/>
                <w:b/>
                <w:bCs/>
                <w:sz w:val="24"/>
                <w:szCs w:val="24"/>
                <w:rtl/>
              </w:rPr>
              <w:t>ע"י ב"כ עו"ד</w:t>
            </w:r>
          </w:p>
        </w:tc>
        <w:tc>
          <w:tcPr>
            <w:tcW w:w="3063" w:type="dxa"/>
          </w:tcPr>
          <w:p w14:paraId="2BC90681" w14:textId="77777777" w:rsidR="00202FAA" w:rsidRDefault="00202FAA">
            <w:pPr>
              <w:spacing w:line="240" w:lineRule="auto"/>
              <w:rPr>
                <w:b/>
                <w:bCs/>
                <w:sz w:val="24"/>
                <w:szCs w:val="24"/>
              </w:rPr>
            </w:pPr>
            <w:r>
              <w:rPr>
                <w:rFonts w:hint="cs"/>
                <w:b/>
                <w:bCs/>
                <w:sz w:val="24"/>
                <w:szCs w:val="24"/>
                <w:rtl/>
              </w:rPr>
              <w:t xml:space="preserve">שוורץ </w:t>
            </w:r>
          </w:p>
        </w:tc>
        <w:tc>
          <w:tcPr>
            <w:tcW w:w="2409" w:type="dxa"/>
          </w:tcPr>
          <w:p w14:paraId="5A0B5475" w14:textId="77777777" w:rsidR="00202FAA" w:rsidRDefault="00984BA0">
            <w:pPr>
              <w:spacing w:line="240" w:lineRule="auto"/>
              <w:rPr>
                <w:b/>
                <w:bCs/>
                <w:sz w:val="24"/>
                <w:szCs w:val="24"/>
              </w:rPr>
            </w:pPr>
            <w:r>
              <w:rPr>
                <w:sz w:val="24"/>
                <w:szCs w:val="24"/>
                <w:rtl/>
              </w:rPr>
              <w:t xml:space="preserve"> </w:t>
            </w:r>
          </w:p>
        </w:tc>
      </w:tr>
      <w:bookmarkEnd w:id="3"/>
    </w:tbl>
    <w:p w14:paraId="383BBA3B" w14:textId="77777777" w:rsidR="00B23B5A" w:rsidRDefault="00B23B5A">
      <w:pPr>
        <w:spacing w:line="240" w:lineRule="auto"/>
        <w:rPr>
          <w:rFonts w:hint="cs"/>
          <w:sz w:val="24"/>
          <w:szCs w:val="24"/>
          <w:rtl/>
        </w:rPr>
      </w:pPr>
    </w:p>
    <w:p w14:paraId="666434E2" w14:textId="77777777" w:rsidR="003E42E6" w:rsidRDefault="003E42E6">
      <w:pPr>
        <w:spacing w:line="240" w:lineRule="auto"/>
        <w:rPr>
          <w:rFonts w:hint="cs"/>
          <w:sz w:val="24"/>
          <w:szCs w:val="24"/>
          <w:rtl/>
        </w:rPr>
      </w:pPr>
    </w:p>
    <w:p w14:paraId="2D4DBEEF" w14:textId="77777777" w:rsidR="003E42E6" w:rsidRPr="003E42E6" w:rsidRDefault="003E42E6" w:rsidP="003E42E6">
      <w:pPr>
        <w:spacing w:before="120" w:after="120" w:line="240" w:lineRule="exact"/>
        <w:ind w:left="283" w:hanging="283"/>
        <w:rPr>
          <w:rFonts w:ascii="FrankRuehl" w:hAnsi="FrankRuehl" w:cs="FrankRuehl"/>
          <w:sz w:val="24"/>
          <w:szCs w:val="24"/>
          <w:rtl/>
        </w:rPr>
      </w:pPr>
      <w:bookmarkStart w:id="4" w:name="LawTable"/>
      <w:bookmarkEnd w:id="4"/>
    </w:p>
    <w:p w14:paraId="1AA2A1D4" w14:textId="77777777" w:rsidR="003E42E6" w:rsidRPr="003E42E6" w:rsidRDefault="003E42E6" w:rsidP="003E42E6">
      <w:pPr>
        <w:spacing w:before="120" w:after="120" w:line="240" w:lineRule="exact"/>
        <w:ind w:left="283" w:hanging="283"/>
        <w:rPr>
          <w:rFonts w:ascii="FrankRuehl" w:hAnsi="FrankRuehl" w:cs="FrankRuehl"/>
          <w:sz w:val="24"/>
          <w:szCs w:val="24"/>
          <w:rtl/>
        </w:rPr>
      </w:pPr>
    </w:p>
    <w:p w14:paraId="6C271509" w14:textId="77777777" w:rsidR="003E42E6" w:rsidRPr="003E42E6" w:rsidRDefault="003E42E6" w:rsidP="003E42E6">
      <w:pPr>
        <w:spacing w:before="120" w:after="120" w:line="240" w:lineRule="exact"/>
        <w:ind w:left="283" w:hanging="283"/>
        <w:rPr>
          <w:rFonts w:ascii="FrankRuehl" w:hAnsi="FrankRuehl" w:cs="FrankRuehl"/>
          <w:sz w:val="24"/>
          <w:szCs w:val="24"/>
          <w:rtl/>
        </w:rPr>
      </w:pPr>
      <w:r w:rsidRPr="003E42E6">
        <w:rPr>
          <w:rFonts w:ascii="FrankRuehl" w:hAnsi="FrankRuehl" w:cs="FrankRuehl"/>
          <w:sz w:val="24"/>
          <w:szCs w:val="24"/>
          <w:rtl/>
        </w:rPr>
        <w:t xml:space="preserve">חקיקה שאוזכרה: </w:t>
      </w:r>
    </w:p>
    <w:p w14:paraId="325EDE00" w14:textId="77777777" w:rsidR="003E42E6" w:rsidRPr="003E42E6" w:rsidRDefault="003E42E6" w:rsidP="003E42E6">
      <w:pPr>
        <w:spacing w:before="120" w:after="120" w:line="240" w:lineRule="exact"/>
        <w:ind w:left="283" w:hanging="283"/>
        <w:rPr>
          <w:rFonts w:ascii="FrankRuehl" w:hAnsi="FrankRuehl" w:cs="FrankRuehl"/>
          <w:color w:val="0000FF"/>
          <w:sz w:val="24"/>
          <w:szCs w:val="24"/>
          <w:rtl/>
        </w:rPr>
      </w:pPr>
      <w:hyperlink r:id="rId7" w:history="1">
        <w:r w:rsidRPr="003E42E6">
          <w:rPr>
            <w:rStyle w:val="Hyperlink"/>
            <w:rFonts w:ascii="FrankRuehl" w:hAnsi="FrankRuehl" w:cs="FrankRuehl"/>
            <w:sz w:val="24"/>
            <w:szCs w:val="24"/>
            <w:rtl/>
          </w:rPr>
          <w:t>חוק למניעת הטרדה מינית, תשנ"ח-1998</w:t>
        </w:r>
      </w:hyperlink>
      <w:r w:rsidRPr="003E42E6">
        <w:rPr>
          <w:rFonts w:ascii="FrankRuehl" w:hAnsi="FrankRuehl" w:cs="FrankRuehl"/>
          <w:color w:val="0000FF"/>
          <w:sz w:val="24"/>
          <w:szCs w:val="24"/>
          <w:u w:val="single"/>
          <w:rtl/>
        </w:rPr>
        <w:t xml:space="preserve">: סע'  </w:t>
      </w:r>
      <w:hyperlink r:id="rId8" w:history="1">
        <w:r w:rsidRPr="003E42E6">
          <w:rPr>
            <w:rStyle w:val="Hyperlink"/>
            <w:rFonts w:ascii="FrankRuehl" w:hAnsi="FrankRuehl" w:cs="FrankRuehl"/>
            <w:sz w:val="24"/>
            <w:szCs w:val="24"/>
          </w:rPr>
          <w:t>5</w:t>
        </w:r>
      </w:hyperlink>
      <w:r w:rsidRPr="003E42E6">
        <w:rPr>
          <w:rFonts w:ascii="FrankRuehl" w:hAnsi="FrankRuehl" w:cs="FrankRuehl"/>
          <w:color w:val="0000FF"/>
          <w:sz w:val="24"/>
          <w:szCs w:val="24"/>
          <w:rtl/>
        </w:rPr>
        <w:t>(א)</w:t>
      </w:r>
    </w:p>
    <w:p w14:paraId="7C7776D8" w14:textId="77777777" w:rsidR="003E42E6" w:rsidRPr="003E42E6" w:rsidRDefault="003E42E6" w:rsidP="003E42E6">
      <w:pPr>
        <w:spacing w:before="120" w:after="120" w:line="240" w:lineRule="exact"/>
        <w:ind w:left="283" w:hanging="283"/>
        <w:rPr>
          <w:rFonts w:ascii="FrankRuehl" w:hAnsi="FrankRuehl" w:cs="FrankRuehl"/>
          <w:color w:val="0000FF"/>
          <w:sz w:val="24"/>
          <w:szCs w:val="24"/>
          <w:rtl/>
        </w:rPr>
      </w:pPr>
      <w:hyperlink r:id="rId9" w:history="1">
        <w:r w:rsidRPr="003E42E6">
          <w:rPr>
            <w:rStyle w:val="Hyperlink"/>
            <w:rFonts w:ascii="FrankRuehl" w:hAnsi="FrankRuehl" w:cs="FrankRuehl"/>
            <w:sz w:val="24"/>
            <w:szCs w:val="24"/>
            <w:rtl/>
          </w:rPr>
          <w:t>חוק העונשין, תשל"ז-1977</w:t>
        </w:r>
      </w:hyperlink>
      <w:r w:rsidRPr="003E42E6">
        <w:rPr>
          <w:rFonts w:ascii="FrankRuehl" w:hAnsi="FrankRuehl" w:cs="FrankRuehl"/>
          <w:color w:val="0000FF"/>
          <w:sz w:val="24"/>
          <w:szCs w:val="24"/>
          <w:u w:val="single"/>
          <w:rtl/>
        </w:rPr>
        <w:t xml:space="preserve">: סע'  </w:t>
      </w:r>
      <w:hyperlink r:id="rId10" w:history="1">
        <w:r w:rsidRPr="003E42E6">
          <w:rPr>
            <w:rStyle w:val="Hyperlink"/>
            <w:rFonts w:ascii="FrankRuehl" w:hAnsi="FrankRuehl" w:cs="FrankRuehl"/>
            <w:sz w:val="24"/>
            <w:szCs w:val="24"/>
          </w:rPr>
          <w:t>348</w:t>
        </w:r>
      </w:hyperlink>
      <w:r w:rsidRPr="003E42E6">
        <w:rPr>
          <w:rFonts w:ascii="FrankRuehl" w:hAnsi="FrankRuehl" w:cs="FrankRuehl"/>
          <w:color w:val="0000FF"/>
          <w:sz w:val="24"/>
          <w:szCs w:val="24"/>
          <w:rtl/>
        </w:rPr>
        <w:t>(א)</w:t>
      </w:r>
    </w:p>
    <w:p w14:paraId="0E173C4D" w14:textId="77777777" w:rsidR="003E42E6" w:rsidRPr="003E42E6" w:rsidRDefault="003E42E6" w:rsidP="003E42E6">
      <w:pPr>
        <w:spacing w:before="120" w:after="120" w:line="240" w:lineRule="exact"/>
        <w:ind w:left="283" w:hanging="283"/>
        <w:rPr>
          <w:rFonts w:ascii="FrankRuehl" w:hAnsi="FrankRuehl" w:cs="FrankRuehl"/>
          <w:color w:val="0000FF"/>
          <w:sz w:val="24"/>
          <w:szCs w:val="24"/>
          <w:rtl/>
        </w:rPr>
      </w:pPr>
      <w:hyperlink r:id="rId11" w:history="1">
        <w:r w:rsidRPr="003E42E6">
          <w:rPr>
            <w:rStyle w:val="Hyperlink"/>
            <w:rFonts w:ascii="FrankRuehl" w:hAnsi="FrankRuehl" w:cs="FrankRuehl"/>
            <w:sz w:val="24"/>
            <w:szCs w:val="24"/>
            <w:rtl/>
          </w:rPr>
          <w:t>פקודת הראיות [נוסח חדש], תשל"א-1971</w:t>
        </w:r>
      </w:hyperlink>
      <w:r w:rsidRPr="003E42E6">
        <w:rPr>
          <w:rFonts w:ascii="FrankRuehl" w:hAnsi="FrankRuehl" w:cs="FrankRuehl"/>
          <w:color w:val="0000FF"/>
          <w:sz w:val="24"/>
          <w:szCs w:val="24"/>
          <w:u w:val="single"/>
          <w:rtl/>
        </w:rPr>
        <w:t xml:space="preserve">: סע'  </w:t>
      </w:r>
      <w:hyperlink r:id="rId12" w:history="1">
        <w:r w:rsidRPr="003E42E6">
          <w:rPr>
            <w:rStyle w:val="Hyperlink"/>
            <w:rFonts w:ascii="FrankRuehl" w:hAnsi="FrankRuehl" w:cs="FrankRuehl"/>
            <w:sz w:val="24"/>
            <w:szCs w:val="24"/>
          </w:rPr>
          <w:t>55</w:t>
        </w:r>
      </w:hyperlink>
      <w:r w:rsidRPr="003E42E6">
        <w:rPr>
          <w:rFonts w:ascii="FrankRuehl" w:hAnsi="FrankRuehl" w:cs="FrankRuehl"/>
          <w:color w:val="0000FF"/>
          <w:sz w:val="24"/>
          <w:szCs w:val="24"/>
          <w:rtl/>
        </w:rPr>
        <w:t>(ב)</w:t>
      </w:r>
    </w:p>
    <w:p w14:paraId="2C7104F4" w14:textId="77777777" w:rsidR="003E42E6" w:rsidRPr="003E42E6" w:rsidRDefault="003E42E6" w:rsidP="003E42E6">
      <w:pPr>
        <w:spacing w:line="240" w:lineRule="auto"/>
        <w:rPr>
          <w:rFonts w:hint="cs"/>
          <w:sz w:val="24"/>
          <w:szCs w:val="24"/>
          <w:rtl/>
        </w:rPr>
      </w:pPr>
      <w:bookmarkStart w:id="5" w:name="LawTable_End"/>
      <w:bookmarkEnd w:id="5"/>
    </w:p>
    <w:p w14:paraId="06D7DA36" w14:textId="77777777" w:rsidR="00B23B5A" w:rsidRDefault="00B23B5A">
      <w:pPr>
        <w:spacing w:line="240" w:lineRule="auto"/>
        <w:jc w:val="center"/>
        <w:rPr>
          <w:rFonts w:hint="cs"/>
          <w:b/>
          <w:bCs/>
          <w:sz w:val="24"/>
          <w:szCs w:val="24"/>
          <w:u w:val="single"/>
          <w:rtl/>
        </w:rPr>
      </w:pPr>
      <w:bookmarkStart w:id="6" w:name="סוג_מסמך"/>
      <w:bookmarkStart w:id="7" w:name="PsakDin"/>
      <w:bookmarkEnd w:id="0"/>
      <w:bookmarkEnd w:id="6"/>
      <w:r>
        <w:rPr>
          <w:rFonts w:hint="cs"/>
          <w:b/>
          <w:bCs/>
          <w:sz w:val="24"/>
          <w:szCs w:val="24"/>
          <w:u w:val="single"/>
          <w:rtl/>
        </w:rPr>
        <w:t>הכרעת דין</w:t>
      </w:r>
      <w:bookmarkEnd w:id="7"/>
    </w:p>
    <w:p w14:paraId="21DB0DBB" w14:textId="77777777" w:rsidR="00B23B5A" w:rsidRDefault="00B23B5A">
      <w:pPr>
        <w:tabs>
          <w:tab w:val="num" w:pos="1080"/>
        </w:tabs>
        <w:spacing w:line="240" w:lineRule="auto"/>
        <w:ind w:left="1080" w:hanging="720"/>
        <w:rPr>
          <w:rFonts w:hint="cs"/>
          <w:b/>
          <w:bCs/>
          <w:sz w:val="24"/>
          <w:szCs w:val="24"/>
          <w:u w:val="single"/>
          <w:rtl/>
        </w:rPr>
      </w:pPr>
      <w:r>
        <w:rPr>
          <w:b/>
          <w:bCs/>
          <w:sz w:val="24"/>
          <w:szCs w:val="24"/>
          <w:rtl/>
        </w:rPr>
        <w:t>1.</w:t>
      </w:r>
      <w:r w:rsidR="00984BA0">
        <w:rPr>
          <w:b/>
          <w:bCs/>
          <w:sz w:val="24"/>
          <w:szCs w:val="24"/>
          <w:rtl/>
        </w:rPr>
        <w:t xml:space="preserve">                 </w:t>
      </w:r>
      <w:r>
        <w:rPr>
          <w:b/>
          <w:bCs/>
          <w:sz w:val="24"/>
          <w:szCs w:val="24"/>
          <w:rtl/>
        </w:rPr>
        <w:t xml:space="preserve"> </w:t>
      </w:r>
      <w:r>
        <w:rPr>
          <w:rFonts w:hint="cs"/>
          <w:b/>
          <w:bCs/>
          <w:sz w:val="24"/>
          <w:szCs w:val="24"/>
          <w:u w:val="single"/>
          <w:rtl/>
        </w:rPr>
        <w:t>כתב אישום</w:t>
      </w:r>
    </w:p>
    <w:p w14:paraId="6BAA76AE" w14:textId="77777777" w:rsidR="00B23B5A" w:rsidRDefault="00B23B5A">
      <w:pPr>
        <w:spacing w:line="240" w:lineRule="auto"/>
        <w:ind w:left="1080"/>
        <w:rPr>
          <w:b/>
          <w:bCs/>
          <w:sz w:val="24"/>
          <w:szCs w:val="24"/>
          <w:rtl/>
        </w:rPr>
      </w:pPr>
      <w:r>
        <w:rPr>
          <w:rFonts w:hint="cs"/>
          <w:b/>
          <w:bCs/>
          <w:sz w:val="24"/>
          <w:szCs w:val="24"/>
          <w:rtl/>
        </w:rPr>
        <w:t xml:space="preserve">העובדות הנטענות מייחסות לנאשם הטרדה מינית, עבירה לפי סעיף </w:t>
      </w:r>
    </w:p>
    <w:p w14:paraId="0597D073" w14:textId="77777777" w:rsidR="00B23B5A" w:rsidRDefault="000E6D8A">
      <w:pPr>
        <w:spacing w:line="240" w:lineRule="auto"/>
        <w:ind w:left="1080"/>
        <w:rPr>
          <w:rFonts w:hint="cs"/>
          <w:b/>
          <w:bCs/>
          <w:sz w:val="24"/>
          <w:szCs w:val="24"/>
          <w:rtl/>
        </w:rPr>
      </w:pPr>
      <w:hyperlink r:id="rId13" w:history="1">
        <w:r w:rsidRPr="000E6D8A">
          <w:rPr>
            <w:b/>
            <w:bCs/>
            <w:color w:val="0000FF"/>
            <w:sz w:val="24"/>
            <w:szCs w:val="24"/>
            <w:u w:val="single"/>
            <w:rtl/>
          </w:rPr>
          <w:t>5(א)</w:t>
        </w:r>
      </w:hyperlink>
      <w:r w:rsidR="00B23B5A">
        <w:rPr>
          <w:rFonts w:hint="cs"/>
          <w:b/>
          <w:bCs/>
          <w:sz w:val="24"/>
          <w:szCs w:val="24"/>
          <w:rtl/>
        </w:rPr>
        <w:t xml:space="preserve"> ל</w:t>
      </w:r>
      <w:hyperlink r:id="rId14" w:history="1">
        <w:r w:rsidR="00984BA0" w:rsidRPr="00984BA0">
          <w:rPr>
            <w:rStyle w:val="Hyperlink"/>
            <w:rFonts w:hint="eastAsia"/>
            <w:b/>
            <w:bCs/>
            <w:sz w:val="24"/>
            <w:szCs w:val="24"/>
            <w:rtl/>
          </w:rPr>
          <w:t>חוק</w:t>
        </w:r>
        <w:r w:rsidR="00984BA0" w:rsidRPr="00984BA0">
          <w:rPr>
            <w:rStyle w:val="Hyperlink"/>
            <w:b/>
            <w:bCs/>
            <w:sz w:val="24"/>
            <w:szCs w:val="24"/>
            <w:rtl/>
          </w:rPr>
          <w:t xml:space="preserve"> למניעת הטרדה מינית</w:t>
        </w:r>
      </w:hyperlink>
      <w:r w:rsidR="00B23B5A">
        <w:rPr>
          <w:rFonts w:hint="cs"/>
          <w:b/>
          <w:bCs/>
          <w:sz w:val="24"/>
          <w:szCs w:val="24"/>
          <w:rtl/>
        </w:rPr>
        <w:t xml:space="preserve">, תשנ"ח-1998 ועשיית מעשה מגונה בכח, עבירה לפי </w:t>
      </w:r>
      <w:hyperlink r:id="rId15" w:history="1">
        <w:r w:rsidRPr="000E6D8A">
          <w:rPr>
            <w:b/>
            <w:bCs/>
            <w:color w:val="0000FF"/>
            <w:sz w:val="24"/>
            <w:szCs w:val="24"/>
            <w:u w:val="single"/>
            <w:rtl/>
          </w:rPr>
          <w:t>סעיף 348(א)</w:t>
        </w:r>
      </w:hyperlink>
      <w:r w:rsidR="00B23B5A">
        <w:rPr>
          <w:rFonts w:hint="cs"/>
          <w:b/>
          <w:bCs/>
          <w:sz w:val="24"/>
          <w:szCs w:val="24"/>
          <w:rtl/>
        </w:rPr>
        <w:t xml:space="preserve"> ל</w:t>
      </w:r>
      <w:hyperlink r:id="rId16" w:history="1">
        <w:r w:rsidR="00984BA0" w:rsidRPr="00984BA0">
          <w:rPr>
            <w:rStyle w:val="Hyperlink"/>
            <w:rFonts w:hint="eastAsia"/>
            <w:b/>
            <w:bCs/>
            <w:sz w:val="24"/>
            <w:szCs w:val="24"/>
            <w:rtl/>
          </w:rPr>
          <w:t>חוק</w:t>
        </w:r>
        <w:r w:rsidR="00984BA0" w:rsidRPr="00984BA0">
          <w:rPr>
            <w:rStyle w:val="Hyperlink"/>
            <w:b/>
            <w:bCs/>
            <w:sz w:val="24"/>
            <w:szCs w:val="24"/>
            <w:rtl/>
          </w:rPr>
          <w:t xml:space="preserve"> העונשין</w:t>
        </w:r>
      </w:hyperlink>
      <w:r w:rsidR="00B23B5A">
        <w:rPr>
          <w:rFonts w:hint="cs"/>
          <w:b/>
          <w:bCs/>
          <w:sz w:val="24"/>
          <w:szCs w:val="24"/>
          <w:rtl/>
        </w:rPr>
        <w:t xml:space="preserve">, תשל"ז-1977. מועד העבירות – סוף יוני ותחילת יולי 1999. </w:t>
      </w:r>
    </w:p>
    <w:p w14:paraId="2C247A29" w14:textId="77777777" w:rsidR="00B23B5A" w:rsidRDefault="00B23B5A">
      <w:pPr>
        <w:spacing w:line="240" w:lineRule="auto"/>
        <w:ind w:left="1080"/>
        <w:rPr>
          <w:rFonts w:hint="cs"/>
          <w:b/>
          <w:bCs/>
          <w:sz w:val="24"/>
          <w:szCs w:val="24"/>
          <w:rtl/>
        </w:rPr>
      </w:pPr>
      <w:r>
        <w:rPr>
          <w:rFonts w:hint="cs"/>
          <w:b/>
          <w:bCs/>
          <w:sz w:val="24"/>
          <w:szCs w:val="24"/>
          <w:rtl/>
        </w:rPr>
        <w:t xml:space="preserve">קרבן המעשים המיוחסים לנאשם היא מ.ח (להלן המתלוננת), צעירה כבת 23 שעבדה יחד עם הנאשם בבית עסק לכלי עבודה ופירזול ברחוב ??? בת"א (להלן החנות). הנאשם עבד במחסן החנות והמתלוננת הועסקה כנהגת מובילה סחורה. היא עבדה במחיצת הנאשם כשבועיים והפסיקה עבודתה בעקבות המעשה המגונה שעשה בה לטענתה. </w:t>
      </w:r>
    </w:p>
    <w:p w14:paraId="0E6F3B15" w14:textId="77777777" w:rsidR="00B23B5A" w:rsidRDefault="00984BA0">
      <w:pPr>
        <w:spacing w:line="240" w:lineRule="auto"/>
        <w:ind w:left="1080"/>
        <w:rPr>
          <w:rFonts w:hint="cs"/>
          <w:b/>
          <w:bCs/>
          <w:sz w:val="24"/>
          <w:szCs w:val="24"/>
          <w:rtl/>
        </w:rPr>
      </w:pPr>
      <w:r>
        <w:rPr>
          <w:rFonts w:hint="cs"/>
          <w:b/>
          <w:bCs/>
          <w:sz w:val="24"/>
          <w:szCs w:val="24"/>
          <w:rtl/>
        </w:rPr>
        <w:t xml:space="preserve"> </w:t>
      </w:r>
    </w:p>
    <w:p w14:paraId="5C3A5358" w14:textId="77777777" w:rsidR="00B23B5A" w:rsidRDefault="00B23B5A">
      <w:pPr>
        <w:spacing w:line="240" w:lineRule="auto"/>
        <w:ind w:left="1080"/>
        <w:rPr>
          <w:rFonts w:hint="cs"/>
          <w:b/>
          <w:bCs/>
          <w:sz w:val="24"/>
          <w:szCs w:val="24"/>
          <w:rtl/>
        </w:rPr>
      </w:pPr>
      <w:r>
        <w:rPr>
          <w:rFonts w:hint="cs"/>
          <w:b/>
          <w:bCs/>
          <w:sz w:val="24"/>
          <w:szCs w:val="24"/>
          <w:rtl/>
        </w:rPr>
        <w:t>וזו תמצית המעשים המיוחסים לנאשם:</w:t>
      </w:r>
      <w:r>
        <w:rPr>
          <w:b/>
          <w:bCs/>
          <w:color w:val="FFFFFF"/>
          <w:sz w:val="4"/>
          <w:szCs w:val="4"/>
          <w:rtl/>
        </w:rPr>
        <w:t>נ</w:t>
      </w:r>
    </w:p>
    <w:p w14:paraId="449C3215" w14:textId="77777777" w:rsidR="00B23B5A" w:rsidRDefault="00B23B5A">
      <w:pPr>
        <w:tabs>
          <w:tab w:val="num" w:pos="1440"/>
        </w:tabs>
        <w:spacing w:line="240" w:lineRule="auto"/>
        <w:ind w:left="1440" w:hanging="360"/>
        <w:rPr>
          <w:rFonts w:hint="cs"/>
          <w:b/>
          <w:bCs/>
          <w:sz w:val="24"/>
          <w:szCs w:val="24"/>
          <w:rtl/>
        </w:rPr>
      </w:pPr>
      <w:r>
        <w:rPr>
          <w:rFonts w:hint="cs"/>
          <w:b/>
          <w:bCs/>
          <w:sz w:val="24"/>
          <w:szCs w:val="24"/>
          <w:rtl/>
        </w:rPr>
        <w:t>א.</w:t>
      </w:r>
      <w:r w:rsidR="00984BA0">
        <w:rPr>
          <w:b/>
          <w:bCs/>
          <w:sz w:val="24"/>
          <w:szCs w:val="24"/>
          <w:rtl/>
        </w:rPr>
        <w:t xml:space="preserve">   </w:t>
      </w:r>
      <w:r>
        <w:rPr>
          <w:b/>
          <w:bCs/>
          <w:sz w:val="24"/>
          <w:szCs w:val="24"/>
          <w:rtl/>
        </w:rPr>
        <w:t xml:space="preserve"> </w:t>
      </w:r>
      <w:r>
        <w:rPr>
          <w:rFonts w:hint="cs"/>
          <w:b/>
          <w:bCs/>
          <w:sz w:val="24"/>
          <w:szCs w:val="24"/>
          <w:rtl/>
        </w:rPr>
        <w:t xml:space="preserve">הטריד את המתלוננת באמירות שונות באומרו לה שהוא "מת עליה", רוצה להתקלח איתה, נהג לומר לה בטלפון שתבוא כי הוא רוצה להיות איתה. </w:t>
      </w:r>
    </w:p>
    <w:p w14:paraId="373A24AC" w14:textId="77777777" w:rsidR="00B23B5A" w:rsidRDefault="00B23B5A">
      <w:pPr>
        <w:tabs>
          <w:tab w:val="num" w:pos="1440"/>
        </w:tabs>
        <w:spacing w:line="240" w:lineRule="auto"/>
        <w:ind w:left="1440" w:hanging="360"/>
        <w:rPr>
          <w:rFonts w:hint="cs"/>
          <w:b/>
          <w:bCs/>
          <w:sz w:val="24"/>
          <w:szCs w:val="24"/>
          <w:rtl/>
        </w:rPr>
      </w:pPr>
      <w:r>
        <w:rPr>
          <w:rFonts w:hint="cs"/>
          <w:b/>
          <w:bCs/>
          <w:sz w:val="24"/>
          <w:szCs w:val="24"/>
          <w:rtl/>
        </w:rPr>
        <w:t>ב.</w:t>
      </w:r>
      <w:r w:rsidR="00984BA0">
        <w:rPr>
          <w:b/>
          <w:bCs/>
          <w:sz w:val="24"/>
          <w:szCs w:val="24"/>
          <w:rtl/>
        </w:rPr>
        <w:t xml:space="preserve">    </w:t>
      </w:r>
      <w:r>
        <w:rPr>
          <w:b/>
          <w:bCs/>
          <w:sz w:val="24"/>
          <w:szCs w:val="24"/>
          <w:rtl/>
        </w:rPr>
        <w:t xml:space="preserve"> </w:t>
      </w:r>
      <w:r>
        <w:rPr>
          <w:rFonts w:hint="cs"/>
          <w:b/>
          <w:bCs/>
          <w:sz w:val="24"/>
          <w:szCs w:val="24"/>
          <w:rtl/>
        </w:rPr>
        <w:t xml:space="preserve">כמו כן, הטריד אותה במעשים בכך שחיבק אותה בהזדמנויות שונות וניסה לנשקה. </w:t>
      </w:r>
    </w:p>
    <w:p w14:paraId="4C9DBA8B" w14:textId="77777777" w:rsidR="00B23B5A" w:rsidRDefault="00B23B5A">
      <w:pPr>
        <w:tabs>
          <w:tab w:val="num" w:pos="1440"/>
        </w:tabs>
        <w:spacing w:line="240" w:lineRule="auto"/>
        <w:ind w:left="1440" w:hanging="360"/>
        <w:rPr>
          <w:b/>
          <w:bCs/>
          <w:sz w:val="24"/>
          <w:szCs w:val="24"/>
          <w:rtl/>
        </w:rPr>
      </w:pPr>
      <w:r>
        <w:rPr>
          <w:rFonts w:hint="cs"/>
          <w:b/>
          <w:bCs/>
          <w:sz w:val="24"/>
          <w:szCs w:val="24"/>
          <w:rtl/>
        </w:rPr>
        <w:t>ג.</w:t>
      </w:r>
      <w:r w:rsidR="00984BA0">
        <w:rPr>
          <w:b/>
          <w:bCs/>
          <w:sz w:val="24"/>
          <w:szCs w:val="24"/>
          <w:rtl/>
        </w:rPr>
        <w:t xml:space="preserve">     </w:t>
      </w:r>
      <w:r>
        <w:rPr>
          <w:b/>
          <w:bCs/>
          <w:sz w:val="24"/>
          <w:szCs w:val="24"/>
          <w:rtl/>
        </w:rPr>
        <w:t xml:space="preserve"> </w:t>
      </w:r>
      <w:r>
        <w:rPr>
          <w:rFonts w:hint="cs"/>
          <w:b/>
          <w:bCs/>
          <w:sz w:val="24"/>
          <w:szCs w:val="24"/>
          <w:rtl/>
        </w:rPr>
        <w:t xml:space="preserve">המתלוננת התחמקה ממנו ואמרה לו שאינה מעונינת בהצעותיו ובמעשיו. </w:t>
      </w:r>
    </w:p>
    <w:p w14:paraId="5A0A3B17" w14:textId="77777777" w:rsidR="00B23B5A" w:rsidRDefault="00B23B5A">
      <w:pPr>
        <w:tabs>
          <w:tab w:val="num" w:pos="1440"/>
        </w:tabs>
        <w:spacing w:line="240" w:lineRule="auto"/>
        <w:ind w:left="1440" w:hanging="360"/>
        <w:rPr>
          <w:b/>
          <w:bCs/>
          <w:sz w:val="24"/>
          <w:szCs w:val="24"/>
          <w:rtl/>
        </w:rPr>
      </w:pPr>
      <w:r>
        <w:rPr>
          <w:rFonts w:hint="cs"/>
          <w:b/>
          <w:bCs/>
          <w:sz w:val="24"/>
          <w:szCs w:val="24"/>
          <w:rtl/>
        </w:rPr>
        <w:t>ד.</w:t>
      </w:r>
      <w:r w:rsidR="00984BA0">
        <w:rPr>
          <w:b/>
          <w:bCs/>
          <w:sz w:val="24"/>
          <w:szCs w:val="24"/>
          <w:rtl/>
        </w:rPr>
        <w:t xml:space="preserve">    </w:t>
      </w:r>
      <w:r>
        <w:rPr>
          <w:b/>
          <w:bCs/>
          <w:sz w:val="24"/>
          <w:szCs w:val="24"/>
          <w:rtl/>
        </w:rPr>
        <w:t xml:space="preserve"> </w:t>
      </w:r>
      <w:r>
        <w:rPr>
          <w:rFonts w:hint="cs"/>
          <w:b/>
          <w:bCs/>
          <w:sz w:val="24"/>
          <w:szCs w:val="24"/>
          <w:rtl/>
        </w:rPr>
        <w:t xml:space="preserve">ביום 9.7.99, שהיה יום שישי בצהרים, בעת שנותרו לבדם בחנות, התפתחה ביניהם שיחה והנאשם אמר לה שהיא בחורה מושכת, משדרת מיניות, בעלת חזה יפה והוסיף שרצונו לראות את חזה. </w:t>
      </w:r>
    </w:p>
    <w:p w14:paraId="5589BDF7" w14:textId="77777777" w:rsidR="00B23B5A" w:rsidRDefault="00B23B5A">
      <w:pPr>
        <w:tabs>
          <w:tab w:val="num" w:pos="1440"/>
        </w:tabs>
        <w:spacing w:line="240" w:lineRule="auto"/>
        <w:ind w:left="1440" w:hanging="360"/>
        <w:rPr>
          <w:b/>
          <w:bCs/>
          <w:sz w:val="24"/>
          <w:szCs w:val="24"/>
          <w:rtl/>
        </w:rPr>
      </w:pPr>
      <w:r>
        <w:rPr>
          <w:rFonts w:hint="cs"/>
          <w:b/>
          <w:bCs/>
          <w:sz w:val="24"/>
          <w:szCs w:val="24"/>
          <w:rtl/>
        </w:rPr>
        <w:t>ה.</w:t>
      </w:r>
      <w:r w:rsidR="00984BA0">
        <w:rPr>
          <w:b/>
          <w:bCs/>
          <w:sz w:val="24"/>
          <w:szCs w:val="24"/>
          <w:rtl/>
        </w:rPr>
        <w:t xml:space="preserve">   </w:t>
      </w:r>
      <w:r>
        <w:rPr>
          <w:b/>
          <w:bCs/>
          <w:sz w:val="24"/>
          <w:szCs w:val="24"/>
          <w:rtl/>
        </w:rPr>
        <w:t xml:space="preserve"> </w:t>
      </w:r>
      <w:r>
        <w:rPr>
          <w:rFonts w:hint="cs"/>
          <w:b/>
          <w:bCs/>
          <w:sz w:val="24"/>
          <w:szCs w:val="24"/>
          <w:rtl/>
        </w:rPr>
        <w:t xml:space="preserve">בהמשך קרב אליה ונגד רצונה ניסה להרים חולצתה ולגעת בחזה. היא התנגדה, אך הוא התעלם מכך, הרים חולצתה ונגע בחזה, כפה עליה לגעת באבר מינו, חיבק אותה ונישקה בצווארה ומישש את איבר מינה מעל לבגדיה וכל זאת כשהיא מוחה ומבקשת שיחדל ממעשיו. בשלב כלשהו הניח לה ושניהם יצאו מהחנות. </w:t>
      </w:r>
    </w:p>
    <w:p w14:paraId="20499A0E" w14:textId="77777777" w:rsidR="00B23B5A" w:rsidRDefault="00984BA0">
      <w:pPr>
        <w:spacing w:line="240" w:lineRule="auto"/>
        <w:ind w:left="1080"/>
        <w:rPr>
          <w:b/>
          <w:bCs/>
          <w:sz w:val="24"/>
          <w:szCs w:val="24"/>
          <w:rtl/>
        </w:rPr>
      </w:pPr>
      <w:r>
        <w:rPr>
          <w:rFonts w:hint="cs"/>
          <w:b/>
          <w:bCs/>
          <w:sz w:val="24"/>
          <w:szCs w:val="24"/>
          <w:rtl/>
        </w:rPr>
        <w:t xml:space="preserve"> </w:t>
      </w:r>
    </w:p>
    <w:p w14:paraId="42A7BF16" w14:textId="77777777" w:rsidR="00B23B5A" w:rsidRDefault="00B23B5A">
      <w:pPr>
        <w:tabs>
          <w:tab w:val="num" w:pos="1080"/>
        </w:tabs>
        <w:spacing w:line="240" w:lineRule="auto"/>
        <w:ind w:left="1080" w:hanging="720"/>
        <w:rPr>
          <w:rFonts w:hint="cs"/>
          <w:b/>
          <w:bCs/>
          <w:sz w:val="24"/>
          <w:szCs w:val="24"/>
          <w:rtl/>
        </w:rPr>
      </w:pPr>
      <w:r>
        <w:rPr>
          <w:b/>
          <w:bCs/>
          <w:sz w:val="24"/>
          <w:szCs w:val="24"/>
          <w:rtl/>
        </w:rPr>
        <w:t>2.</w:t>
      </w:r>
      <w:r w:rsidR="00984BA0">
        <w:rPr>
          <w:b/>
          <w:bCs/>
          <w:sz w:val="24"/>
          <w:szCs w:val="24"/>
          <w:rtl/>
        </w:rPr>
        <w:t xml:space="preserve">                 </w:t>
      </w:r>
      <w:r>
        <w:rPr>
          <w:b/>
          <w:bCs/>
          <w:sz w:val="24"/>
          <w:szCs w:val="24"/>
          <w:rtl/>
        </w:rPr>
        <w:t xml:space="preserve"> </w:t>
      </w:r>
      <w:r>
        <w:rPr>
          <w:rFonts w:hint="cs"/>
          <w:b/>
          <w:bCs/>
          <w:sz w:val="24"/>
          <w:szCs w:val="24"/>
          <w:rtl/>
        </w:rPr>
        <w:t xml:space="preserve">הנאשם מכחיש מכל וכל את האמור בכתב האישום על שני חלקיו; ההטרדות המיניות שקדמו למעשה המגונה ואת המעשה המגונה עצמו. טענתו היא שלסיפורה של המתלוננת אין כל אחיזה במציאות והכל פרי דמיונה והמצאתה. העובדה היחידה בה מודה הנאשם היא שהמתלוננת עבדה במחיצתו כשבועיים וכי הם נשארו יחד בחנות באותו יום שישי, אולם לדבריו יחסיהם הצטמצמו לענייני עבודה בלבד, לא נוצר ביניהם כל קשר אישי והיא לא עוררה בו כל עניין ובאותו יום בחנות, כל אחד עסק בשלו. </w:t>
      </w:r>
    </w:p>
    <w:p w14:paraId="385A8B14" w14:textId="77777777" w:rsidR="00B23B5A" w:rsidRDefault="00984BA0">
      <w:pPr>
        <w:spacing w:line="240" w:lineRule="auto"/>
        <w:ind w:left="360"/>
        <w:rPr>
          <w:b/>
          <w:bCs/>
          <w:sz w:val="24"/>
          <w:szCs w:val="24"/>
          <w:rtl/>
        </w:rPr>
      </w:pPr>
      <w:r>
        <w:rPr>
          <w:b/>
          <w:bCs/>
          <w:sz w:val="24"/>
          <w:szCs w:val="24"/>
          <w:rtl/>
        </w:rPr>
        <w:lastRenderedPageBreak/>
        <w:t xml:space="preserve"> </w:t>
      </w:r>
    </w:p>
    <w:p w14:paraId="0496612D" w14:textId="77777777" w:rsidR="00B23B5A" w:rsidRDefault="00B23B5A">
      <w:pPr>
        <w:tabs>
          <w:tab w:val="num" w:pos="1080"/>
        </w:tabs>
        <w:spacing w:line="240" w:lineRule="auto"/>
        <w:ind w:left="1080" w:hanging="720"/>
        <w:rPr>
          <w:b/>
          <w:bCs/>
          <w:sz w:val="24"/>
          <w:szCs w:val="24"/>
          <w:rtl/>
        </w:rPr>
      </w:pPr>
      <w:r>
        <w:rPr>
          <w:b/>
          <w:bCs/>
          <w:sz w:val="24"/>
          <w:szCs w:val="24"/>
          <w:rtl/>
        </w:rPr>
        <w:t>3.</w:t>
      </w:r>
      <w:r w:rsidR="00984BA0">
        <w:rPr>
          <w:b/>
          <w:bCs/>
          <w:sz w:val="24"/>
          <w:szCs w:val="24"/>
          <w:rtl/>
        </w:rPr>
        <w:t xml:space="preserve">                 </w:t>
      </w:r>
      <w:r>
        <w:rPr>
          <w:b/>
          <w:bCs/>
          <w:sz w:val="24"/>
          <w:szCs w:val="24"/>
          <w:rtl/>
        </w:rPr>
        <w:t xml:space="preserve"> </w:t>
      </w:r>
      <w:r>
        <w:rPr>
          <w:rFonts w:hint="cs"/>
          <w:b/>
          <w:bCs/>
          <w:sz w:val="24"/>
          <w:szCs w:val="24"/>
          <w:rtl/>
        </w:rPr>
        <w:t>כדרכם של ארועים מסוג זה, ניצבת בסופו של יום גרסת המתלוננת לבדה אל מול הכחשתו הגורפת של הנאשם. לטענת התביעה, גרסת המתלוננת נתמכת בראיות חיצוניות שעיקרן מצבה הנפשי הנסער, כעולה משיחת טלפון בינה לבין העדה ליאת רוזנברג (</w:t>
      </w:r>
      <w:r>
        <w:rPr>
          <w:b/>
          <w:bCs/>
          <w:sz w:val="24"/>
          <w:szCs w:val="24"/>
        </w:rPr>
        <w:t>ל</w:t>
      </w:r>
      <w:r>
        <w:rPr>
          <w:rFonts w:hint="cs"/>
          <w:b/>
          <w:bCs/>
          <w:sz w:val="24"/>
          <w:szCs w:val="24"/>
          <w:rtl/>
        </w:rPr>
        <w:t xml:space="preserve">הלן ליאת), מתנדבת במרכז הסיוע לנפגעות תקיפה מינית (להלן המרכז) והגשת תלונה במשטרה כיומיים אחרי המקרה. </w:t>
      </w:r>
    </w:p>
    <w:p w14:paraId="181AA5D6" w14:textId="77777777" w:rsidR="00B23B5A" w:rsidRDefault="00B23B5A">
      <w:pPr>
        <w:spacing w:line="240" w:lineRule="auto"/>
        <w:ind w:left="1080"/>
        <w:rPr>
          <w:b/>
          <w:bCs/>
          <w:sz w:val="24"/>
          <w:szCs w:val="24"/>
          <w:rtl/>
        </w:rPr>
      </w:pPr>
      <w:r>
        <w:rPr>
          <w:rFonts w:hint="cs"/>
          <w:b/>
          <w:bCs/>
          <w:sz w:val="24"/>
          <w:szCs w:val="24"/>
          <w:rtl/>
        </w:rPr>
        <w:t xml:space="preserve">אל משקלן של הראיות התומכות אתייחס בהמשך אך כבר עתה יש לומר שהראיות החיצוניות הנן בעלות משמעות מיוחדת בשאלת הערכת מהימנות גרסתה של המתלוננת, נוכח מצבה הנפשי המיוחד ומאפייני אישיותה. המתלוננת מאובחנת כסובלת "מתסמונת פוסט טראומטית מורכבת בעקבות תקיפות מיניות ופיזיות רבות שעברה מאז ילדותה המוקדמת" – ת/3. מצבה הנפשי מאופיין בסימפטומים קשים כפי שיפורט בהמשך והתביעה מסכימה שיש להתייחס לעדותה כאל עדות חולת נפש וזאת למרות שאינה מוגדרת כך בחומר הרפואי ובחוות הדעת ת/3. </w:t>
      </w:r>
    </w:p>
    <w:p w14:paraId="5158B5D8" w14:textId="77777777" w:rsidR="00B23B5A" w:rsidRDefault="00984BA0">
      <w:pPr>
        <w:spacing w:line="240" w:lineRule="auto"/>
        <w:ind w:left="360"/>
        <w:rPr>
          <w:rFonts w:hint="cs"/>
          <w:b/>
          <w:bCs/>
          <w:sz w:val="24"/>
          <w:szCs w:val="24"/>
          <w:rtl/>
        </w:rPr>
      </w:pPr>
      <w:r>
        <w:rPr>
          <w:b/>
          <w:bCs/>
          <w:sz w:val="24"/>
          <w:szCs w:val="24"/>
          <w:rtl/>
        </w:rPr>
        <w:t xml:space="preserve"> </w:t>
      </w:r>
    </w:p>
    <w:p w14:paraId="5344F4A9" w14:textId="77777777" w:rsidR="00B23B5A" w:rsidRDefault="00B23B5A">
      <w:pPr>
        <w:tabs>
          <w:tab w:val="num" w:pos="1080"/>
        </w:tabs>
        <w:spacing w:line="240" w:lineRule="auto"/>
        <w:ind w:left="1080" w:hanging="720"/>
        <w:rPr>
          <w:b/>
          <w:bCs/>
          <w:sz w:val="24"/>
          <w:szCs w:val="24"/>
          <w:rtl/>
        </w:rPr>
      </w:pPr>
      <w:r>
        <w:rPr>
          <w:b/>
          <w:bCs/>
          <w:sz w:val="24"/>
          <w:szCs w:val="24"/>
          <w:rtl/>
        </w:rPr>
        <w:t>4.</w:t>
      </w:r>
      <w:r w:rsidR="00984BA0">
        <w:rPr>
          <w:b/>
          <w:bCs/>
          <w:sz w:val="24"/>
          <w:szCs w:val="24"/>
          <w:rtl/>
        </w:rPr>
        <w:t xml:space="preserve">                 </w:t>
      </w:r>
      <w:r>
        <w:rPr>
          <w:b/>
          <w:bCs/>
          <w:sz w:val="24"/>
          <w:szCs w:val="24"/>
          <w:rtl/>
        </w:rPr>
        <w:t xml:space="preserve"> </w:t>
      </w:r>
      <w:r>
        <w:rPr>
          <w:rFonts w:hint="cs"/>
          <w:b/>
          <w:bCs/>
          <w:sz w:val="24"/>
          <w:szCs w:val="24"/>
          <w:rtl/>
        </w:rPr>
        <w:t xml:space="preserve">מצבה הנפשי של המתלוננת הנו אחת הנקודות המרכזיות בקביעת ממצאי מהימנות גרסתה ועל כן אקדים את הדיון במצבה הנפשי, לפירוט וניתוח הראיות. </w:t>
      </w:r>
    </w:p>
    <w:p w14:paraId="176AE564" w14:textId="77777777" w:rsidR="00B23B5A" w:rsidRDefault="00984BA0">
      <w:pPr>
        <w:spacing w:line="240" w:lineRule="auto"/>
        <w:ind w:left="720"/>
        <w:rPr>
          <w:b/>
          <w:bCs/>
          <w:sz w:val="24"/>
          <w:szCs w:val="24"/>
          <w:rtl/>
        </w:rPr>
      </w:pPr>
      <w:r>
        <w:rPr>
          <w:rFonts w:hint="cs"/>
          <w:b/>
          <w:bCs/>
          <w:sz w:val="24"/>
          <w:szCs w:val="24"/>
          <w:rtl/>
        </w:rPr>
        <w:t xml:space="preserve"> </w:t>
      </w:r>
    </w:p>
    <w:p w14:paraId="7AEEF9AD" w14:textId="77777777" w:rsidR="00B23B5A" w:rsidRDefault="00B23B5A">
      <w:pPr>
        <w:spacing w:line="240" w:lineRule="auto"/>
        <w:ind w:left="1080"/>
        <w:rPr>
          <w:rFonts w:hint="cs"/>
          <w:b/>
          <w:bCs/>
          <w:sz w:val="24"/>
          <w:szCs w:val="24"/>
          <w:u w:val="single"/>
          <w:rtl/>
        </w:rPr>
      </w:pPr>
      <w:r>
        <w:rPr>
          <w:rFonts w:hint="cs"/>
          <w:b/>
          <w:bCs/>
          <w:sz w:val="24"/>
          <w:szCs w:val="24"/>
          <w:u w:val="single"/>
          <w:rtl/>
        </w:rPr>
        <w:t>חוות הדעת – ת/3</w:t>
      </w:r>
    </w:p>
    <w:p w14:paraId="3CED6592" w14:textId="77777777" w:rsidR="00B23B5A" w:rsidRDefault="00B23B5A">
      <w:pPr>
        <w:tabs>
          <w:tab w:val="num" w:pos="1440"/>
        </w:tabs>
        <w:spacing w:line="240" w:lineRule="auto"/>
        <w:ind w:left="1440" w:hanging="360"/>
        <w:rPr>
          <w:rFonts w:hint="cs"/>
          <w:b/>
          <w:bCs/>
          <w:sz w:val="24"/>
          <w:szCs w:val="24"/>
          <w:rtl/>
        </w:rPr>
      </w:pPr>
      <w:r>
        <w:rPr>
          <w:rFonts w:hint="cs"/>
          <w:b/>
          <w:bCs/>
          <w:sz w:val="24"/>
          <w:szCs w:val="24"/>
          <w:rtl/>
        </w:rPr>
        <w:t>א.</w:t>
      </w:r>
      <w:r w:rsidR="00984BA0">
        <w:rPr>
          <w:b/>
          <w:bCs/>
          <w:sz w:val="24"/>
          <w:szCs w:val="24"/>
          <w:rtl/>
        </w:rPr>
        <w:t xml:space="preserve">   </w:t>
      </w:r>
      <w:r>
        <w:rPr>
          <w:b/>
          <w:bCs/>
          <w:sz w:val="24"/>
          <w:szCs w:val="24"/>
          <w:rtl/>
        </w:rPr>
        <w:t xml:space="preserve"> </w:t>
      </w:r>
      <w:r>
        <w:rPr>
          <w:rFonts w:hint="cs"/>
          <w:b/>
          <w:bCs/>
          <w:sz w:val="24"/>
          <w:szCs w:val="24"/>
          <w:rtl/>
        </w:rPr>
        <w:t xml:space="preserve">לפני המועד בו היתה המתלוננת אמורה להעיד – 15.3.00, ביקשה התביעה לדחות את עדותה בשל מצב נפשי קשה שלא איפשר לה להתייצב לעדות. </w:t>
      </w:r>
    </w:p>
    <w:p w14:paraId="7A5E7876" w14:textId="77777777" w:rsidR="00B23B5A" w:rsidRDefault="00B23B5A">
      <w:pPr>
        <w:spacing w:line="240" w:lineRule="auto"/>
        <w:ind w:left="1440"/>
        <w:rPr>
          <w:b/>
          <w:bCs/>
          <w:sz w:val="24"/>
          <w:szCs w:val="24"/>
          <w:rtl/>
        </w:rPr>
      </w:pPr>
      <w:r>
        <w:rPr>
          <w:rFonts w:hint="cs"/>
          <w:b/>
          <w:bCs/>
          <w:sz w:val="24"/>
          <w:szCs w:val="24"/>
          <w:rtl/>
        </w:rPr>
        <w:t>כעולה מהחומר הרפואי שצורף, באותה תקופה אישפזה עצמה מרצון במחלקה פסיכיאטרית בבי"ח שיבא למשך כשבועיים עקב תחושות מתח וחרדה בעקבות מריבה עם חבר שלה. היא פנתה למרכז לנפגעות תקיפה מינית והגיעה לבי"ח מלווה בעובדת המרכז.</w:t>
      </w:r>
    </w:p>
    <w:p w14:paraId="154052B0" w14:textId="77777777" w:rsidR="00B23B5A" w:rsidRDefault="00B23B5A">
      <w:pPr>
        <w:spacing w:line="240" w:lineRule="auto"/>
        <w:ind w:left="1440"/>
        <w:rPr>
          <w:rFonts w:hint="cs"/>
          <w:b/>
          <w:bCs/>
          <w:sz w:val="24"/>
          <w:szCs w:val="24"/>
          <w:rtl/>
        </w:rPr>
      </w:pPr>
      <w:r>
        <w:rPr>
          <w:rFonts w:hint="cs"/>
          <w:b/>
          <w:bCs/>
          <w:sz w:val="24"/>
          <w:szCs w:val="24"/>
          <w:rtl/>
        </w:rPr>
        <w:t xml:space="preserve">עד נובמבר 2000 השתפר מצבה, התביעה ביקשה להעידה ויש לציין שעדותה היתה סדורה ורהוטה. </w:t>
      </w:r>
    </w:p>
    <w:p w14:paraId="5FB0DB50" w14:textId="77777777" w:rsidR="00B23B5A" w:rsidRDefault="00B23B5A">
      <w:pPr>
        <w:tabs>
          <w:tab w:val="num" w:pos="1440"/>
        </w:tabs>
        <w:spacing w:line="240" w:lineRule="auto"/>
        <w:ind w:left="1440" w:hanging="360"/>
        <w:rPr>
          <w:rFonts w:hint="cs"/>
          <w:b/>
          <w:bCs/>
          <w:sz w:val="24"/>
          <w:szCs w:val="24"/>
          <w:rtl/>
        </w:rPr>
      </w:pPr>
      <w:r>
        <w:rPr>
          <w:rFonts w:hint="cs"/>
          <w:b/>
          <w:bCs/>
          <w:sz w:val="24"/>
          <w:szCs w:val="24"/>
          <w:rtl/>
        </w:rPr>
        <w:t>ב.</w:t>
      </w:r>
      <w:r w:rsidR="00984BA0">
        <w:rPr>
          <w:b/>
          <w:bCs/>
          <w:sz w:val="24"/>
          <w:szCs w:val="24"/>
          <w:rtl/>
        </w:rPr>
        <w:t xml:space="preserve">    </w:t>
      </w:r>
      <w:r>
        <w:rPr>
          <w:b/>
          <w:bCs/>
          <w:sz w:val="24"/>
          <w:szCs w:val="24"/>
          <w:rtl/>
        </w:rPr>
        <w:t xml:space="preserve"> </w:t>
      </w:r>
      <w:r>
        <w:rPr>
          <w:rFonts w:hint="cs"/>
          <w:b/>
          <w:bCs/>
          <w:sz w:val="24"/>
          <w:szCs w:val="24"/>
          <w:rtl/>
        </w:rPr>
        <w:t xml:space="preserve">כפי שהתברר במהלך המשפט, עדותה של המתלוננת נדחתה בהמלצתה של גב' אפי זיו, פסיכותרפיסטית המתמחה בטיפול בנפגעות תקיפה מינית והמטפלת במתלוננת מספר שנים. </w:t>
      </w:r>
    </w:p>
    <w:p w14:paraId="1EDA80CE" w14:textId="77777777" w:rsidR="00B23B5A" w:rsidRDefault="00B23B5A">
      <w:pPr>
        <w:spacing w:line="240" w:lineRule="auto"/>
        <w:ind w:left="1440"/>
        <w:rPr>
          <w:b/>
          <w:bCs/>
          <w:sz w:val="24"/>
          <w:szCs w:val="24"/>
          <w:rtl/>
        </w:rPr>
      </w:pPr>
      <w:r>
        <w:rPr>
          <w:rFonts w:hint="cs"/>
          <w:b/>
          <w:bCs/>
          <w:sz w:val="24"/>
          <w:szCs w:val="24"/>
          <w:rtl/>
        </w:rPr>
        <w:t xml:space="preserve">חוות הדעת שהגישה עדה זו – ת/3 – מסכמת את מצבה הרפואי של המתלוננת; סובלת כאמור מתסמונת פוסט טראומטית עקב תקיפות מיניות ופיזיות שעברה מאז ילדותה. תסמונת זו מוגדרת בספרות הרפואית אליה מפנים באי כח הצדדים והנזכרת במסמכים הרפואיים, כ- </w:t>
      </w:r>
      <w:r>
        <w:rPr>
          <w:b/>
          <w:bCs/>
          <w:sz w:val="24"/>
          <w:szCs w:val="24"/>
        </w:rPr>
        <w:t xml:space="preserve">P.T.S.D </w:t>
      </w:r>
      <w:r>
        <w:rPr>
          <w:rFonts w:hint="cs"/>
          <w:b/>
          <w:bCs/>
          <w:sz w:val="24"/>
          <w:szCs w:val="24"/>
          <w:rtl/>
        </w:rPr>
        <w:t xml:space="preserve"> - </w:t>
      </w:r>
      <w:r>
        <w:rPr>
          <w:b/>
          <w:bCs/>
          <w:sz w:val="24"/>
          <w:szCs w:val="24"/>
        </w:rPr>
        <w:t>POST TRAUMATIC STRESS DISORDER</w:t>
      </w:r>
      <w:r>
        <w:rPr>
          <w:rFonts w:hint="cs"/>
          <w:b/>
          <w:bCs/>
          <w:sz w:val="24"/>
          <w:szCs w:val="24"/>
          <w:rtl/>
        </w:rPr>
        <w:t xml:space="preserve"> ובעברית – תגובת דחק בתר חבלתית. </w:t>
      </w:r>
    </w:p>
    <w:p w14:paraId="3F8C122A" w14:textId="77777777" w:rsidR="00B23B5A" w:rsidRDefault="00B23B5A">
      <w:pPr>
        <w:spacing w:line="240" w:lineRule="auto"/>
        <w:ind w:left="1440"/>
        <w:rPr>
          <w:rFonts w:hint="cs"/>
          <w:b/>
          <w:bCs/>
          <w:sz w:val="24"/>
          <w:szCs w:val="24"/>
          <w:rtl/>
        </w:rPr>
      </w:pPr>
      <w:r>
        <w:rPr>
          <w:rFonts w:hint="cs"/>
          <w:b/>
          <w:bCs/>
          <w:sz w:val="24"/>
          <w:szCs w:val="24"/>
          <w:rtl/>
        </w:rPr>
        <w:t>גב' זיו מציינת שני סימפטומים המאפיינים את מצבה הפוסט טראומתי של המתלוננת:</w:t>
      </w:r>
      <w:r>
        <w:rPr>
          <w:b/>
          <w:bCs/>
          <w:color w:val="FFFFFF"/>
          <w:sz w:val="4"/>
          <w:szCs w:val="4"/>
          <w:rtl/>
        </w:rPr>
        <w:t>ב</w:t>
      </w:r>
    </w:p>
    <w:p w14:paraId="7BA198FD" w14:textId="77777777" w:rsidR="00B23B5A" w:rsidRDefault="00B23B5A">
      <w:pPr>
        <w:spacing w:line="240" w:lineRule="auto"/>
        <w:ind w:left="1440"/>
        <w:rPr>
          <w:rFonts w:hint="cs"/>
          <w:b/>
          <w:bCs/>
          <w:sz w:val="24"/>
          <w:szCs w:val="24"/>
          <w:rtl/>
        </w:rPr>
      </w:pPr>
      <w:r>
        <w:rPr>
          <w:rFonts w:hint="cs"/>
          <w:b/>
          <w:bCs/>
          <w:sz w:val="24"/>
          <w:szCs w:val="24"/>
          <w:u w:val="single"/>
          <w:rtl/>
        </w:rPr>
        <w:t>דיסוציאציה</w:t>
      </w:r>
      <w:r>
        <w:rPr>
          <w:rFonts w:hint="cs"/>
          <w:b/>
          <w:bCs/>
          <w:sz w:val="24"/>
          <w:szCs w:val="24"/>
          <w:rtl/>
        </w:rPr>
        <w:t xml:space="preserve"> המוסבר בחוות הדעת כמנגנון הגנה אוטומטי ואפקטיבי המאפשר לקורבן ההתעללות להתנתק מהמאורע הטראומתי באופן שהנפגעת אינה נוכחת רגשית במאורע. </w:t>
      </w:r>
    </w:p>
    <w:p w14:paraId="017729E9" w14:textId="77777777" w:rsidR="00B23B5A" w:rsidRDefault="00B23B5A">
      <w:pPr>
        <w:spacing w:line="240" w:lineRule="auto"/>
        <w:ind w:left="1440"/>
        <w:rPr>
          <w:rFonts w:hint="cs"/>
          <w:b/>
          <w:bCs/>
          <w:sz w:val="24"/>
          <w:szCs w:val="24"/>
          <w:rtl/>
        </w:rPr>
      </w:pPr>
      <w:r>
        <w:rPr>
          <w:rFonts w:hint="cs"/>
          <w:b/>
          <w:bCs/>
          <w:sz w:val="24"/>
          <w:szCs w:val="24"/>
          <w:rtl/>
        </w:rPr>
        <w:t xml:space="preserve">הסימפטום השני הנו רה-ויקטימיזציה – היפגעות חוזרת של הקורבן. הוא נפוץ בקרב קורבנות התעללות מינית ממושכת. סימפטום זה קשור לדיסוציאציה בכך שהקורבן, בעת שהיא מזהה סכנה, מנתקת עצמה רגשית מהארוע והופכת לפסיבית. להערכתה של גב' זיו, המתלוננת חוותה מספר רב של מערכות יחסים מתעללות, נסיונות אונס ומקרי אונס ובמצבה הנפשי עקב חוויותיה אלה, היא נתונה למצבי סיכון יומיומיים. </w:t>
      </w:r>
    </w:p>
    <w:p w14:paraId="538F76D5" w14:textId="77777777" w:rsidR="000E6D8A" w:rsidRDefault="00B23B5A" w:rsidP="000E6D8A">
      <w:pPr>
        <w:spacing w:line="240" w:lineRule="auto"/>
        <w:ind w:left="1440"/>
        <w:rPr>
          <w:sz w:val="24"/>
          <w:szCs w:val="24"/>
          <w:rtl/>
        </w:rPr>
      </w:pPr>
      <w:r>
        <w:rPr>
          <w:rFonts w:hint="cs"/>
          <w:b/>
          <w:bCs/>
          <w:sz w:val="24"/>
          <w:szCs w:val="24"/>
          <w:rtl/>
        </w:rPr>
        <w:t>בנוסף, נמנו בחוות הדעת עוד 10 סימפטומים המאפיינים את מצבה הפוסט טראומתי של המתלוננת. החשוב מבחינתנו הוא "הפרעת זהות דיסוציאטיבית", שמשמעה, נתקים בזיכרון (בלק אאוטים), בלבול, התנתקויות</w:t>
      </w:r>
    </w:p>
    <w:p w14:paraId="41CEA325" w14:textId="77777777" w:rsidR="000E6D8A" w:rsidRPr="000E6D8A" w:rsidRDefault="000E6D8A" w:rsidP="000E6D8A">
      <w:pPr>
        <w:spacing w:after="120" w:line="240" w:lineRule="exact"/>
        <w:ind w:left="283" w:hanging="283"/>
        <w:rPr>
          <w:rFonts w:ascii="FrankRuehl" w:hAnsi="FrankRuehl" w:cs="FrankRuehl"/>
          <w:sz w:val="24"/>
          <w:szCs w:val="24"/>
          <w:rtl/>
        </w:rPr>
      </w:pPr>
    </w:p>
    <w:p w14:paraId="2F55989C" w14:textId="77777777" w:rsidR="00B23B5A" w:rsidRDefault="00B23B5A">
      <w:pPr>
        <w:spacing w:line="240" w:lineRule="auto"/>
        <w:ind w:left="1440"/>
        <w:jc w:val="center"/>
        <w:rPr>
          <w:b/>
          <w:bCs/>
          <w:sz w:val="24"/>
          <w:szCs w:val="24"/>
          <w:rtl/>
        </w:rPr>
      </w:pPr>
      <w:r>
        <w:rPr>
          <w:b/>
          <w:bCs/>
          <w:sz w:val="24"/>
          <w:szCs w:val="24"/>
          <w:rtl/>
        </w:rPr>
        <w:t>ופיצולים המעידים על עיוות התודעה ועל אובדן חלקי או מוחלט של השילוב</w:t>
      </w:r>
    </w:p>
    <w:p w14:paraId="01CC6E2B" w14:textId="77777777" w:rsidR="00B23B5A" w:rsidRDefault="00B23B5A">
      <w:pPr>
        <w:spacing w:line="240" w:lineRule="auto"/>
        <w:ind w:left="1440"/>
        <w:rPr>
          <w:rFonts w:hint="cs"/>
          <w:b/>
          <w:bCs/>
          <w:sz w:val="24"/>
          <w:szCs w:val="24"/>
          <w:rtl/>
        </w:rPr>
      </w:pPr>
    </w:p>
    <w:p w14:paraId="1AAB24C4" w14:textId="77777777" w:rsidR="00B23B5A" w:rsidRDefault="00B23B5A">
      <w:pPr>
        <w:spacing w:line="240" w:lineRule="auto"/>
        <w:ind w:left="1440"/>
        <w:rPr>
          <w:rFonts w:hint="cs"/>
          <w:b/>
          <w:bCs/>
          <w:sz w:val="24"/>
          <w:szCs w:val="24"/>
          <w:rtl/>
        </w:rPr>
      </w:pPr>
      <w:r>
        <w:rPr>
          <w:rFonts w:hint="cs"/>
          <w:b/>
          <w:bCs/>
          <w:sz w:val="24"/>
          <w:szCs w:val="24"/>
          <w:rtl/>
        </w:rPr>
        <w:t xml:space="preserve">התקין בין זכרונות העבר לזהות ולתחושות מיידיות. </w:t>
      </w:r>
    </w:p>
    <w:p w14:paraId="32AE2F13" w14:textId="77777777" w:rsidR="00B23B5A" w:rsidRDefault="00B23B5A">
      <w:pPr>
        <w:spacing w:line="240" w:lineRule="auto"/>
        <w:ind w:left="1440"/>
        <w:rPr>
          <w:rFonts w:hint="cs"/>
          <w:b/>
          <w:bCs/>
          <w:sz w:val="24"/>
          <w:szCs w:val="24"/>
          <w:rtl/>
        </w:rPr>
      </w:pPr>
      <w:r>
        <w:rPr>
          <w:rFonts w:hint="cs"/>
          <w:b/>
          <w:bCs/>
          <w:sz w:val="24"/>
          <w:szCs w:val="24"/>
          <w:rtl/>
        </w:rPr>
        <w:t xml:space="preserve">בחוות הדעת נאמר כי הגורם להתדרדרות במצבה של המתלוננת, ערב זימונה לעדות, היה חששה מפני עימות פומבי ומהקושי להתמודדות עם זכרונות העבר. </w:t>
      </w:r>
    </w:p>
    <w:p w14:paraId="5F50BB66" w14:textId="77777777" w:rsidR="00B23B5A" w:rsidRDefault="00B23B5A">
      <w:pPr>
        <w:spacing w:line="240" w:lineRule="auto"/>
        <w:ind w:left="1440"/>
        <w:rPr>
          <w:rFonts w:hint="cs"/>
          <w:b/>
          <w:bCs/>
          <w:sz w:val="24"/>
          <w:szCs w:val="24"/>
          <w:rtl/>
        </w:rPr>
      </w:pPr>
      <w:r>
        <w:rPr>
          <w:rFonts w:hint="cs"/>
          <w:b/>
          <w:bCs/>
          <w:sz w:val="24"/>
          <w:szCs w:val="24"/>
          <w:rtl/>
        </w:rPr>
        <w:t xml:space="preserve">בעדותה, אליה אתייחס בהמשך, ציינה גב' זיו שהופעתה של המתלוננת בביהמ"ש, מצביעה על התחזקות והתעצמות מבחינתה, שכן זו הפעם הראשונה </w:t>
      </w:r>
      <w:r>
        <w:rPr>
          <w:rFonts w:hint="cs"/>
          <w:b/>
          <w:bCs/>
          <w:sz w:val="24"/>
          <w:szCs w:val="24"/>
          <w:rtl/>
        </w:rPr>
        <w:lastRenderedPageBreak/>
        <w:t xml:space="preserve">בה התלוננה במשטרה והתייצבה מאחורי סיפורה בביהמ"ש. גב' זיו רואה ביכולתה זו של המתלוננת תהליך חיובי בדרך הארוכה להחלמתה. </w:t>
      </w:r>
    </w:p>
    <w:p w14:paraId="37322D8B" w14:textId="77777777" w:rsidR="00B23B5A" w:rsidRDefault="00B23B5A">
      <w:pPr>
        <w:pStyle w:val="Heading4"/>
        <w:spacing w:line="240" w:lineRule="auto"/>
        <w:rPr>
          <w:rFonts w:hint="cs"/>
          <w:sz w:val="24"/>
          <w:szCs w:val="24"/>
          <w:rtl/>
        </w:rPr>
      </w:pPr>
      <w:r>
        <w:rPr>
          <w:rFonts w:hint="cs"/>
          <w:sz w:val="24"/>
          <w:szCs w:val="24"/>
          <w:u w:val="none"/>
          <w:rtl/>
        </w:rPr>
        <w:t>ג.</w:t>
      </w:r>
      <w:r w:rsidR="00984BA0">
        <w:rPr>
          <w:sz w:val="24"/>
          <w:szCs w:val="24"/>
          <w:u w:val="none"/>
          <w:rtl/>
        </w:rPr>
        <w:t xml:space="preserve">     </w:t>
      </w:r>
      <w:r>
        <w:rPr>
          <w:sz w:val="24"/>
          <w:szCs w:val="24"/>
          <w:u w:val="none"/>
          <w:rtl/>
        </w:rPr>
        <w:t xml:space="preserve"> </w:t>
      </w:r>
      <w:r>
        <w:rPr>
          <w:rFonts w:hint="cs"/>
          <w:sz w:val="24"/>
          <w:szCs w:val="24"/>
          <w:rtl/>
        </w:rPr>
        <w:t>חומר רפואי</w:t>
      </w:r>
    </w:p>
    <w:p w14:paraId="1B0A0025" w14:textId="77777777" w:rsidR="00B23B5A" w:rsidRDefault="00B23B5A">
      <w:pPr>
        <w:pStyle w:val="BodyTextIndent"/>
        <w:spacing w:line="240" w:lineRule="auto"/>
        <w:rPr>
          <w:rFonts w:hint="cs"/>
          <w:sz w:val="24"/>
          <w:szCs w:val="24"/>
          <w:rtl/>
        </w:rPr>
      </w:pPr>
      <w:r>
        <w:rPr>
          <w:rFonts w:hint="cs"/>
          <w:sz w:val="24"/>
          <w:szCs w:val="24"/>
          <w:rtl/>
        </w:rPr>
        <w:t xml:space="preserve">ההגנה ביקשה לקבל לידיה חומר רפואי אודות המתלוננת והוא נמסר לה במלואו בהסכמת המתלוננת. </w:t>
      </w:r>
    </w:p>
    <w:p w14:paraId="69B44C54" w14:textId="77777777" w:rsidR="00B23B5A" w:rsidRDefault="00B23B5A">
      <w:pPr>
        <w:spacing w:line="240" w:lineRule="auto"/>
        <w:ind w:left="1440"/>
        <w:rPr>
          <w:rFonts w:hint="cs"/>
          <w:b/>
          <w:bCs/>
          <w:sz w:val="24"/>
          <w:szCs w:val="24"/>
          <w:rtl/>
        </w:rPr>
      </w:pPr>
      <w:r>
        <w:rPr>
          <w:rFonts w:hint="cs"/>
          <w:b/>
          <w:bCs/>
          <w:sz w:val="24"/>
          <w:szCs w:val="24"/>
          <w:rtl/>
        </w:rPr>
        <w:t xml:space="preserve">החומר הרב מעיד על אישפוזים וטיפולים, כולל תרופות, שקיבלה המתלוננת בבתי חולים שונים. </w:t>
      </w:r>
    </w:p>
    <w:p w14:paraId="44E117E5" w14:textId="77777777" w:rsidR="00B23B5A" w:rsidRDefault="00B23B5A">
      <w:pPr>
        <w:spacing w:line="240" w:lineRule="auto"/>
        <w:ind w:left="1440"/>
        <w:rPr>
          <w:rFonts w:hint="cs"/>
          <w:b/>
          <w:bCs/>
          <w:sz w:val="24"/>
          <w:szCs w:val="24"/>
          <w:rtl/>
        </w:rPr>
      </w:pPr>
      <w:r>
        <w:rPr>
          <w:rFonts w:hint="cs"/>
          <w:b/>
          <w:bCs/>
          <w:sz w:val="24"/>
          <w:szCs w:val="24"/>
          <w:rtl/>
        </w:rPr>
        <w:t>הממצאים החוזרים ונשנים במסמכים הרפואיים הם:</w:t>
      </w:r>
      <w:r>
        <w:rPr>
          <w:b/>
          <w:bCs/>
          <w:color w:val="FFFFFF"/>
          <w:sz w:val="4"/>
          <w:szCs w:val="4"/>
          <w:rtl/>
        </w:rPr>
        <w:t>ו</w:t>
      </w:r>
    </w:p>
    <w:p w14:paraId="0A5E7CD1" w14:textId="77777777" w:rsidR="00B23B5A" w:rsidRDefault="00B23B5A">
      <w:pPr>
        <w:tabs>
          <w:tab w:val="num" w:pos="2160"/>
        </w:tabs>
        <w:spacing w:line="240" w:lineRule="auto"/>
        <w:ind w:left="2160" w:hanging="360"/>
        <w:rPr>
          <w:rFonts w:hint="cs"/>
          <w:b/>
          <w:bCs/>
          <w:sz w:val="24"/>
          <w:szCs w:val="24"/>
          <w:rtl/>
        </w:rPr>
      </w:pPr>
      <w:r>
        <w:rPr>
          <w:rFonts w:hint="cs"/>
          <w:bCs/>
          <w:sz w:val="24"/>
          <w:szCs w:val="24"/>
          <w:rtl/>
        </w:rPr>
        <w:t>-</w:t>
      </w:r>
      <w:r w:rsidR="00984BA0">
        <w:rPr>
          <w:bCs/>
          <w:sz w:val="24"/>
          <w:szCs w:val="24"/>
          <w:rtl/>
        </w:rPr>
        <w:t xml:space="preserve">       </w:t>
      </w:r>
      <w:r>
        <w:rPr>
          <w:bCs/>
          <w:sz w:val="24"/>
          <w:szCs w:val="24"/>
          <w:rtl/>
        </w:rPr>
        <w:t xml:space="preserve"> </w:t>
      </w:r>
      <w:r>
        <w:rPr>
          <w:rFonts w:hint="cs"/>
          <w:b/>
          <w:bCs/>
          <w:sz w:val="24"/>
          <w:szCs w:val="24"/>
          <w:rtl/>
        </w:rPr>
        <w:t xml:space="preserve">תסמונת פוסט טראומטית על רקע מיני. </w:t>
      </w:r>
    </w:p>
    <w:p w14:paraId="65E7227C" w14:textId="77777777" w:rsidR="00B23B5A" w:rsidRDefault="00B23B5A">
      <w:pPr>
        <w:tabs>
          <w:tab w:val="num" w:pos="2160"/>
        </w:tabs>
        <w:spacing w:line="240" w:lineRule="auto"/>
        <w:ind w:left="2160" w:hanging="360"/>
        <w:rPr>
          <w:rFonts w:hint="cs"/>
          <w:b/>
          <w:bCs/>
          <w:sz w:val="24"/>
          <w:szCs w:val="24"/>
          <w:rtl/>
        </w:rPr>
      </w:pPr>
      <w:r>
        <w:rPr>
          <w:bCs/>
          <w:sz w:val="24"/>
          <w:szCs w:val="24"/>
          <w:rtl/>
        </w:rPr>
        <w:t>-</w:t>
      </w:r>
      <w:r w:rsidR="00984BA0">
        <w:rPr>
          <w:bCs/>
          <w:sz w:val="24"/>
          <w:szCs w:val="24"/>
          <w:rtl/>
        </w:rPr>
        <w:t xml:space="preserve">       </w:t>
      </w:r>
      <w:r>
        <w:rPr>
          <w:bCs/>
          <w:sz w:val="24"/>
          <w:szCs w:val="24"/>
          <w:rtl/>
        </w:rPr>
        <w:t xml:space="preserve"> </w:t>
      </w:r>
      <w:r>
        <w:rPr>
          <w:rFonts w:hint="cs"/>
          <w:b/>
          <w:bCs/>
          <w:sz w:val="24"/>
          <w:szCs w:val="24"/>
          <w:rtl/>
        </w:rPr>
        <w:t xml:space="preserve">בוחן מציאות תקין. </w:t>
      </w:r>
    </w:p>
    <w:p w14:paraId="6F22D09A" w14:textId="77777777" w:rsidR="00B23B5A" w:rsidRDefault="00B23B5A">
      <w:pPr>
        <w:tabs>
          <w:tab w:val="num" w:pos="2160"/>
        </w:tabs>
        <w:spacing w:line="240" w:lineRule="auto"/>
        <w:ind w:left="2160" w:hanging="360"/>
        <w:rPr>
          <w:b/>
          <w:bCs/>
          <w:sz w:val="24"/>
          <w:szCs w:val="24"/>
          <w:rtl/>
        </w:rPr>
      </w:pPr>
      <w:r>
        <w:rPr>
          <w:bCs/>
          <w:sz w:val="24"/>
          <w:szCs w:val="24"/>
          <w:rtl/>
        </w:rPr>
        <w:t>-</w:t>
      </w:r>
      <w:r w:rsidR="00984BA0">
        <w:rPr>
          <w:bCs/>
          <w:sz w:val="24"/>
          <w:szCs w:val="24"/>
          <w:rtl/>
        </w:rPr>
        <w:t xml:space="preserve">       </w:t>
      </w:r>
      <w:r>
        <w:rPr>
          <w:bCs/>
          <w:sz w:val="24"/>
          <w:szCs w:val="24"/>
          <w:rtl/>
        </w:rPr>
        <w:t xml:space="preserve"> </w:t>
      </w:r>
      <w:r>
        <w:rPr>
          <w:rFonts w:hint="cs"/>
          <w:b/>
          <w:bCs/>
          <w:sz w:val="24"/>
          <w:szCs w:val="24"/>
          <w:rtl/>
        </w:rPr>
        <w:t xml:space="preserve">שלילת מחשבות שווא והזיות. </w:t>
      </w:r>
    </w:p>
    <w:p w14:paraId="25A990D1" w14:textId="77777777" w:rsidR="00B23B5A" w:rsidRDefault="00B23B5A">
      <w:pPr>
        <w:tabs>
          <w:tab w:val="num" w:pos="2160"/>
        </w:tabs>
        <w:spacing w:line="240" w:lineRule="auto"/>
        <w:ind w:left="2160" w:hanging="360"/>
        <w:rPr>
          <w:b/>
          <w:bCs/>
          <w:sz w:val="24"/>
          <w:szCs w:val="24"/>
          <w:rtl/>
        </w:rPr>
      </w:pPr>
      <w:r>
        <w:rPr>
          <w:bCs/>
          <w:sz w:val="24"/>
          <w:szCs w:val="24"/>
          <w:rtl/>
        </w:rPr>
        <w:t>-</w:t>
      </w:r>
      <w:r w:rsidR="00984BA0">
        <w:rPr>
          <w:bCs/>
          <w:sz w:val="24"/>
          <w:szCs w:val="24"/>
          <w:rtl/>
        </w:rPr>
        <w:t xml:space="preserve">       </w:t>
      </w:r>
      <w:r>
        <w:rPr>
          <w:bCs/>
          <w:sz w:val="24"/>
          <w:szCs w:val="24"/>
          <w:rtl/>
        </w:rPr>
        <w:t xml:space="preserve"> </w:t>
      </w:r>
      <w:r>
        <w:rPr>
          <w:rFonts w:hint="cs"/>
          <w:b/>
          <w:bCs/>
          <w:sz w:val="24"/>
          <w:szCs w:val="24"/>
          <w:rtl/>
        </w:rPr>
        <w:t xml:space="preserve">חוסר יציבות רגשית וחוסר יציבות במערכת יחסים. </w:t>
      </w:r>
    </w:p>
    <w:p w14:paraId="752578EA" w14:textId="77777777" w:rsidR="00B23B5A" w:rsidRDefault="00B23B5A">
      <w:pPr>
        <w:tabs>
          <w:tab w:val="num" w:pos="1440"/>
        </w:tabs>
        <w:spacing w:line="240" w:lineRule="auto"/>
        <w:ind w:left="1440" w:hanging="360"/>
        <w:rPr>
          <w:b/>
          <w:bCs/>
          <w:sz w:val="24"/>
          <w:szCs w:val="24"/>
          <w:rtl/>
        </w:rPr>
      </w:pPr>
      <w:r>
        <w:rPr>
          <w:rFonts w:hint="cs"/>
          <w:b/>
          <w:bCs/>
          <w:sz w:val="24"/>
          <w:szCs w:val="24"/>
          <w:rtl/>
        </w:rPr>
        <w:t>ד.</w:t>
      </w:r>
      <w:r w:rsidR="00984BA0">
        <w:rPr>
          <w:b/>
          <w:bCs/>
          <w:sz w:val="24"/>
          <w:szCs w:val="24"/>
          <w:rtl/>
        </w:rPr>
        <w:t xml:space="preserve">    </w:t>
      </w:r>
      <w:r>
        <w:rPr>
          <w:b/>
          <w:bCs/>
          <w:sz w:val="24"/>
          <w:szCs w:val="24"/>
          <w:rtl/>
        </w:rPr>
        <w:t xml:space="preserve"> </w:t>
      </w:r>
      <w:r>
        <w:rPr>
          <w:rFonts w:hint="cs"/>
          <w:b/>
          <w:bCs/>
          <w:sz w:val="24"/>
          <w:szCs w:val="24"/>
          <w:rtl/>
        </w:rPr>
        <w:t xml:space="preserve">ההגנה לא הגישה חוות דעת מטעמה ובטיעוניה מסתמכת על חוות דעתה של גב' זיו – ת/3. </w:t>
      </w:r>
    </w:p>
    <w:p w14:paraId="399CA4CA" w14:textId="77777777" w:rsidR="00B23B5A" w:rsidRDefault="00B23B5A">
      <w:pPr>
        <w:spacing w:line="240" w:lineRule="auto"/>
        <w:ind w:left="1440"/>
        <w:rPr>
          <w:b/>
          <w:bCs/>
          <w:sz w:val="24"/>
          <w:szCs w:val="24"/>
          <w:rtl/>
        </w:rPr>
      </w:pPr>
      <w:r>
        <w:rPr>
          <w:rFonts w:hint="cs"/>
          <w:b/>
          <w:bCs/>
          <w:sz w:val="24"/>
          <w:szCs w:val="24"/>
          <w:rtl/>
        </w:rPr>
        <w:t xml:space="preserve">לקראת סיום המשפט הוגשה בקשה מטעם ההגנה לבדיקה פסיכיאטרית של המתלוננת ע"י מומחה מטעמה, התביעה התנגדה והבקשה נדחתה. </w:t>
      </w:r>
    </w:p>
    <w:p w14:paraId="496AB5EB" w14:textId="77777777" w:rsidR="00B23B5A" w:rsidRDefault="00B23B5A">
      <w:pPr>
        <w:spacing w:line="240" w:lineRule="auto"/>
        <w:ind w:left="1440"/>
        <w:rPr>
          <w:rFonts w:hint="cs"/>
          <w:b/>
          <w:bCs/>
          <w:sz w:val="24"/>
          <w:szCs w:val="24"/>
          <w:rtl/>
        </w:rPr>
      </w:pPr>
      <w:r>
        <w:rPr>
          <w:rFonts w:hint="cs"/>
          <w:b/>
          <w:bCs/>
          <w:sz w:val="24"/>
          <w:szCs w:val="24"/>
          <w:rtl/>
        </w:rPr>
        <w:t xml:space="preserve">בשני עניינים אלה נטענו ע"י הצדדים טענות משפטיות, אליהן אדרש בקצרה בהמשך. </w:t>
      </w:r>
    </w:p>
    <w:p w14:paraId="1DD1DEBA" w14:textId="77777777" w:rsidR="00B23B5A" w:rsidRDefault="00984BA0">
      <w:pPr>
        <w:spacing w:line="240" w:lineRule="auto"/>
        <w:ind w:left="360"/>
        <w:rPr>
          <w:rFonts w:hint="cs"/>
          <w:b/>
          <w:bCs/>
          <w:sz w:val="24"/>
          <w:szCs w:val="24"/>
          <w:rtl/>
        </w:rPr>
      </w:pPr>
      <w:r>
        <w:rPr>
          <w:b/>
          <w:bCs/>
          <w:sz w:val="24"/>
          <w:szCs w:val="24"/>
          <w:rtl/>
        </w:rPr>
        <w:t xml:space="preserve"> </w:t>
      </w:r>
    </w:p>
    <w:p w14:paraId="175A3DB2" w14:textId="77777777" w:rsidR="00B23B5A" w:rsidRDefault="00B23B5A">
      <w:pPr>
        <w:tabs>
          <w:tab w:val="num" w:pos="1080"/>
        </w:tabs>
        <w:spacing w:line="240" w:lineRule="auto"/>
        <w:ind w:left="1080" w:hanging="720"/>
        <w:rPr>
          <w:b/>
          <w:bCs/>
          <w:sz w:val="24"/>
          <w:szCs w:val="24"/>
          <w:rtl/>
        </w:rPr>
      </w:pPr>
      <w:r>
        <w:rPr>
          <w:b/>
          <w:bCs/>
          <w:sz w:val="24"/>
          <w:szCs w:val="24"/>
          <w:rtl/>
        </w:rPr>
        <w:t>5.</w:t>
      </w:r>
      <w:r w:rsidR="00984BA0">
        <w:rPr>
          <w:b/>
          <w:bCs/>
          <w:sz w:val="24"/>
          <w:szCs w:val="24"/>
          <w:rtl/>
        </w:rPr>
        <w:t xml:space="preserve">                 </w:t>
      </w:r>
      <w:r>
        <w:rPr>
          <w:b/>
          <w:bCs/>
          <w:sz w:val="24"/>
          <w:szCs w:val="24"/>
          <w:rtl/>
        </w:rPr>
        <w:t xml:space="preserve"> </w:t>
      </w:r>
      <w:r>
        <w:rPr>
          <w:rFonts w:hint="cs"/>
          <w:b/>
          <w:bCs/>
          <w:sz w:val="24"/>
          <w:szCs w:val="24"/>
          <w:rtl/>
        </w:rPr>
        <w:t xml:space="preserve">ואומר כבר עתה כי המתלוננת, בהופעתה בביהמ"ש, הותירה רושם חיובי ביותר וגם ההגנה אינה חולקת על כך. אני מודעת למאמץ שנדרש ממנה לכל אורך הדרך ויש להעריך ולכבד את נכונותה ופתיחותה לאפשר לנו להביט ולגעת בעולמה הפנימי המיוחד. </w:t>
      </w:r>
    </w:p>
    <w:p w14:paraId="7BFD8B02" w14:textId="77777777" w:rsidR="00B23B5A" w:rsidRDefault="00B23B5A">
      <w:pPr>
        <w:spacing w:line="240" w:lineRule="auto"/>
        <w:ind w:left="1080"/>
        <w:rPr>
          <w:b/>
          <w:bCs/>
          <w:sz w:val="24"/>
          <w:szCs w:val="24"/>
          <w:rtl/>
        </w:rPr>
      </w:pPr>
      <w:r>
        <w:rPr>
          <w:rFonts w:hint="cs"/>
          <w:b/>
          <w:bCs/>
          <w:sz w:val="24"/>
          <w:szCs w:val="24"/>
          <w:rtl/>
        </w:rPr>
        <w:t xml:space="preserve">השתכנעתי שהמתלוננת סיפרה על הארוע נשוא דיוננו בכנות גמורה וללא כל זדון להעליל דברים על הנאשם, אולם לאור המבחנים הקפדניים, כפי שנקבעו בחוק ובפסיקה ועליהם אעמוד בהמשך, לבחינת עדות כזו של המתלוננת, ובהעדר ראיות חיצוניות ממשיות, באתי למסקנה שיש לזכות את הנאשם למרות האמון שנתתי בדברי המתלוננת. </w:t>
      </w:r>
    </w:p>
    <w:p w14:paraId="48CAD884" w14:textId="77777777" w:rsidR="00B23B5A" w:rsidRDefault="00984BA0">
      <w:pPr>
        <w:spacing w:line="240" w:lineRule="auto"/>
        <w:ind w:left="1080"/>
        <w:rPr>
          <w:rFonts w:hint="cs"/>
          <w:b/>
          <w:bCs/>
          <w:sz w:val="24"/>
          <w:szCs w:val="24"/>
          <w:rtl/>
        </w:rPr>
      </w:pPr>
      <w:r>
        <w:rPr>
          <w:b/>
          <w:bCs/>
          <w:sz w:val="24"/>
          <w:szCs w:val="24"/>
          <w:rtl/>
        </w:rPr>
        <w:t xml:space="preserve"> </w:t>
      </w:r>
    </w:p>
    <w:p w14:paraId="28E1257C" w14:textId="77777777" w:rsidR="00B23B5A" w:rsidRDefault="00B23B5A">
      <w:pPr>
        <w:pStyle w:val="Heading5"/>
        <w:spacing w:line="240" w:lineRule="auto"/>
        <w:rPr>
          <w:sz w:val="24"/>
          <w:szCs w:val="24"/>
          <w:rtl/>
        </w:rPr>
      </w:pPr>
      <w:r>
        <w:rPr>
          <w:sz w:val="24"/>
          <w:szCs w:val="24"/>
          <w:u w:val="none"/>
          <w:rtl/>
        </w:rPr>
        <w:t>6.</w:t>
      </w:r>
      <w:r w:rsidR="00984BA0">
        <w:rPr>
          <w:sz w:val="24"/>
          <w:szCs w:val="24"/>
          <w:u w:val="none"/>
          <w:rtl/>
        </w:rPr>
        <w:t xml:space="preserve">                 </w:t>
      </w:r>
      <w:r>
        <w:rPr>
          <w:sz w:val="24"/>
          <w:szCs w:val="24"/>
          <w:u w:val="none"/>
          <w:rtl/>
        </w:rPr>
        <w:t xml:space="preserve"> </w:t>
      </w:r>
      <w:r>
        <w:rPr>
          <w:rFonts w:hint="cs"/>
          <w:sz w:val="24"/>
          <w:szCs w:val="24"/>
          <w:rtl/>
        </w:rPr>
        <w:t>עדות המתלוננת</w:t>
      </w:r>
    </w:p>
    <w:p w14:paraId="6067BE3E" w14:textId="77777777" w:rsidR="00B23B5A" w:rsidRDefault="00B23B5A">
      <w:pPr>
        <w:pStyle w:val="Heading4"/>
        <w:spacing w:line="240" w:lineRule="auto"/>
        <w:rPr>
          <w:sz w:val="24"/>
          <w:szCs w:val="24"/>
          <w:u w:val="none"/>
          <w:rtl/>
        </w:rPr>
      </w:pPr>
      <w:r>
        <w:rPr>
          <w:rFonts w:hint="cs"/>
          <w:sz w:val="24"/>
          <w:szCs w:val="24"/>
          <w:u w:val="none"/>
          <w:rtl/>
        </w:rPr>
        <w:t>א.</w:t>
      </w:r>
      <w:r w:rsidR="00984BA0">
        <w:rPr>
          <w:sz w:val="24"/>
          <w:szCs w:val="24"/>
          <w:u w:val="none"/>
          <w:rtl/>
        </w:rPr>
        <w:t xml:space="preserve">   </w:t>
      </w:r>
      <w:r>
        <w:rPr>
          <w:sz w:val="24"/>
          <w:szCs w:val="24"/>
          <w:u w:val="none"/>
          <w:rtl/>
        </w:rPr>
        <w:t xml:space="preserve"> </w:t>
      </w:r>
      <w:r>
        <w:rPr>
          <w:rFonts w:hint="cs"/>
          <w:sz w:val="24"/>
          <w:szCs w:val="24"/>
          <w:u w:val="none"/>
          <w:rtl/>
        </w:rPr>
        <w:t>עבדה בחנות כ- 3 שבועות, מתוכם כשבועיים במחיצת הנאשם ופגשה אותו מדי יום. על התנהגותו המטרידה כלפיה אמרה את הדברים הבאים:</w:t>
      </w:r>
      <w:r>
        <w:rPr>
          <w:color w:val="FFFFFF"/>
          <w:sz w:val="4"/>
          <w:szCs w:val="4"/>
          <w:u w:val="none"/>
          <w:rtl/>
        </w:rPr>
        <w:t>נ</w:t>
      </w:r>
      <w:r>
        <w:rPr>
          <w:rFonts w:hint="cs"/>
          <w:sz w:val="24"/>
          <w:szCs w:val="24"/>
          <w:u w:val="none"/>
          <w:rtl/>
        </w:rPr>
        <w:t xml:space="preserve"> </w:t>
      </w:r>
    </w:p>
    <w:p w14:paraId="06FA3335" w14:textId="77777777" w:rsidR="00B23B5A" w:rsidRDefault="00B23B5A">
      <w:pPr>
        <w:pStyle w:val="BodyTextIndent3"/>
        <w:spacing w:line="240" w:lineRule="auto"/>
        <w:rPr>
          <w:rFonts w:hint="cs"/>
          <w:sz w:val="24"/>
          <w:szCs w:val="24"/>
          <w:rtl/>
        </w:rPr>
      </w:pPr>
      <w:r>
        <w:rPr>
          <w:rFonts w:hint="cs"/>
          <w:sz w:val="24"/>
          <w:szCs w:val="24"/>
          <w:rtl/>
        </w:rPr>
        <w:t xml:space="preserve">"הוא די ניסה להתחיל איתי. הטריד אותי בכל מיני דברים. הוא היה תופס אותי ומחבק אותי ומנסה לנשק אותי ואומר לי כל מיני משפטים כאלו. כמו הייתי נוסעת לאיזה מקום והייתי הולכת לאיבוד היה אומר לי שהוא לבד והוא רוצה שאהיה איתו...כאשר הייתי שם הוא היה אומר לי...שהוא רוצה להתקלח עמי. לנשק אותי הוא ניסה בפה ובפנים...זה קרה כל יום" (עמוד 10 שורות 17-23). </w:t>
      </w:r>
    </w:p>
    <w:p w14:paraId="478B3432" w14:textId="77777777" w:rsidR="00B23B5A" w:rsidRDefault="00B23B5A">
      <w:pPr>
        <w:pStyle w:val="BodyTextIndent3"/>
        <w:spacing w:line="240" w:lineRule="auto"/>
        <w:rPr>
          <w:rFonts w:hint="cs"/>
          <w:sz w:val="24"/>
          <w:szCs w:val="24"/>
          <w:rtl/>
        </w:rPr>
      </w:pPr>
      <w:r>
        <w:rPr>
          <w:rFonts w:hint="cs"/>
          <w:sz w:val="24"/>
          <w:szCs w:val="24"/>
          <w:rtl/>
        </w:rPr>
        <w:t xml:space="preserve">המתלוננת ניסתה להתחמק פיזית מנסיונותיו לגעת בה ואף אמרה לו שמעשיו אינם לרוחה (שם, שורה 27). </w:t>
      </w:r>
    </w:p>
    <w:p w14:paraId="425E47FE" w14:textId="77777777" w:rsidR="00B23B5A" w:rsidRDefault="00B23B5A">
      <w:pPr>
        <w:pStyle w:val="Heading4"/>
        <w:spacing w:line="240" w:lineRule="auto"/>
        <w:rPr>
          <w:rFonts w:hint="cs"/>
          <w:sz w:val="24"/>
          <w:szCs w:val="24"/>
          <w:u w:val="none"/>
          <w:rtl/>
        </w:rPr>
      </w:pPr>
      <w:r>
        <w:rPr>
          <w:rFonts w:hint="cs"/>
          <w:sz w:val="24"/>
          <w:szCs w:val="24"/>
          <w:u w:val="none"/>
          <w:rtl/>
        </w:rPr>
        <w:t>ב.</w:t>
      </w:r>
      <w:r w:rsidR="00984BA0">
        <w:rPr>
          <w:sz w:val="24"/>
          <w:szCs w:val="24"/>
          <w:u w:val="none"/>
          <w:rtl/>
        </w:rPr>
        <w:t xml:space="preserve">    </w:t>
      </w:r>
      <w:r>
        <w:rPr>
          <w:sz w:val="24"/>
          <w:szCs w:val="24"/>
          <w:u w:val="none"/>
          <w:rtl/>
        </w:rPr>
        <w:t xml:space="preserve"> </w:t>
      </w:r>
      <w:r>
        <w:rPr>
          <w:rFonts w:hint="cs"/>
          <w:sz w:val="24"/>
          <w:szCs w:val="24"/>
          <w:u w:val="none"/>
          <w:rtl/>
        </w:rPr>
        <w:t>וזו תמצית דבריה באשר למעשה המגונה שעשה בה הנאשם באותו יום ו' ובעקבותיו החליטה להתלונן במשטרה;</w:t>
      </w:r>
    </w:p>
    <w:p w14:paraId="35FCAF58" w14:textId="77777777" w:rsidR="00B23B5A" w:rsidRDefault="00B23B5A">
      <w:pPr>
        <w:spacing w:line="240" w:lineRule="auto"/>
        <w:ind w:left="1440"/>
        <w:rPr>
          <w:rFonts w:hint="cs"/>
          <w:b/>
          <w:bCs/>
          <w:sz w:val="24"/>
          <w:szCs w:val="24"/>
          <w:rtl/>
        </w:rPr>
      </w:pPr>
      <w:r>
        <w:rPr>
          <w:rFonts w:hint="cs"/>
          <w:b/>
          <w:bCs/>
          <w:sz w:val="24"/>
          <w:szCs w:val="24"/>
          <w:rtl/>
        </w:rPr>
        <w:t xml:space="preserve">בשעות הצהרים נשארה לבדה עם הנאשם במחסן. בהיותה שם שוחחה בטלפון עם חברתה אלונה (להלן אלונה), ולמערכת היחסים בין השתיים אתייחס עוד בהמשך, הן רבו והמתלוננת נותרה נרגשת ונסערת לאחר השיחה. הנאשם הבחין בהתרגשותה, שאל אותה מה קרה והיא במצוקתה ביקשה לדבר עמו על ענייניה עם אלונה. המתלוננת הציעה לנאשם, לדבריה, ללכת לשוחח בבית קפה, אך הוא העדיף להישאר בחנות. הם שתו קפה ושוחחו. היא סיפרה לו שנוצלה מינית ע"י חברתה והשיחה ביניהם גלשה לנושא מין ומיניות והנאשם אמר לה שהיא בחורה מושכת ושיש לה חזה יפה (ראה עמוד 11 שורות 18 – 23). </w:t>
      </w:r>
    </w:p>
    <w:p w14:paraId="39DF952A" w14:textId="77777777" w:rsidR="00B23B5A" w:rsidRDefault="00B23B5A">
      <w:pPr>
        <w:spacing w:line="240" w:lineRule="auto"/>
        <w:ind w:left="1440"/>
        <w:rPr>
          <w:rFonts w:hint="cs"/>
          <w:b/>
          <w:bCs/>
          <w:sz w:val="24"/>
          <w:szCs w:val="24"/>
          <w:rtl/>
        </w:rPr>
      </w:pPr>
      <w:r>
        <w:rPr>
          <w:rFonts w:hint="cs"/>
          <w:b/>
          <w:bCs/>
          <w:sz w:val="24"/>
          <w:szCs w:val="24"/>
          <w:rtl/>
        </w:rPr>
        <w:t>בשלב כלשהו של השיחה, עבר הנאשם מדיבורים למעשים ולפי תיאורה של המתלוננת:</w:t>
      </w:r>
      <w:r>
        <w:rPr>
          <w:b/>
          <w:bCs/>
          <w:color w:val="FFFFFF"/>
          <w:sz w:val="4"/>
          <w:szCs w:val="4"/>
          <w:rtl/>
        </w:rPr>
        <w:t>ב</w:t>
      </w:r>
      <w:r>
        <w:rPr>
          <w:rFonts w:hint="cs"/>
          <w:b/>
          <w:bCs/>
          <w:sz w:val="24"/>
          <w:szCs w:val="24"/>
          <w:rtl/>
        </w:rPr>
        <w:t xml:space="preserve"> "הוא ניסה להכניס עליי את הידיים שלו מתחת לחולצה שלי ואני התנגדתי לו. ניסיתי להוריד את החולצה בחזרה והוא הכניס את הידיים מתחת לחולצה. התנגדתי לו והוא ניסה להוריד את החולצה. באיזה שלב שינה את המיקום שלו ועמד מאחוריי וחיבק אותי וניסה לנשק אותי בצוואר ושוב ניסה לגעת לי בחזה" (עמוד 11 שורות 24 – 27). </w:t>
      </w:r>
    </w:p>
    <w:p w14:paraId="516A5010" w14:textId="77777777" w:rsidR="00B23B5A" w:rsidRDefault="00B23B5A">
      <w:pPr>
        <w:spacing w:line="240" w:lineRule="auto"/>
        <w:ind w:left="1440"/>
        <w:rPr>
          <w:rFonts w:hint="cs"/>
          <w:b/>
          <w:bCs/>
          <w:sz w:val="24"/>
          <w:szCs w:val="24"/>
          <w:rtl/>
        </w:rPr>
      </w:pPr>
      <w:r>
        <w:rPr>
          <w:rFonts w:hint="cs"/>
          <w:b/>
          <w:bCs/>
          <w:sz w:val="24"/>
          <w:szCs w:val="24"/>
          <w:rtl/>
        </w:rPr>
        <w:lastRenderedPageBreak/>
        <w:t>ובהמשך:</w:t>
      </w:r>
      <w:r>
        <w:rPr>
          <w:b/>
          <w:bCs/>
          <w:color w:val="FFFFFF"/>
          <w:sz w:val="4"/>
          <w:szCs w:val="4"/>
          <w:rtl/>
        </w:rPr>
        <w:t>ו</w:t>
      </w:r>
      <w:r>
        <w:rPr>
          <w:rFonts w:hint="cs"/>
          <w:b/>
          <w:bCs/>
          <w:sz w:val="24"/>
          <w:szCs w:val="24"/>
          <w:rtl/>
        </w:rPr>
        <w:t xml:space="preserve"> "...הוא אמר לי תראי איך העמדת לי אותו וניסה למשוך לי את הידיים. שוב התנגדתי ומשכתי את הידיים בחזרה...נלחמתי בו אז הוא עזב וויתר. היה גם איזה שהיא סיטואציה שאני לא בטוחה אך אני ישבתי והוא נגע בי באבר המין במכנסיים וניסה להוריד לי את המכנס ולא נתתי לו ובסוף הלכתי" (עמ' 12 שורות 4 – 8). </w:t>
      </w:r>
    </w:p>
    <w:p w14:paraId="768E4D8D" w14:textId="77777777" w:rsidR="00B23B5A" w:rsidRDefault="00B23B5A">
      <w:pPr>
        <w:pStyle w:val="Heading4"/>
        <w:spacing w:line="240" w:lineRule="auto"/>
        <w:rPr>
          <w:rFonts w:hint="cs"/>
          <w:sz w:val="24"/>
          <w:szCs w:val="24"/>
          <w:u w:val="none"/>
          <w:rtl/>
        </w:rPr>
      </w:pPr>
      <w:r>
        <w:rPr>
          <w:rFonts w:hint="cs"/>
          <w:sz w:val="24"/>
          <w:szCs w:val="24"/>
          <w:u w:val="none"/>
          <w:rtl/>
        </w:rPr>
        <w:t>ג.</w:t>
      </w:r>
      <w:r w:rsidR="00984BA0">
        <w:rPr>
          <w:sz w:val="24"/>
          <w:szCs w:val="24"/>
          <w:u w:val="none"/>
          <w:rtl/>
        </w:rPr>
        <w:t xml:space="preserve">     </w:t>
      </w:r>
      <w:r>
        <w:rPr>
          <w:sz w:val="24"/>
          <w:szCs w:val="24"/>
          <w:u w:val="none"/>
          <w:rtl/>
        </w:rPr>
        <w:t xml:space="preserve"> </w:t>
      </w:r>
      <w:r>
        <w:rPr>
          <w:rFonts w:hint="cs"/>
          <w:sz w:val="24"/>
          <w:szCs w:val="24"/>
          <w:u w:val="none"/>
          <w:rtl/>
        </w:rPr>
        <w:t xml:space="preserve">מיד לאחר שיצאה, טלפנה למרכז הסיוע לנפגעות תקיפה מינית וביקשה לדבר עם מתנדבת בשם ליאת, עמה יש לה קשר מזה 3 שנים. מהמרכז איתרו את ליאת, היא התקשרה למתלוננת וזו סיפרה לה ששוב הותקפה. כל אותו הזמן נשארה המתלוננת ברכב שלה וביקשה מליאת להיפגש ואמרה שאם ליאת תסרב, היא תפגע בעצמה (ליאת לא פגשה אותה באותו יום ולסיבות לכך מתייחסת ליאת בעדותה). </w:t>
      </w:r>
    </w:p>
    <w:p w14:paraId="4C420EF6" w14:textId="77777777" w:rsidR="00B23B5A" w:rsidRDefault="00B23B5A">
      <w:pPr>
        <w:spacing w:line="240" w:lineRule="auto"/>
        <w:ind w:left="1440" w:hanging="360"/>
        <w:rPr>
          <w:rFonts w:hint="cs"/>
          <w:b/>
          <w:bCs/>
          <w:sz w:val="24"/>
          <w:szCs w:val="24"/>
          <w:rtl/>
        </w:rPr>
      </w:pPr>
      <w:r>
        <w:rPr>
          <w:rFonts w:hint="cs"/>
          <w:b/>
          <w:bCs/>
          <w:sz w:val="24"/>
          <w:szCs w:val="24"/>
          <w:rtl/>
        </w:rPr>
        <w:t xml:space="preserve">ד. </w:t>
      </w:r>
      <w:r>
        <w:rPr>
          <w:rFonts w:hint="cs"/>
          <w:b/>
          <w:bCs/>
          <w:sz w:val="24"/>
          <w:szCs w:val="24"/>
          <w:rtl/>
        </w:rPr>
        <w:tab/>
        <w:t xml:space="preserve">המתלוננת סיפרה שבעבר הותקפה מינית מספר פעמים ולא פנתה למשטרה משום שלא היתה חזקה דיה, היתה בטיפול כשנה וחצי עד למקרה הנוכחי והפעם התלוננה מתוך החלטה שלא להרגיש שמישהו יכול לעשות בה ככל העולה על רוחו למרות התנגדותה. </w:t>
      </w:r>
    </w:p>
    <w:p w14:paraId="1D44CD35" w14:textId="77777777" w:rsidR="00B23B5A" w:rsidRDefault="00B23B5A">
      <w:pPr>
        <w:spacing w:line="240" w:lineRule="auto"/>
        <w:ind w:left="1440" w:hanging="360"/>
        <w:rPr>
          <w:rFonts w:hint="cs"/>
          <w:b/>
          <w:bCs/>
          <w:sz w:val="24"/>
          <w:szCs w:val="24"/>
          <w:u w:val="single"/>
          <w:rtl/>
        </w:rPr>
      </w:pPr>
      <w:r>
        <w:rPr>
          <w:rFonts w:hint="cs"/>
          <w:b/>
          <w:bCs/>
          <w:sz w:val="24"/>
          <w:szCs w:val="24"/>
          <w:rtl/>
        </w:rPr>
        <w:tab/>
      </w:r>
      <w:r>
        <w:rPr>
          <w:rFonts w:hint="cs"/>
          <w:b/>
          <w:bCs/>
          <w:sz w:val="24"/>
          <w:szCs w:val="24"/>
          <w:u w:val="single"/>
          <w:rtl/>
        </w:rPr>
        <w:t>בחקירתה הנגדית הוסיפה ואמרה:</w:t>
      </w:r>
      <w:r>
        <w:rPr>
          <w:b/>
          <w:bCs/>
          <w:color w:val="FFFFFF"/>
          <w:sz w:val="4"/>
          <w:szCs w:val="4"/>
          <w:u w:val="single"/>
          <w:rtl/>
        </w:rPr>
        <w:t>נ</w:t>
      </w:r>
    </w:p>
    <w:p w14:paraId="73813BEC" w14:textId="77777777" w:rsidR="00B23B5A" w:rsidRDefault="00B23B5A">
      <w:pPr>
        <w:spacing w:line="240" w:lineRule="auto"/>
        <w:ind w:left="1440" w:hanging="360"/>
        <w:rPr>
          <w:rFonts w:hint="cs"/>
          <w:b/>
          <w:bCs/>
          <w:sz w:val="24"/>
          <w:szCs w:val="24"/>
          <w:rtl/>
        </w:rPr>
      </w:pPr>
      <w:r>
        <w:rPr>
          <w:rFonts w:hint="cs"/>
          <w:b/>
          <w:bCs/>
          <w:sz w:val="24"/>
          <w:szCs w:val="24"/>
          <w:rtl/>
        </w:rPr>
        <w:t>ה.</w:t>
      </w:r>
      <w:r>
        <w:rPr>
          <w:rFonts w:hint="cs"/>
          <w:b/>
          <w:bCs/>
          <w:sz w:val="24"/>
          <w:szCs w:val="24"/>
          <w:rtl/>
        </w:rPr>
        <w:tab/>
        <w:t xml:space="preserve">הנאשם הפעיל כלפיה כח אך לא היה אלים. מעשיו היו בניגוד לרצונה ולא ניתן לראותם כנסיון תמים "להתחיל" איתה. </w:t>
      </w:r>
    </w:p>
    <w:p w14:paraId="3FE4CC7D" w14:textId="77777777" w:rsidR="00B23B5A" w:rsidRDefault="00B23B5A">
      <w:pPr>
        <w:tabs>
          <w:tab w:val="num" w:pos="1440"/>
        </w:tabs>
        <w:spacing w:line="240" w:lineRule="auto"/>
        <w:ind w:left="1440" w:hanging="360"/>
        <w:rPr>
          <w:rFonts w:hint="cs"/>
          <w:b/>
          <w:bCs/>
          <w:sz w:val="24"/>
          <w:szCs w:val="24"/>
          <w:rtl/>
        </w:rPr>
      </w:pPr>
      <w:r>
        <w:rPr>
          <w:rFonts w:hint="cs"/>
          <w:b/>
          <w:bCs/>
          <w:sz w:val="24"/>
          <w:szCs w:val="24"/>
          <w:rtl/>
        </w:rPr>
        <w:t>ו.</w:t>
      </w:r>
      <w:r w:rsidR="00984BA0">
        <w:rPr>
          <w:b/>
          <w:bCs/>
          <w:sz w:val="24"/>
          <w:szCs w:val="24"/>
          <w:rtl/>
        </w:rPr>
        <w:t xml:space="preserve">      </w:t>
      </w:r>
      <w:r>
        <w:rPr>
          <w:b/>
          <w:bCs/>
          <w:sz w:val="24"/>
          <w:szCs w:val="24"/>
          <w:rtl/>
        </w:rPr>
        <w:t xml:space="preserve"> </w:t>
      </w:r>
      <w:r>
        <w:rPr>
          <w:rFonts w:hint="cs"/>
          <w:b/>
          <w:bCs/>
          <w:sz w:val="24"/>
          <w:szCs w:val="24"/>
          <w:rtl/>
        </w:rPr>
        <w:t xml:space="preserve">המתלוננת נשאלה על מערכת יחסיה עם אלונה, אותה חברה עמה רבה באותו יום ובגינה התפתחה השיחה בינה לבין הנאשם. המתלוננת אישרה שאותה חברה, יחד עם אחר, ביצעו בה מעשים מגונים. מקרה זה ארע כשנה וחצי לפני המקרה הנוכחי. היא כעסה על חברתה באותו יום שישי אחרי שזו סגרה לה את הטלפון. כמו כן אישרה המתלוננת שלא התלוננה על המעשים שעשתה לה אלונה ואותם ציינה בהודעתה במשטרה כרקע להתרחשות בינה לבין הנאשם. כמו כן, אישרה העדה שחוותה בעבר תקיפות מיניות חמורות נוספות לזו המיוחסת לאלונה.  </w:t>
      </w:r>
    </w:p>
    <w:p w14:paraId="4785A5B6" w14:textId="77777777" w:rsidR="00B23B5A" w:rsidRDefault="00B23B5A">
      <w:pPr>
        <w:tabs>
          <w:tab w:val="num" w:pos="1440"/>
        </w:tabs>
        <w:spacing w:line="240" w:lineRule="auto"/>
        <w:ind w:left="1440" w:hanging="360"/>
        <w:rPr>
          <w:rFonts w:hint="cs"/>
          <w:b/>
          <w:bCs/>
          <w:sz w:val="24"/>
          <w:szCs w:val="24"/>
          <w:rtl/>
        </w:rPr>
      </w:pPr>
      <w:r>
        <w:rPr>
          <w:rFonts w:hint="cs"/>
          <w:b/>
          <w:bCs/>
          <w:sz w:val="24"/>
          <w:szCs w:val="24"/>
          <w:rtl/>
        </w:rPr>
        <w:t>ז.</w:t>
      </w:r>
      <w:r w:rsidR="00984BA0">
        <w:rPr>
          <w:b/>
          <w:bCs/>
          <w:sz w:val="24"/>
          <w:szCs w:val="24"/>
          <w:rtl/>
        </w:rPr>
        <w:t xml:space="preserve">      </w:t>
      </w:r>
      <w:r>
        <w:rPr>
          <w:b/>
          <w:bCs/>
          <w:sz w:val="24"/>
          <w:szCs w:val="24"/>
          <w:rtl/>
        </w:rPr>
        <w:t xml:space="preserve"> </w:t>
      </w:r>
      <w:r>
        <w:rPr>
          <w:rFonts w:hint="cs"/>
          <w:b/>
          <w:bCs/>
          <w:sz w:val="24"/>
          <w:szCs w:val="24"/>
          <w:rtl/>
        </w:rPr>
        <w:t xml:space="preserve">המתלוננת הסבירה כי באותו יום שישי היה לה צורך לדבר על אלונה ולכן למרות הטרדותיו הקודמות של הנאשם, החליטה לדבר עמו על ענייניה כיוון שהוא היחיד שהיה לידה באותו רגע. </w:t>
      </w:r>
    </w:p>
    <w:p w14:paraId="6D3309D6" w14:textId="77777777" w:rsidR="00B23B5A" w:rsidRDefault="00B23B5A">
      <w:pPr>
        <w:tabs>
          <w:tab w:val="num" w:pos="1440"/>
        </w:tabs>
        <w:spacing w:line="240" w:lineRule="auto"/>
        <w:ind w:left="1440" w:hanging="360"/>
        <w:rPr>
          <w:b/>
          <w:bCs/>
          <w:sz w:val="24"/>
          <w:szCs w:val="24"/>
          <w:rtl/>
        </w:rPr>
      </w:pPr>
      <w:r>
        <w:rPr>
          <w:rFonts w:hint="cs"/>
          <w:b/>
          <w:bCs/>
          <w:sz w:val="24"/>
          <w:szCs w:val="24"/>
          <w:rtl/>
        </w:rPr>
        <w:t>ח.</w:t>
      </w:r>
      <w:r w:rsidR="00984BA0">
        <w:rPr>
          <w:b/>
          <w:bCs/>
          <w:sz w:val="24"/>
          <w:szCs w:val="24"/>
          <w:rtl/>
        </w:rPr>
        <w:t xml:space="preserve">   </w:t>
      </w:r>
      <w:r>
        <w:rPr>
          <w:b/>
          <w:bCs/>
          <w:sz w:val="24"/>
          <w:szCs w:val="24"/>
          <w:rtl/>
        </w:rPr>
        <w:t xml:space="preserve"> </w:t>
      </w:r>
      <w:r>
        <w:rPr>
          <w:rFonts w:hint="cs"/>
          <w:b/>
          <w:bCs/>
          <w:sz w:val="24"/>
          <w:szCs w:val="24"/>
          <w:rtl/>
        </w:rPr>
        <w:t xml:space="preserve">המתלוננת נשאלה על יכולת הזכרון שלה ואמרה שככלל זכרונה טוב, אך יש דברים שאינה רוצה לזכור והיא מדחיקה אותם (עמוד 17 שורות 12- 19). ועוד אמרה, שאינה מתבלבלת בין הארועים אך "יכולה לשכוח מה היה לפני מה או זמנים או שעות". </w:t>
      </w:r>
    </w:p>
    <w:p w14:paraId="5A0D44F6" w14:textId="77777777" w:rsidR="00B23B5A" w:rsidRDefault="00B23B5A">
      <w:pPr>
        <w:tabs>
          <w:tab w:val="num" w:pos="1440"/>
        </w:tabs>
        <w:spacing w:line="240" w:lineRule="auto"/>
        <w:ind w:left="1440" w:hanging="360"/>
        <w:rPr>
          <w:b/>
          <w:bCs/>
          <w:sz w:val="24"/>
          <w:szCs w:val="24"/>
          <w:rtl/>
        </w:rPr>
      </w:pPr>
      <w:r>
        <w:rPr>
          <w:rFonts w:hint="cs"/>
          <w:b/>
          <w:bCs/>
          <w:sz w:val="24"/>
          <w:szCs w:val="24"/>
          <w:rtl/>
        </w:rPr>
        <w:t>ט.</w:t>
      </w:r>
      <w:r w:rsidR="00984BA0">
        <w:rPr>
          <w:b/>
          <w:bCs/>
          <w:sz w:val="24"/>
          <w:szCs w:val="24"/>
          <w:rtl/>
        </w:rPr>
        <w:t xml:space="preserve">   </w:t>
      </w:r>
      <w:r>
        <w:rPr>
          <w:b/>
          <w:bCs/>
          <w:sz w:val="24"/>
          <w:szCs w:val="24"/>
          <w:rtl/>
        </w:rPr>
        <w:t xml:space="preserve"> </w:t>
      </w:r>
      <w:r>
        <w:rPr>
          <w:rFonts w:hint="cs"/>
          <w:b/>
          <w:bCs/>
          <w:sz w:val="24"/>
          <w:szCs w:val="24"/>
          <w:rtl/>
        </w:rPr>
        <w:t xml:space="preserve">לדברי העדה, הטרדותיו של הנאשם כלפיה במהלך השבועיים שקדמו לאותו יום שישי, נעשו בנוכחות 2 הנהגים האחרים שעבדו איתה וגם בנוכחותו של פנסקי, בעל החנות, ובאחת הפעמים התיישב הנאשם על ברכיה לעיני לקוחות. </w:t>
      </w:r>
    </w:p>
    <w:p w14:paraId="4A1B72B3" w14:textId="77777777" w:rsidR="00B23B5A" w:rsidRDefault="00B23B5A">
      <w:pPr>
        <w:spacing w:line="240" w:lineRule="auto"/>
        <w:ind w:left="1440"/>
        <w:rPr>
          <w:b/>
          <w:bCs/>
          <w:sz w:val="24"/>
          <w:szCs w:val="24"/>
          <w:rtl/>
        </w:rPr>
      </w:pPr>
      <w:r>
        <w:rPr>
          <w:rFonts w:hint="cs"/>
          <w:b/>
          <w:bCs/>
          <w:sz w:val="24"/>
          <w:szCs w:val="24"/>
          <w:rtl/>
        </w:rPr>
        <w:t xml:space="preserve">יצוין כבר עתה כי העדים הנזכרים ע"י המתלוננת, הכחישו שראו או שמעו את הנאשם מטריד אותה מינית. </w:t>
      </w:r>
    </w:p>
    <w:p w14:paraId="1A0C14FF" w14:textId="77777777" w:rsidR="00B23B5A" w:rsidRDefault="00984BA0">
      <w:pPr>
        <w:spacing w:line="240" w:lineRule="auto"/>
        <w:ind w:left="1440" w:hanging="360"/>
        <w:rPr>
          <w:rFonts w:hint="cs"/>
          <w:b/>
          <w:bCs/>
          <w:sz w:val="24"/>
          <w:szCs w:val="24"/>
          <w:rtl/>
        </w:rPr>
      </w:pPr>
      <w:r>
        <w:rPr>
          <w:rFonts w:hint="cs"/>
          <w:b/>
          <w:bCs/>
          <w:sz w:val="24"/>
          <w:szCs w:val="24"/>
          <w:rtl/>
        </w:rPr>
        <w:t xml:space="preserve"> </w:t>
      </w:r>
    </w:p>
    <w:p w14:paraId="5C8E378D" w14:textId="77777777" w:rsidR="00B23B5A" w:rsidRDefault="00B23B5A">
      <w:pPr>
        <w:tabs>
          <w:tab w:val="num" w:pos="1080"/>
        </w:tabs>
        <w:spacing w:line="240" w:lineRule="auto"/>
        <w:ind w:left="1080" w:hanging="720"/>
        <w:rPr>
          <w:rFonts w:hint="cs"/>
          <w:b/>
          <w:bCs/>
          <w:sz w:val="24"/>
          <w:szCs w:val="24"/>
          <w:rtl/>
        </w:rPr>
      </w:pPr>
      <w:r>
        <w:rPr>
          <w:b/>
          <w:bCs/>
          <w:sz w:val="24"/>
          <w:szCs w:val="24"/>
          <w:rtl/>
        </w:rPr>
        <w:t>7.</w:t>
      </w:r>
      <w:r w:rsidR="00984BA0">
        <w:rPr>
          <w:b/>
          <w:bCs/>
          <w:sz w:val="24"/>
          <w:szCs w:val="24"/>
          <w:rtl/>
        </w:rPr>
        <w:t xml:space="preserve">                 </w:t>
      </w:r>
      <w:r>
        <w:rPr>
          <w:b/>
          <w:bCs/>
          <w:sz w:val="24"/>
          <w:szCs w:val="24"/>
          <w:rtl/>
        </w:rPr>
        <w:t xml:space="preserve"> </w:t>
      </w:r>
      <w:r>
        <w:rPr>
          <w:rFonts w:hint="cs"/>
          <w:b/>
          <w:bCs/>
          <w:sz w:val="24"/>
          <w:szCs w:val="24"/>
          <w:u w:val="single"/>
          <w:rtl/>
        </w:rPr>
        <w:t>עדותה של ליאת רוזנברג:</w:t>
      </w:r>
      <w:r>
        <w:rPr>
          <w:b/>
          <w:bCs/>
          <w:color w:val="FFFFFF"/>
          <w:sz w:val="4"/>
          <w:szCs w:val="4"/>
          <w:u w:val="single"/>
          <w:rtl/>
        </w:rPr>
        <w:t>ב</w:t>
      </w:r>
    </w:p>
    <w:p w14:paraId="56F60FE9" w14:textId="77777777" w:rsidR="00B23B5A" w:rsidRDefault="00B23B5A">
      <w:pPr>
        <w:pStyle w:val="Heading4"/>
        <w:spacing w:line="240" w:lineRule="auto"/>
        <w:rPr>
          <w:sz w:val="24"/>
          <w:szCs w:val="24"/>
          <w:u w:val="none"/>
          <w:rtl/>
        </w:rPr>
      </w:pPr>
      <w:r>
        <w:rPr>
          <w:rFonts w:hint="cs"/>
          <w:sz w:val="24"/>
          <w:szCs w:val="24"/>
          <w:u w:val="none"/>
          <w:rtl/>
        </w:rPr>
        <w:t>א.</w:t>
      </w:r>
      <w:r w:rsidR="00984BA0">
        <w:rPr>
          <w:sz w:val="24"/>
          <w:szCs w:val="24"/>
          <w:u w:val="none"/>
          <w:rtl/>
        </w:rPr>
        <w:t xml:space="preserve">   </w:t>
      </w:r>
      <w:r>
        <w:rPr>
          <w:sz w:val="24"/>
          <w:szCs w:val="24"/>
          <w:u w:val="none"/>
          <w:rtl/>
        </w:rPr>
        <w:t xml:space="preserve"> </w:t>
      </w:r>
      <w:r>
        <w:rPr>
          <w:rFonts w:hint="cs"/>
          <w:sz w:val="24"/>
          <w:szCs w:val="24"/>
          <w:u w:val="none"/>
          <w:rtl/>
        </w:rPr>
        <w:t xml:space="preserve">העדה מתנדבת במרכז סיוע לנפגעות תקיפה מינית בת"א ובמסגרת זו הכירה את המתלוננת כשנה לפני המקרה. הקשר ביניהן היה אינטנסיבי – מפגשים ושיחות טלפון. </w:t>
      </w:r>
    </w:p>
    <w:p w14:paraId="38CD48DE" w14:textId="77777777" w:rsidR="00B23B5A" w:rsidRDefault="00984BA0">
      <w:pPr>
        <w:spacing w:line="240" w:lineRule="auto"/>
        <w:rPr>
          <w:rFonts w:hint="cs"/>
          <w:sz w:val="24"/>
          <w:szCs w:val="24"/>
          <w:rtl/>
        </w:rPr>
      </w:pPr>
      <w:r>
        <w:rPr>
          <w:rFonts w:hint="cs"/>
          <w:sz w:val="24"/>
          <w:szCs w:val="24"/>
          <w:rtl/>
        </w:rPr>
        <w:t xml:space="preserve"> </w:t>
      </w:r>
    </w:p>
    <w:p w14:paraId="367143B7" w14:textId="77777777" w:rsidR="00B23B5A" w:rsidRDefault="00B23B5A">
      <w:pPr>
        <w:pStyle w:val="Heading4"/>
        <w:spacing w:line="240" w:lineRule="auto"/>
        <w:rPr>
          <w:rFonts w:hint="cs"/>
          <w:sz w:val="24"/>
          <w:szCs w:val="24"/>
          <w:u w:val="none"/>
          <w:rtl/>
        </w:rPr>
      </w:pPr>
      <w:r>
        <w:rPr>
          <w:rFonts w:hint="cs"/>
          <w:sz w:val="24"/>
          <w:szCs w:val="24"/>
          <w:u w:val="none"/>
          <w:rtl/>
        </w:rPr>
        <w:t>ב.</w:t>
      </w:r>
      <w:r w:rsidR="00984BA0">
        <w:rPr>
          <w:sz w:val="24"/>
          <w:szCs w:val="24"/>
          <w:u w:val="none"/>
          <w:rtl/>
        </w:rPr>
        <w:t xml:space="preserve">    </w:t>
      </w:r>
      <w:r>
        <w:rPr>
          <w:sz w:val="24"/>
          <w:szCs w:val="24"/>
          <w:u w:val="none"/>
          <w:rtl/>
        </w:rPr>
        <w:t xml:space="preserve"> </w:t>
      </w:r>
      <w:r>
        <w:rPr>
          <w:rFonts w:hint="cs"/>
          <w:sz w:val="24"/>
          <w:szCs w:val="24"/>
          <w:u w:val="none"/>
          <w:rtl/>
        </w:rPr>
        <w:t xml:space="preserve">באותו יום ו' בצהרים הודיעו לה מהמרכז שהמתלוננת מבקשת לדבר עמה בדחיפות (הנוהל הוא שהפונה אינה יכולה להתקשר ישירות למתנדבת) והיא מיד טלפנה למתלוננת. </w:t>
      </w:r>
    </w:p>
    <w:p w14:paraId="323F9FDE" w14:textId="77777777" w:rsidR="00B23B5A" w:rsidRDefault="00B23B5A">
      <w:pPr>
        <w:spacing w:line="240" w:lineRule="auto"/>
        <w:ind w:left="1440"/>
        <w:rPr>
          <w:rFonts w:hint="cs"/>
          <w:b/>
          <w:bCs/>
          <w:sz w:val="24"/>
          <w:szCs w:val="24"/>
          <w:rtl/>
        </w:rPr>
      </w:pPr>
      <w:r>
        <w:rPr>
          <w:rFonts w:hint="cs"/>
          <w:b/>
          <w:bCs/>
          <w:sz w:val="24"/>
          <w:szCs w:val="24"/>
          <w:rtl/>
        </w:rPr>
        <w:t xml:space="preserve">בהקשר זה יש לציין שלפי ת/2 שהוגש בהסכמה, פנייתה הטלפונית של המתלוננת למרכז נרשמה בשעה 14:30. </w:t>
      </w:r>
    </w:p>
    <w:p w14:paraId="4DE4E010" w14:textId="77777777" w:rsidR="00B23B5A" w:rsidRDefault="00B23B5A">
      <w:pPr>
        <w:spacing w:line="240" w:lineRule="auto"/>
        <w:ind w:left="1440"/>
        <w:rPr>
          <w:rFonts w:hint="cs"/>
          <w:b/>
          <w:bCs/>
          <w:sz w:val="24"/>
          <w:szCs w:val="24"/>
          <w:rtl/>
        </w:rPr>
      </w:pPr>
      <w:r>
        <w:rPr>
          <w:rFonts w:hint="cs"/>
          <w:b/>
          <w:bCs/>
          <w:sz w:val="24"/>
          <w:szCs w:val="24"/>
          <w:rtl/>
        </w:rPr>
        <w:t xml:space="preserve">בשיחת הטלפון בין ליאת למתלוננת, נשמעה האחרונה נסערת מאוד, מבולבלת וטענה שעל ליאת לפגשה מיד, אחרת היא תמות ולא נותר לה בשביל מה לחיות. </w:t>
      </w:r>
    </w:p>
    <w:p w14:paraId="6074AC8A" w14:textId="77777777" w:rsidR="00B23B5A" w:rsidRDefault="00B23B5A">
      <w:pPr>
        <w:pStyle w:val="Heading4"/>
        <w:spacing w:line="240" w:lineRule="auto"/>
        <w:rPr>
          <w:rFonts w:hint="cs"/>
          <w:sz w:val="24"/>
          <w:szCs w:val="24"/>
          <w:u w:val="none"/>
          <w:rtl/>
        </w:rPr>
      </w:pPr>
      <w:r>
        <w:rPr>
          <w:rFonts w:hint="cs"/>
          <w:sz w:val="24"/>
          <w:szCs w:val="24"/>
          <w:u w:val="none"/>
          <w:rtl/>
        </w:rPr>
        <w:t>ג.</w:t>
      </w:r>
      <w:r w:rsidR="00984BA0">
        <w:rPr>
          <w:sz w:val="24"/>
          <w:szCs w:val="24"/>
          <w:u w:val="none"/>
          <w:rtl/>
        </w:rPr>
        <w:t xml:space="preserve">     </w:t>
      </w:r>
      <w:r>
        <w:rPr>
          <w:sz w:val="24"/>
          <w:szCs w:val="24"/>
          <w:u w:val="none"/>
          <w:rtl/>
        </w:rPr>
        <w:t xml:space="preserve"> </w:t>
      </w:r>
      <w:r>
        <w:rPr>
          <w:rFonts w:hint="cs"/>
          <w:sz w:val="24"/>
          <w:szCs w:val="24"/>
          <w:u w:val="none"/>
          <w:rtl/>
        </w:rPr>
        <w:t xml:space="preserve">ליאת סרבה לפגוש אותה בגלל האיום בהתאבדות. היא הבינה מדבריה המבולבלים של המתלוננת כי מישהו בעבודה פגע בה, שהיא נמצאת באותו איזור וכי ניסתה להיאבק בתוקף אך הוא היה חזק ממנה. המתלוננת דיברה מתוך מצוקה. </w:t>
      </w:r>
    </w:p>
    <w:p w14:paraId="770C0518" w14:textId="77777777" w:rsidR="00B23B5A" w:rsidRDefault="00B23B5A">
      <w:pPr>
        <w:pStyle w:val="Heading4"/>
        <w:spacing w:line="240" w:lineRule="auto"/>
        <w:rPr>
          <w:rFonts w:hint="cs"/>
          <w:sz w:val="24"/>
          <w:szCs w:val="24"/>
          <w:u w:val="none"/>
          <w:rtl/>
        </w:rPr>
      </w:pPr>
      <w:r>
        <w:rPr>
          <w:rFonts w:hint="cs"/>
          <w:sz w:val="24"/>
          <w:szCs w:val="24"/>
          <w:u w:val="none"/>
          <w:rtl/>
        </w:rPr>
        <w:t>ד.</w:t>
      </w:r>
      <w:r w:rsidR="00984BA0">
        <w:rPr>
          <w:sz w:val="24"/>
          <w:szCs w:val="24"/>
          <w:u w:val="none"/>
          <w:rtl/>
        </w:rPr>
        <w:t xml:space="preserve">    </w:t>
      </w:r>
      <w:r>
        <w:rPr>
          <w:sz w:val="24"/>
          <w:szCs w:val="24"/>
          <w:u w:val="none"/>
          <w:rtl/>
        </w:rPr>
        <w:t xml:space="preserve"> </w:t>
      </w:r>
      <w:r>
        <w:rPr>
          <w:rFonts w:hint="cs"/>
          <w:sz w:val="24"/>
          <w:szCs w:val="24"/>
          <w:u w:val="none"/>
          <w:rtl/>
        </w:rPr>
        <w:t xml:space="preserve">ליאת הוסיפה שבהודעתה במשטרה, בהתייחסה לאותה שיחה, מסרה שלדברי המתלוננת התוקף אנס אותה, אך לדבריה בביהמ"ש אין לייחס משמעות לתיאור זה, שכן בכל שיחותיה עם המתלוננת לא התעניינה בפרטים של מה שעשו לה והדגש הושם על מצוקתה של המתלוננת. </w:t>
      </w:r>
    </w:p>
    <w:p w14:paraId="232C5731" w14:textId="77777777" w:rsidR="00B23B5A" w:rsidRDefault="00B23B5A">
      <w:pPr>
        <w:pStyle w:val="Heading4"/>
        <w:spacing w:line="240" w:lineRule="auto"/>
        <w:rPr>
          <w:rFonts w:hint="cs"/>
          <w:sz w:val="24"/>
          <w:szCs w:val="24"/>
          <w:u w:val="none"/>
          <w:rtl/>
        </w:rPr>
      </w:pPr>
      <w:r>
        <w:rPr>
          <w:rFonts w:hint="cs"/>
          <w:sz w:val="24"/>
          <w:szCs w:val="24"/>
          <w:u w:val="none"/>
          <w:rtl/>
        </w:rPr>
        <w:t>ה.</w:t>
      </w:r>
      <w:r w:rsidR="00984BA0">
        <w:rPr>
          <w:sz w:val="24"/>
          <w:szCs w:val="24"/>
          <w:u w:val="none"/>
          <w:rtl/>
        </w:rPr>
        <w:t xml:space="preserve">   </w:t>
      </w:r>
      <w:r>
        <w:rPr>
          <w:sz w:val="24"/>
          <w:szCs w:val="24"/>
          <w:u w:val="none"/>
          <w:rtl/>
        </w:rPr>
        <w:t xml:space="preserve"> </w:t>
      </w:r>
      <w:r>
        <w:rPr>
          <w:rFonts w:hint="cs"/>
          <w:sz w:val="24"/>
          <w:szCs w:val="24"/>
          <w:u w:val="none"/>
          <w:rtl/>
        </w:rPr>
        <w:t xml:space="preserve">בשלב כלשהו הפסיקה ליאת את השיחה עם המתלוננת כדי להתייעץ עם רכזת הסיוע והיא הודרכה שלא להיפגש עם המתלוננת. ליאת חזרה למתלוננת והודיעה לה זאת. </w:t>
      </w:r>
    </w:p>
    <w:p w14:paraId="7719B4CF" w14:textId="77777777" w:rsidR="00B23B5A" w:rsidRDefault="00B23B5A">
      <w:pPr>
        <w:spacing w:line="240" w:lineRule="auto"/>
        <w:ind w:left="1440" w:hanging="360"/>
        <w:rPr>
          <w:rFonts w:hint="cs"/>
          <w:b/>
          <w:bCs/>
          <w:sz w:val="24"/>
          <w:szCs w:val="24"/>
          <w:rtl/>
        </w:rPr>
      </w:pPr>
      <w:r>
        <w:rPr>
          <w:rFonts w:hint="cs"/>
          <w:b/>
          <w:bCs/>
          <w:sz w:val="24"/>
          <w:szCs w:val="24"/>
          <w:rtl/>
        </w:rPr>
        <w:t>ו.</w:t>
      </w:r>
      <w:r>
        <w:rPr>
          <w:rFonts w:hint="cs"/>
          <w:b/>
          <w:bCs/>
          <w:sz w:val="24"/>
          <w:szCs w:val="24"/>
          <w:rtl/>
        </w:rPr>
        <w:tab/>
        <w:t xml:space="preserve">העדה הבהירה שבאותה תקופה, החליט המרכז, בשל מצבה הקשה של המתלוננת, להפסיק את הקשר עמה, כדי לאלצה לחזור לטיפול פסיכולוגי וזאת על מנת שלא תשתמש בקשר שלה עם המתנדבת כתחליף לטיפול לו נזקקה. </w:t>
      </w:r>
    </w:p>
    <w:p w14:paraId="303A6A60" w14:textId="77777777" w:rsidR="00B23B5A" w:rsidRDefault="00B23B5A">
      <w:pPr>
        <w:spacing w:line="240" w:lineRule="auto"/>
        <w:ind w:left="1440" w:hanging="360"/>
        <w:rPr>
          <w:rFonts w:hint="cs"/>
          <w:b/>
          <w:bCs/>
          <w:sz w:val="24"/>
          <w:szCs w:val="24"/>
          <w:rtl/>
        </w:rPr>
      </w:pPr>
      <w:r>
        <w:rPr>
          <w:rFonts w:hint="cs"/>
          <w:b/>
          <w:bCs/>
          <w:sz w:val="24"/>
          <w:szCs w:val="24"/>
          <w:rtl/>
        </w:rPr>
        <w:t>ז.</w:t>
      </w:r>
      <w:r>
        <w:rPr>
          <w:rFonts w:hint="cs"/>
          <w:b/>
          <w:bCs/>
          <w:sz w:val="24"/>
          <w:szCs w:val="24"/>
          <w:rtl/>
        </w:rPr>
        <w:tab/>
        <w:t xml:space="preserve">בחקירתה הנגדית התייחסה ליאת לנושא הגשת תלונה במשטרה ואמרה שלמתלוננת היה קושי רב בכך. החיוב שבתלונה הוא בכך שהאישה מסוגלת לעמוד מול התוקף "להיות בצד השולט ולא בצד הנשלט ועל ידי זה הן מחזקות את עצמן" (עמוד 35). </w:t>
      </w:r>
    </w:p>
    <w:p w14:paraId="4C0FC468" w14:textId="77777777" w:rsidR="00B23B5A" w:rsidRDefault="00B23B5A">
      <w:pPr>
        <w:tabs>
          <w:tab w:val="num" w:pos="1440"/>
        </w:tabs>
        <w:spacing w:line="240" w:lineRule="auto"/>
        <w:ind w:left="1440" w:hanging="360"/>
        <w:rPr>
          <w:rFonts w:hint="cs"/>
          <w:b/>
          <w:bCs/>
          <w:sz w:val="24"/>
          <w:szCs w:val="24"/>
          <w:rtl/>
        </w:rPr>
      </w:pPr>
      <w:r>
        <w:rPr>
          <w:rFonts w:hint="cs"/>
          <w:b/>
          <w:bCs/>
          <w:sz w:val="24"/>
          <w:szCs w:val="24"/>
          <w:rtl/>
        </w:rPr>
        <w:t>ח.</w:t>
      </w:r>
      <w:r w:rsidR="00984BA0">
        <w:rPr>
          <w:b/>
          <w:bCs/>
          <w:sz w:val="24"/>
          <w:szCs w:val="24"/>
          <w:rtl/>
        </w:rPr>
        <w:t xml:space="preserve">   </w:t>
      </w:r>
      <w:r>
        <w:rPr>
          <w:b/>
          <w:bCs/>
          <w:sz w:val="24"/>
          <w:szCs w:val="24"/>
          <w:rtl/>
        </w:rPr>
        <w:t xml:space="preserve"> </w:t>
      </w:r>
      <w:r>
        <w:rPr>
          <w:rFonts w:hint="cs"/>
          <w:b/>
          <w:bCs/>
          <w:sz w:val="24"/>
          <w:szCs w:val="24"/>
          <w:rtl/>
        </w:rPr>
        <w:t xml:space="preserve">המתלוננת סיפרה לליאת על הפגיעות המיניות הקודמות אשר חלקן התרחשו בתקופת הקשר ביניהן, אך הן לא נכנסו לפרטי הארועים. </w:t>
      </w:r>
    </w:p>
    <w:p w14:paraId="13EEBA54" w14:textId="77777777" w:rsidR="00B23B5A" w:rsidRDefault="00B23B5A">
      <w:pPr>
        <w:tabs>
          <w:tab w:val="num" w:pos="1440"/>
        </w:tabs>
        <w:spacing w:line="240" w:lineRule="auto"/>
        <w:ind w:left="1440" w:hanging="360"/>
        <w:rPr>
          <w:rFonts w:hint="cs"/>
          <w:b/>
          <w:bCs/>
          <w:sz w:val="24"/>
          <w:szCs w:val="24"/>
          <w:rtl/>
        </w:rPr>
      </w:pPr>
      <w:r>
        <w:rPr>
          <w:rFonts w:hint="cs"/>
          <w:b/>
          <w:bCs/>
          <w:sz w:val="24"/>
          <w:szCs w:val="24"/>
          <w:rtl/>
        </w:rPr>
        <w:t>ט.</w:t>
      </w:r>
      <w:r w:rsidR="00984BA0">
        <w:rPr>
          <w:b/>
          <w:bCs/>
          <w:sz w:val="24"/>
          <w:szCs w:val="24"/>
          <w:rtl/>
        </w:rPr>
        <w:t xml:space="preserve">   </w:t>
      </w:r>
      <w:r>
        <w:rPr>
          <w:b/>
          <w:bCs/>
          <w:sz w:val="24"/>
          <w:szCs w:val="24"/>
          <w:rtl/>
        </w:rPr>
        <w:t xml:space="preserve"> </w:t>
      </w:r>
      <w:r>
        <w:rPr>
          <w:rFonts w:hint="cs"/>
          <w:b/>
          <w:bCs/>
          <w:sz w:val="24"/>
          <w:szCs w:val="24"/>
          <w:rtl/>
        </w:rPr>
        <w:t xml:space="preserve">אחרי אותו יום ו' ולאחר שנודע לליאת על הגשת תלונה ע"י המתלוננת ביום א' שאחריו, התקיימה פגישה במרכז בה הוסבר למתלוננת ע"י אחת הרכזות שהוחלט שעליה לנתק את הקשר עם ליאת ומאותו יום הקשר ביניהן נותק. המתלוננת לוותה למשטרה ע"י יעל המשמשת במרכז כרכזת לענייני משטרה. </w:t>
      </w:r>
    </w:p>
    <w:p w14:paraId="486ED53F" w14:textId="77777777" w:rsidR="00B23B5A" w:rsidRDefault="00984BA0">
      <w:pPr>
        <w:spacing w:line="240" w:lineRule="auto"/>
        <w:ind w:left="1440" w:hanging="360"/>
        <w:rPr>
          <w:b/>
          <w:bCs/>
          <w:sz w:val="24"/>
          <w:szCs w:val="24"/>
          <w:rtl/>
        </w:rPr>
      </w:pPr>
      <w:r>
        <w:rPr>
          <w:b/>
          <w:bCs/>
          <w:sz w:val="24"/>
          <w:szCs w:val="24"/>
          <w:rtl/>
        </w:rPr>
        <w:t xml:space="preserve"> </w:t>
      </w:r>
    </w:p>
    <w:p w14:paraId="5EF7BC95" w14:textId="77777777" w:rsidR="00B23B5A" w:rsidRDefault="00B23B5A">
      <w:pPr>
        <w:tabs>
          <w:tab w:val="num" w:pos="1080"/>
        </w:tabs>
        <w:spacing w:line="240" w:lineRule="auto"/>
        <w:ind w:left="1080" w:hanging="720"/>
        <w:rPr>
          <w:b/>
          <w:bCs/>
          <w:sz w:val="24"/>
          <w:szCs w:val="24"/>
          <w:rtl/>
        </w:rPr>
      </w:pPr>
      <w:r>
        <w:rPr>
          <w:b/>
          <w:bCs/>
          <w:sz w:val="24"/>
          <w:szCs w:val="24"/>
          <w:rtl/>
        </w:rPr>
        <w:t>8.</w:t>
      </w:r>
      <w:r w:rsidR="00984BA0">
        <w:rPr>
          <w:b/>
          <w:bCs/>
          <w:sz w:val="24"/>
          <w:szCs w:val="24"/>
          <w:rtl/>
        </w:rPr>
        <w:t xml:space="preserve">                 </w:t>
      </w:r>
      <w:r>
        <w:rPr>
          <w:b/>
          <w:bCs/>
          <w:sz w:val="24"/>
          <w:szCs w:val="24"/>
          <w:rtl/>
        </w:rPr>
        <w:t xml:space="preserve"> </w:t>
      </w:r>
      <w:r>
        <w:rPr>
          <w:rFonts w:hint="cs"/>
          <w:b/>
          <w:bCs/>
          <w:sz w:val="24"/>
          <w:szCs w:val="24"/>
          <w:rtl/>
        </w:rPr>
        <w:t>על מצבה של המתלוננת בעת מסירת ההודעה ביום 11.7.99 בשעות הערב, העידה החוקרת דליה טאוב. העדה אישרה כי ככל הנראה דיברו איתה לפני גביית ההודעה על הארוע אודותיו עמדה המתלוננת להעיד, אך היא לא תיעדה שיחה זו בכתב ולא זכרה את פרטיה. התנהגותה של המתלוננת בעת מסירת ההודעה היתה יוצאת דופן ועל כך רשמה החוקרת מזכר – ת/1 שזו תמציתו:</w:t>
      </w:r>
      <w:r>
        <w:rPr>
          <w:b/>
          <w:bCs/>
          <w:color w:val="FFFFFF"/>
          <w:sz w:val="4"/>
          <w:szCs w:val="4"/>
          <w:rtl/>
        </w:rPr>
        <w:t>ו</w:t>
      </w:r>
      <w:r>
        <w:rPr>
          <w:rFonts w:hint="cs"/>
          <w:b/>
          <w:bCs/>
          <w:sz w:val="24"/>
          <w:szCs w:val="24"/>
          <w:rtl/>
        </w:rPr>
        <w:t xml:space="preserve"> היא היתה מפוחדת ורועדת והתקשתה למסור פרטים. התופעות החריגות גברו לאחר סיום דברי העדות. היא רעדה, התכווצה ונקשה בשיניה.</w:t>
      </w:r>
    </w:p>
    <w:p w14:paraId="610A9324" w14:textId="77777777" w:rsidR="00B23B5A" w:rsidRDefault="00984BA0">
      <w:pPr>
        <w:spacing w:line="240" w:lineRule="auto"/>
        <w:ind w:left="360"/>
        <w:rPr>
          <w:b/>
          <w:bCs/>
          <w:sz w:val="24"/>
          <w:szCs w:val="24"/>
          <w:rtl/>
        </w:rPr>
      </w:pPr>
      <w:r>
        <w:rPr>
          <w:b/>
          <w:bCs/>
          <w:sz w:val="24"/>
          <w:szCs w:val="24"/>
          <w:rtl/>
        </w:rPr>
        <w:t xml:space="preserve"> </w:t>
      </w:r>
    </w:p>
    <w:p w14:paraId="6DBBC54F" w14:textId="77777777" w:rsidR="00B23B5A" w:rsidRDefault="00B23B5A">
      <w:pPr>
        <w:pStyle w:val="Heading7"/>
        <w:spacing w:line="240" w:lineRule="auto"/>
        <w:rPr>
          <w:sz w:val="24"/>
          <w:szCs w:val="24"/>
          <w:rtl/>
        </w:rPr>
      </w:pPr>
      <w:r>
        <w:rPr>
          <w:rFonts w:hint="cs"/>
          <w:sz w:val="24"/>
          <w:szCs w:val="24"/>
          <w:u w:val="none"/>
          <w:rtl/>
        </w:rPr>
        <w:t>9.</w:t>
      </w:r>
      <w:r w:rsidR="00984BA0">
        <w:rPr>
          <w:sz w:val="24"/>
          <w:szCs w:val="24"/>
          <w:u w:val="none"/>
          <w:rtl/>
        </w:rPr>
        <w:t xml:space="preserve">                 </w:t>
      </w:r>
      <w:r>
        <w:rPr>
          <w:sz w:val="24"/>
          <w:szCs w:val="24"/>
          <w:u w:val="none"/>
          <w:rtl/>
        </w:rPr>
        <w:t xml:space="preserve"> </w:t>
      </w:r>
      <w:r>
        <w:rPr>
          <w:rFonts w:hint="cs"/>
          <w:sz w:val="24"/>
          <w:szCs w:val="24"/>
          <w:rtl/>
        </w:rPr>
        <w:t>עדותה של גב' אפי זיו</w:t>
      </w:r>
    </w:p>
    <w:p w14:paraId="578D63DB" w14:textId="77777777" w:rsidR="00B23B5A" w:rsidRDefault="00B23B5A">
      <w:pPr>
        <w:pStyle w:val="Heading8"/>
        <w:spacing w:line="240" w:lineRule="auto"/>
        <w:rPr>
          <w:rFonts w:hint="cs"/>
          <w:sz w:val="24"/>
          <w:szCs w:val="24"/>
          <w:rtl/>
        </w:rPr>
      </w:pPr>
      <w:r>
        <w:rPr>
          <w:rFonts w:hint="cs"/>
          <w:sz w:val="24"/>
          <w:szCs w:val="24"/>
          <w:rtl/>
        </w:rPr>
        <w:t>חוות דעתה המקצועית אודות המתלוננת סוכמה בת/3 ופורטה לעיל. להלן אדגיש מספר נקודות בעדותה, המבארות ומוסיפות על חוות הדעת:</w:t>
      </w:r>
      <w:r>
        <w:rPr>
          <w:color w:val="FFFFFF"/>
          <w:sz w:val="4"/>
          <w:szCs w:val="4"/>
          <w:rtl/>
        </w:rPr>
        <w:t>נ</w:t>
      </w:r>
      <w:r>
        <w:rPr>
          <w:rFonts w:hint="cs"/>
          <w:sz w:val="24"/>
          <w:szCs w:val="24"/>
          <w:rtl/>
        </w:rPr>
        <w:t xml:space="preserve"> </w:t>
      </w:r>
    </w:p>
    <w:p w14:paraId="663CA1A5" w14:textId="77777777" w:rsidR="00B23B5A" w:rsidRDefault="00B23B5A">
      <w:pPr>
        <w:pStyle w:val="Heading8"/>
        <w:spacing w:line="240" w:lineRule="auto"/>
        <w:rPr>
          <w:rFonts w:hint="cs"/>
          <w:sz w:val="24"/>
          <w:szCs w:val="24"/>
          <w:rtl/>
        </w:rPr>
      </w:pPr>
      <w:r>
        <w:rPr>
          <w:rFonts w:hint="cs"/>
          <w:sz w:val="24"/>
          <w:szCs w:val="24"/>
          <w:rtl/>
        </w:rPr>
        <w:t xml:space="preserve">סימפטום הדסוציאציה הנובע מתסמונת פוסט טראומטית איננו מעוות את תוכן הזכרון, אלא את הרצף שלו ולא מדובר בהזיות שווא או בפנטזיות. המתלוננת אינה מפנטזת תוקפנית. אחת ממטרות הטיפול היא שיחזור הזכרון הנרטיבי אליו אין גישה בזיכרון הטראומתי, אולם כשהמתלוננת מתארת את הארוע בו נפגעה, אין במצבה כדי להשפיע על מידת הדיוק. מדובר בנתק מהמאורע  שקרה, אך בוחן המציאות תקין. </w:t>
      </w:r>
    </w:p>
    <w:p w14:paraId="3F123605" w14:textId="77777777" w:rsidR="00B23B5A" w:rsidRDefault="00B23B5A">
      <w:pPr>
        <w:spacing w:line="240" w:lineRule="auto"/>
        <w:rPr>
          <w:rFonts w:hint="cs"/>
          <w:b/>
          <w:bCs/>
          <w:sz w:val="24"/>
          <w:szCs w:val="24"/>
          <w:rtl/>
        </w:rPr>
      </w:pPr>
      <w:r>
        <w:rPr>
          <w:rFonts w:hint="cs"/>
          <w:sz w:val="24"/>
          <w:szCs w:val="24"/>
          <w:rtl/>
        </w:rPr>
        <w:tab/>
      </w:r>
      <w:r>
        <w:rPr>
          <w:rFonts w:hint="cs"/>
          <w:sz w:val="24"/>
          <w:szCs w:val="24"/>
          <w:rtl/>
        </w:rPr>
        <w:tab/>
      </w:r>
    </w:p>
    <w:p w14:paraId="38AF3A0E" w14:textId="77777777" w:rsidR="00B23B5A" w:rsidRDefault="00B23B5A">
      <w:pPr>
        <w:pStyle w:val="Heading9"/>
        <w:spacing w:line="240" w:lineRule="auto"/>
        <w:rPr>
          <w:sz w:val="24"/>
          <w:szCs w:val="24"/>
          <w:rtl/>
        </w:rPr>
      </w:pPr>
      <w:r>
        <w:rPr>
          <w:rFonts w:hint="cs"/>
          <w:sz w:val="24"/>
          <w:szCs w:val="24"/>
          <w:u w:val="none"/>
          <w:rtl/>
        </w:rPr>
        <w:t>10.</w:t>
      </w:r>
      <w:r w:rsidR="00984BA0">
        <w:rPr>
          <w:sz w:val="24"/>
          <w:szCs w:val="24"/>
          <w:u w:val="none"/>
          <w:rtl/>
        </w:rPr>
        <w:t xml:space="preserve">             </w:t>
      </w:r>
      <w:r>
        <w:rPr>
          <w:sz w:val="24"/>
          <w:szCs w:val="24"/>
          <w:u w:val="none"/>
          <w:rtl/>
        </w:rPr>
        <w:t xml:space="preserve"> </w:t>
      </w:r>
      <w:r>
        <w:rPr>
          <w:rFonts w:hint="cs"/>
          <w:sz w:val="24"/>
          <w:szCs w:val="24"/>
          <w:rtl/>
        </w:rPr>
        <w:t>פרשת ההגנה</w:t>
      </w:r>
    </w:p>
    <w:p w14:paraId="3552F591" w14:textId="77777777" w:rsidR="00B23B5A" w:rsidRDefault="00B23B5A">
      <w:pPr>
        <w:pStyle w:val="Heading4"/>
        <w:spacing w:line="240" w:lineRule="auto"/>
        <w:rPr>
          <w:rFonts w:hint="cs"/>
          <w:sz w:val="24"/>
          <w:szCs w:val="24"/>
          <w:u w:val="none"/>
          <w:rtl/>
        </w:rPr>
      </w:pPr>
      <w:r>
        <w:rPr>
          <w:rFonts w:hint="cs"/>
          <w:sz w:val="24"/>
          <w:szCs w:val="24"/>
          <w:u w:val="none"/>
          <w:rtl/>
        </w:rPr>
        <w:t>א.</w:t>
      </w:r>
      <w:r w:rsidR="00984BA0">
        <w:rPr>
          <w:sz w:val="24"/>
          <w:szCs w:val="24"/>
          <w:u w:val="none"/>
          <w:rtl/>
        </w:rPr>
        <w:t xml:space="preserve">   </w:t>
      </w:r>
      <w:r>
        <w:rPr>
          <w:sz w:val="24"/>
          <w:szCs w:val="24"/>
          <w:u w:val="none"/>
          <w:rtl/>
        </w:rPr>
        <w:t xml:space="preserve"> </w:t>
      </w:r>
      <w:r>
        <w:rPr>
          <w:rFonts w:hint="cs"/>
          <w:sz w:val="24"/>
          <w:szCs w:val="24"/>
          <w:u w:val="none"/>
          <w:rtl/>
        </w:rPr>
        <w:t xml:space="preserve">ראיות ההגנה כוללות את עדות הנאשם, עדותם של שני נהגים העובדים עמו והודעות של פנסקי ושל חברתה של המתלוננת, אותה אלונה ששמה חזר ועלה במשפט. </w:t>
      </w:r>
    </w:p>
    <w:p w14:paraId="4AA38448" w14:textId="77777777" w:rsidR="00B23B5A" w:rsidRDefault="00B23B5A">
      <w:pPr>
        <w:pStyle w:val="Heading4"/>
        <w:spacing w:line="240" w:lineRule="auto"/>
        <w:rPr>
          <w:rFonts w:hint="cs"/>
          <w:sz w:val="24"/>
          <w:szCs w:val="24"/>
          <w:rtl/>
        </w:rPr>
      </w:pPr>
      <w:r>
        <w:rPr>
          <w:rFonts w:hint="cs"/>
          <w:sz w:val="24"/>
          <w:szCs w:val="24"/>
          <w:u w:val="none"/>
          <w:rtl/>
        </w:rPr>
        <w:t>ב.</w:t>
      </w:r>
      <w:r w:rsidR="00984BA0">
        <w:rPr>
          <w:sz w:val="24"/>
          <w:szCs w:val="24"/>
          <w:u w:val="none"/>
          <w:rtl/>
        </w:rPr>
        <w:t xml:space="preserve">    </w:t>
      </w:r>
      <w:r>
        <w:rPr>
          <w:sz w:val="24"/>
          <w:szCs w:val="24"/>
          <w:u w:val="none"/>
          <w:rtl/>
        </w:rPr>
        <w:t xml:space="preserve"> </w:t>
      </w:r>
      <w:r>
        <w:rPr>
          <w:rFonts w:hint="cs"/>
          <w:sz w:val="24"/>
          <w:szCs w:val="24"/>
          <w:rtl/>
        </w:rPr>
        <w:t>מהימנות גרסת הנאשם:</w:t>
      </w:r>
      <w:r>
        <w:rPr>
          <w:color w:val="FFFFFF"/>
          <w:sz w:val="4"/>
          <w:szCs w:val="4"/>
          <w:rtl/>
        </w:rPr>
        <w:t>ב</w:t>
      </w:r>
    </w:p>
    <w:p w14:paraId="7E16985E" w14:textId="77777777" w:rsidR="00B23B5A" w:rsidRDefault="00B23B5A">
      <w:pPr>
        <w:spacing w:line="240" w:lineRule="auto"/>
        <w:ind w:left="1440"/>
        <w:rPr>
          <w:rFonts w:hint="cs"/>
          <w:b/>
          <w:bCs/>
          <w:sz w:val="24"/>
          <w:szCs w:val="24"/>
          <w:rtl/>
        </w:rPr>
      </w:pPr>
      <w:r>
        <w:rPr>
          <w:rFonts w:hint="cs"/>
          <w:b/>
          <w:bCs/>
          <w:sz w:val="24"/>
          <w:szCs w:val="24"/>
          <w:rtl/>
        </w:rPr>
        <w:t xml:space="preserve">טענתו החוזרת ונשנית היא שכל שאמרה המתלוננת לא היה ולא נברא. לדבריו, מגעיו עמה הצטמצמו למתן הוראות בנוגע לביצוע עבודתה ותו לא. הנאשם טוען שאינו פנוי במהלך עבודתו לשום עיסוק חברתי כגון שיחה או שתיית קפה בחברת חבריו לעבודה ומוסיף שהמתלוננת לא עוררה בו כל עניין ואף לא טרח לתהות על קנקנה. </w:t>
      </w:r>
    </w:p>
    <w:p w14:paraId="43E042A9" w14:textId="77777777" w:rsidR="00B23B5A" w:rsidRDefault="00B23B5A">
      <w:pPr>
        <w:spacing w:line="240" w:lineRule="auto"/>
        <w:ind w:left="1440"/>
        <w:rPr>
          <w:rFonts w:hint="cs"/>
          <w:b/>
          <w:bCs/>
          <w:sz w:val="24"/>
          <w:szCs w:val="24"/>
          <w:rtl/>
        </w:rPr>
      </w:pPr>
      <w:r>
        <w:rPr>
          <w:rFonts w:hint="cs"/>
          <w:b/>
          <w:bCs/>
          <w:sz w:val="24"/>
          <w:szCs w:val="24"/>
          <w:rtl/>
        </w:rPr>
        <w:t xml:space="preserve">התנערותו הגורפת של הנאשם מכל מגע עם המתלוננת נראית בלתי סבירה על פניה. בחנות עבדו מלבד בני המשפחה כ- 5 אנשים בלבד כשהמתלוננת היתה האישה היחידה בין הנהגים. קשה להניח שבסיטואציה זו לא נוצר קשר אישי כלשהו בין השניים וגרסת הנאשם, על אף עקביותה, רחוקה מלעורר אמון. </w:t>
      </w:r>
    </w:p>
    <w:p w14:paraId="0D6A389F" w14:textId="77777777" w:rsidR="00B23B5A" w:rsidRDefault="00B23B5A">
      <w:pPr>
        <w:spacing w:line="240" w:lineRule="auto"/>
        <w:ind w:left="1440" w:hanging="420"/>
        <w:jc w:val="left"/>
        <w:rPr>
          <w:rFonts w:hint="cs"/>
          <w:b/>
          <w:bCs/>
          <w:sz w:val="24"/>
          <w:szCs w:val="24"/>
          <w:rtl/>
        </w:rPr>
      </w:pPr>
      <w:r>
        <w:rPr>
          <w:rFonts w:hint="cs"/>
          <w:b/>
          <w:bCs/>
          <w:sz w:val="24"/>
          <w:szCs w:val="24"/>
          <w:rtl/>
        </w:rPr>
        <w:t xml:space="preserve"> ג.</w:t>
      </w:r>
      <w:r>
        <w:rPr>
          <w:rFonts w:hint="cs"/>
          <w:b/>
          <w:bCs/>
          <w:sz w:val="24"/>
          <w:szCs w:val="24"/>
          <w:rtl/>
        </w:rPr>
        <w:tab/>
        <w:t xml:space="preserve">עדי ההגנה האחרים העידו אמנם שהנאשם לא הטריד בנוכחותם את המתלוננת, אך לאור יחסי העבודה הממושכים בינו לבינם, ראוי להתייחס לדבריהם בזהירות ובספקנות, כטענת התביעה בסיכומיה. </w:t>
      </w:r>
    </w:p>
    <w:p w14:paraId="3F0ADC77" w14:textId="77777777" w:rsidR="00B23B5A" w:rsidRDefault="00B23B5A">
      <w:pPr>
        <w:spacing w:line="240" w:lineRule="auto"/>
        <w:rPr>
          <w:rFonts w:hint="cs"/>
          <w:b/>
          <w:bCs/>
          <w:sz w:val="24"/>
          <w:szCs w:val="24"/>
          <w:rtl/>
        </w:rPr>
      </w:pPr>
      <w:r>
        <w:rPr>
          <w:rFonts w:hint="cs"/>
          <w:b/>
          <w:bCs/>
          <w:sz w:val="24"/>
          <w:szCs w:val="24"/>
          <w:rtl/>
        </w:rPr>
        <w:tab/>
        <w:t xml:space="preserve">     </w:t>
      </w:r>
    </w:p>
    <w:p w14:paraId="1EB89D9F" w14:textId="77777777" w:rsidR="00B23B5A" w:rsidRDefault="00B23B5A">
      <w:pPr>
        <w:tabs>
          <w:tab w:val="num" w:pos="1080"/>
        </w:tabs>
        <w:spacing w:line="240" w:lineRule="auto"/>
        <w:ind w:left="1080" w:hanging="720"/>
        <w:rPr>
          <w:rFonts w:hint="cs"/>
          <w:b/>
          <w:bCs/>
          <w:sz w:val="24"/>
          <w:szCs w:val="24"/>
          <w:rtl/>
        </w:rPr>
      </w:pPr>
      <w:r>
        <w:rPr>
          <w:b/>
          <w:bCs/>
          <w:sz w:val="24"/>
          <w:szCs w:val="24"/>
          <w:rtl/>
        </w:rPr>
        <w:t>11.</w:t>
      </w:r>
      <w:r w:rsidR="00984BA0">
        <w:rPr>
          <w:b/>
          <w:bCs/>
          <w:sz w:val="24"/>
          <w:szCs w:val="24"/>
          <w:rtl/>
        </w:rPr>
        <w:t xml:space="preserve">             </w:t>
      </w:r>
      <w:r>
        <w:rPr>
          <w:b/>
          <w:bCs/>
          <w:sz w:val="24"/>
          <w:szCs w:val="24"/>
          <w:rtl/>
        </w:rPr>
        <w:t xml:space="preserve"> </w:t>
      </w:r>
      <w:r>
        <w:rPr>
          <w:rFonts w:hint="cs"/>
          <w:b/>
          <w:bCs/>
          <w:sz w:val="24"/>
          <w:szCs w:val="24"/>
          <w:u w:val="single"/>
          <w:rtl/>
        </w:rPr>
        <w:t>עדותו של חולה נפש – מבחני הפסיקה</w:t>
      </w:r>
    </w:p>
    <w:p w14:paraId="2B838ED1" w14:textId="77777777" w:rsidR="00B23B5A" w:rsidRDefault="00B23B5A">
      <w:pPr>
        <w:spacing w:line="240" w:lineRule="auto"/>
        <w:ind w:left="1080"/>
        <w:rPr>
          <w:b/>
          <w:bCs/>
          <w:sz w:val="24"/>
          <w:szCs w:val="24"/>
          <w:rtl/>
        </w:rPr>
      </w:pPr>
      <w:r>
        <w:rPr>
          <w:rFonts w:hint="cs"/>
          <w:b/>
          <w:bCs/>
          <w:sz w:val="24"/>
          <w:szCs w:val="24"/>
          <w:rtl/>
        </w:rPr>
        <w:t>נקודת המוצא של  התביעה הוא שיש לבחון עדותה של המתלוננת על פי המבחנים החלים על עדות הלוקה בנפשו וזאת על אף שהמתלוננת אינה מוגדרת כך לפי חוות הדעת שהוגשה על מצבה הנפשי – ת/3.</w:t>
      </w:r>
    </w:p>
    <w:p w14:paraId="710AA849" w14:textId="77777777" w:rsidR="00B23B5A" w:rsidRDefault="00B23B5A">
      <w:pPr>
        <w:spacing w:line="240" w:lineRule="auto"/>
        <w:ind w:left="1080"/>
        <w:rPr>
          <w:rFonts w:hint="cs"/>
          <w:b/>
          <w:bCs/>
          <w:sz w:val="24"/>
          <w:szCs w:val="24"/>
          <w:rtl/>
        </w:rPr>
      </w:pPr>
      <w:r>
        <w:rPr>
          <w:rFonts w:hint="cs"/>
          <w:b/>
          <w:bCs/>
          <w:sz w:val="24"/>
          <w:szCs w:val="24"/>
          <w:rtl/>
        </w:rPr>
        <w:t>עדותו של הלוקה בנפשו נבחנת בשניים, כושר ההעדה ומשקל העדות. אין חולק לגבי כושרה של המתלוננת למסור עדות עניינית, רצופה ורהוטה והשאלה היא האם עומדת העדות במבחני הפסיקה באשר למשקלה.</w:t>
      </w:r>
    </w:p>
    <w:p w14:paraId="40E6F9D9" w14:textId="77777777" w:rsidR="00B23B5A" w:rsidRDefault="00B23B5A">
      <w:pPr>
        <w:spacing w:line="240" w:lineRule="auto"/>
        <w:ind w:left="1080"/>
        <w:rPr>
          <w:rFonts w:hint="cs"/>
          <w:b/>
          <w:bCs/>
          <w:sz w:val="24"/>
          <w:szCs w:val="24"/>
          <w:rtl/>
        </w:rPr>
      </w:pPr>
      <w:r>
        <w:rPr>
          <w:rFonts w:hint="cs"/>
          <w:b/>
          <w:bCs/>
          <w:sz w:val="24"/>
          <w:szCs w:val="24"/>
          <w:rtl/>
        </w:rPr>
        <w:t>ההלכה בדבר המבחן המשולש לקביעת משקלה של עדות חולה נפש נקבעה ב</w:t>
      </w:r>
      <w:hyperlink r:id="rId17" w:history="1">
        <w:r w:rsidR="00984BA0" w:rsidRPr="00984BA0">
          <w:rPr>
            <w:rStyle w:val="Hyperlink"/>
            <w:rFonts w:hint="eastAsia"/>
            <w:b/>
            <w:bCs/>
            <w:sz w:val="24"/>
            <w:szCs w:val="24"/>
            <w:rtl/>
          </w:rPr>
          <w:t>ע</w:t>
        </w:r>
        <w:r w:rsidR="00984BA0" w:rsidRPr="00984BA0">
          <w:rPr>
            <w:rStyle w:val="Hyperlink"/>
            <w:b/>
            <w:bCs/>
            <w:sz w:val="24"/>
            <w:szCs w:val="24"/>
            <w:rtl/>
          </w:rPr>
          <w:t>"פ 800/85 ברדה נ' מ.י. פ"ד מ</w:t>
        </w:r>
      </w:hyperlink>
      <w:r>
        <w:rPr>
          <w:rFonts w:hint="cs"/>
          <w:b/>
          <w:bCs/>
          <w:sz w:val="24"/>
          <w:szCs w:val="24"/>
          <w:rtl/>
        </w:rPr>
        <w:t>(4) 266 (</w:t>
      </w:r>
      <w:r>
        <w:rPr>
          <w:b/>
          <w:bCs/>
          <w:sz w:val="24"/>
          <w:szCs w:val="24"/>
        </w:rPr>
        <w:t>ס</w:t>
      </w:r>
      <w:r>
        <w:rPr>
          <w:rFonts w:hint="cs"/>
          <w:b/>
          <w:bCs/>
          <w:sz w:val="24"/>
          <w:szCs w:val="24"/>
          <w:rtl/>
        </w:rPr>
        <w:t>עיף 11):</w:t>
      </w:r>
      <w:r>
        <w:rPr>
          <w:b/>
          <w:bCs/>
          <w:color w:val="FFFFFF"/>
          <w:sz w:val="4"/>
          <w:szCs w:val="4"/>
          <w:rtl/>
        </w:rPr>
        <w:t>ו</w:t>
      </w:r>
    </w:p>
    <w:p w14:paraId="780BC116" w14:textId="77777777" w:rsidR="00B23B5A" w:rsidRDefault="00B23B5A">
      <w:pPr>
        <w:spacing w:line="240" w:lineRule="auto"/>
        <w:ind w:left="1080"/>
        <w:rPr>
          <w:rFonts w:hint="cs"/>
          <w:b/>
          <w:bCs/>
          <w:sz w:val="24"/>
          <w:szCs w:val="24"/>
          <w:rtl/>
        </w:rPr>
      </w:pPr>
      <w:r>
        <w:rPr>
          <w:rFonts w:hint="cs"/>
          <w:b/>
          <w:bCs/>
          <w:sz w:val="24"/>
          <w:szCs w:val="24"/>
          <w:rtl/>
        </w:rPr>
        <w:t>"ראשית מבחן ההתרשמות הבלתי אמצעית של בית המשפט מן העד ומן האופן בו הוא מעיד, תוך נתינת הדעת לחוות הדעת הרפואית. שנית, מבחנה הפנימי של העדות. רוצה לומר, בדיקת העדות "על פי סימני האמת העולים מתוכה, כגון הגיונה או חוסר הגיונה הפנימי, סידורם או בלבולם של הפרטים הנמסרים בה וכיוצא באלה סימנים של שכל ישר המביאים אדם בר דעת להתייחס לדברי זולתו באימון"... שלישית, והעיקר מבחנה של העדות על פי סימני אמת חיצוניים "אשר יש בהם, לפי מבחני השכל הישר, כדי להשליך אור על אמיתותה".... כשהמבחן האחרון בא לשמש "שסתום בטחון" לשני המבחנים הראשונים. שאפילו התרשם בית המשפט לטובה מן העד, ומצא בעדותו הגיון פנימי, עדיין קיים חשש ל"הטעייה", שלא יוסר אלא אם נמצא לעדות אימות מהותי ומשמעותי בראיה חיצונית....".</w:t>
      </w:r>
    </w:p>
    <w:p w14:paraId="75FB5F3A" w14:textId="77777777" w:rsidR="00B23B5A" w:rsidRDefault="00B23B5A">
      <w:pPr>
        <w:spacing w:line="240" w:lineRule="auto"/>
        <w:ind w:left="1080"/>
        <w:rPr>
          <w:rFonts w:hint="cs"/>
          <w:b/>
          <w:bCs/>
          <w:sz w:val="24"/>
          <w:szCs w:val="24"/>
          <w:rtl/>
        </w:rPr>
      </w:pPr>
      <w:r>
        <w:rPr>
          <w:rFonts w:hint="cs"/>
          <w:b/>
          <w:bCs/>
          <w:sz w:val="24"/>
          <w:szCs w:val="24"/>
          <w:rtl/>
        </w:rPr>
        <w:t xml:space="preserve">המבחן המשולש חוזר ונשנה בפסיקה, ראה למשל ע"פ 5339/89 מ.י. נ' פלוני דינים עליון כרך נו 924; </w:t>
      </w:r>
      <w:hyperlink r:id="rId18" w:history="1">
        <w:r w:rsidR="00984BA0" w:rsidRPr="00984BA0">
          <w:rPr>
            <w:rStyle w:val="Hyperlink"/>
            <w:rFonts w:hint="eastAsia"/>
            <w:b/>
            <w:bCs/>
            <w:sz w:val="24"/>
            <w:szCs w:val="24"/>
            <w:rtl/>
          </w:rPr>
          <w:t>ע</w:t>
        </w:r>
        <w:r w:rsidR="00984BA0" w:rsidRPr="00984BA0">
          <w:rPr>
            <w:rStyle w:val="Hyperlink"/>
            <w:b/>
            <w:bCs/>
            <w:sz w:val="24"/>
            <w:szCs w:val="24"/>
            <w:rtl/>
          </w:rPr>
          <w:t>"פ 2864/01</w:t>
        </w:r>
      </w:hyperlink>
      <w:r>
        <w:rPr>
          <w:rFonts w:hint="cs"/>
          <w:b/>
          <w:bCs/>
          <w:sz w:val="24"/>
          <w:szCs w:val="24"/>
          <w:rtl/>
        </w:rPr>
        <w:t xml:space="preserve"> מסילתי נ' מ.י. דינים עליון כרך ס' 479.</w:t>
      </w:r>
    </w:p>
    <w:p w14:paraId="47812630" w14:textId="77777777" w:rsidR="00B23B5A" w:rsidRDefault="00B23B5A">
      <w:pPr>
        <w:spacing w:line="240" w:lineRule="auto"/>
        <w:ind w:left="1080"/>
        <w:rPr>
          <w:rFonts w:hint="cs"/>
          <w:b/>
          <w:bCs/>
          <w:sz w:val="24"/>
          <w:szCs w:val="24"/>
          <w:rtl/>
        </w:rPr>
      </w:pPr>
      <w:r>
        <w:rPr>
          <w:rFonts w:hint="cs"/>
          <w:b/>
          <w:bCs/>
          <w:sz w:val="24"/>
          <w:szCs w:val="24"/>
          <w:rtl/>
        </w:rPr>
        <w:t>וטעמו של המבחן בכך "שבחינת עדות כזאת אך ורק על פי הגיונם של הדברים ועל פי טביעת עינו של השופט, אינה יפה... לחקר עולמו העלום של חולה הנפש...". (ברדה נ' מ.י.).</w:t>
      </w:r>
    </w:p>
    <w:p w14:paraId="40A2CB7D" w14:textId="77777777" w:rsidR="00B23B5A" w:rsidRDefault="00B23B5A">
      <w:pPr>
        <w:spacing w:line="240" w:lineRule="auto"/>
        <w:ind w:left="1080"/>
        <w:rPr>
          <w:rFonts w:hint="cs"/>
          <w:b/>
          <w:bCs/>
          <w:sz w:val="24"/>
          <w:szCs w:val="24"/>
          <w:rtl/>
        </w:rPr>
      </w:pPr>
      <w:r>
        <w:rPr>
          <w:rFonts w:hint="cs"/>
          <w:b/>
          <w:bCs/>
          <w:sz w:val="24"/>
          <w:szCs w:val="24"/>
          <w:rtl/>
        </w:rPr>
        <w:t>התביעה וההגנה מפנים בסוגיה זו ל</w:t>
      </w:r>
      <w:hyperlink r:id="rId19" w:history="1">
        <w:r w:rsidR="00984BA0" w:rsidRPr="00984BA0">
          <w:rPr>
            <w:rStyle w:val="Hyperlink"/>
            <w:rFonts w:hint="eastAsia"/>
            <w:b/>
            <w:bCs/>
            <w:sz w:val="24"/>
            <w:szCs w:val="24"/>
            <w:rtl/>
          </w:rPr>
          <w:t>ע</w:t>
        </w:r>
        <w:r w:rsidR="00984BA0" w:rsidRPr="00984BA0">
          <w:rPr>
            <w:rStyle w:val="Hyperlink"/>
            <w:b/>
            <w:bCs/>
            <w:sz w:val="24"/>
            <w:szCs w:val="24"/>
            <w:rtl/>
          </w:rPr>
          <w:t>"פ 5339/98</w:t>
        </w:r>
      </w:hyperlink>
      <w:r>
        <w:rPr>
          <w:rFonts w:hint="cs"/>
          <w:b/>
          <w:bCs/>
          <w:sz w:val="24"/>
          <w:szCs w:val="24"/>
          <w:rtl/>
        </w:rPr>
        <w:t xml:space="preserve"> הנ"ל. התביעה מסתמכת על דבריה של כב' השופטת דורנר, לפיהם יש להותיר לביהמ"ש לקבוע אם לנוכח משקלה העצמי של עדות הלקוי בנפשו דרושה תוספת ראייתית, ומבקשת להסיק מהאמור כי הליקויים הנפשיים מהם סובלת המתלוננת אינם גורעים ממשקל עדותה באופן המצריך תוספת ראייתית.</w:t>
      </w:r>
    </w:p>
    <w:p w14:paraId="40656243" w14:textId="77777777" w:rsidR="00B23B5A" w:rsidRDefault="00B23B5A">
      <w:pPr>
        <w:spacing w:line="240" w:lineRule="auto"/>
        <w:ind w:left="1080"/>
        <w:rPr>
          <w:rFonts w:hint="cs"/>
          <w:b/>
          <w:bCs/>
          <w:sz w:val="24"/>
          <w:szCs w:val="24"/>
          <w:rtl/>
        </w:rPr>
      </w:pPr>
      <w:r>
        <w:rPr>
          <w:rFonts w:hint="cs"/>
          <w:b/>
          <w:bCs/>
          <w:sz w:val="24"/>
          <w:szCs w:val="24"/>
          <w:rtl/>
        </w:rPr>
        <w:t>אכן בענייננו לא נדרשת תוספת ראייתית אך עדיין יש לבחון את העדות על פי המבחן המשולש, כולל הצורך בראיה חיצונית המהווה "שסתום בטחון" לשני המבחנים הראשונים.</w:t>
      </w:r>
    </w:p>
    <w:p w14:paraId="0C7774BE" w14:textId="77777777" w:rsidR="00B23B5A" w:rsidRDefault="00B23B5A">
      <w:pPr>
        <w:spacing w:line="240" w:lineRule="auto"/>
        <w:ind w:left="1080"/>
        <w:rPr>
          <w:rFonts w:hint="cs"/>
          <w:b/>
          <w:bCs/>
          <w:sz w:val="24"/>
          <w:szCs w:val="24"/>
          <w:rtl/>
        </w:rPr>
      </w:pPr>
      <w:r>
        <w:rPr>
          <w:rFonts w:hint="cs"/>
          <w:b/>
          <w:bCs/>
          <w:sz w:val="24"/>
          <w:szCs w:val="24"/>
          <w:rtl/>
        </w:rPr>
        <w:t xml:space="preserve">דבריה של כב' השופטת דורנר לענין התוספת הראייתית נאמרו בהקשר להשוואה בין עדות חולה נפש לעדות קטין שאינו בר אחריות בשל גילו הטעונה דבר לחיזוק (ראה סעיף 14 לפסה"ד </w:t>
      </w:r>
      <w:hyperlink r:id="rId20" w:history="1">
        <w:r w:rsidR="000E6D8A" w:rsidRPr="000E6D8A">
          <w:rPr>
            <w:b/>
            <w:bCs/>
            <w:color w:val="0000FF"/>
            <w:sz w:val="24"/>
            <w:szCs w:val="24"/>
            <w:u w:val="single"/>
            <w:rtl/>
          </w:rPr>
          <w:t>וסעיף 55(ב)</w:t>
        </w:r>
      </w:hyperlink>
      <w:r>
        <w:rPr>
          <w:rFonts w:hint="cs"/>
          <w:b/>
          <w:bCs/>
          <w:sz w:val="24"/>
          <w:szCs w:val="24"/>
          <w:rtl/>
        </w:rPr>
        <w:t xml:space="preserve"> ל</w:t>
      </w:r>
      <w:hyperlink r:id="rId21" w:history="1">
        <w:r w:rsidR="00984BA0" w:rsidRPr="00984BA0">
          <w:rPr>
            <w:rStyle w:val="Hyperlink"/>
            <w:rFonts w:hint="eastAsia"/>
            <w:b/>
            <w:bCs/>
            <w:sz w:val="24"/>
            <w:szCs w:val="24"/>
            <w:rtl/>
          </w:rPr>
          <w:t>פקודת</w:t>
        </w:r>
        <w:r w:rsidR="00984BA0" w:rsidRPr="00984BA0">
          <w:rPr>
            <w:rStyle w:val="Hyperlink"/>
            <w:b/>
            <w:bCs/>
            <w:sz w:val="24"/>
            <w:szCs w:val="24"/>
            <w:rtl/>
          </w:rPr>
          <w:t xml:space="preserve"> הראיות</w:t>
        </w:r>
      </w:hyperlink>
      <w:r>
        <w:rPr>
          <w:rFonts w:hint="cs"/>
          <w:b/>
          <w:bCs/>
          <w:sz w:val="24"/>
          <w:szCs w:val="24"/>
          <w:rtl/>
        </w:rPr>
        <w:t>).</w:t>
      </w:r>
    </w:p>
    <w:p w14:paraId="5DC64CAD" w14:textId="77777777" w:rsidR="00B23B5A" w:rsidRDefault="00B23B5A">
      <w:pPr>
        <w:spacing w:line="240" w:lineRule="auto"/>
        <w:ind w:left="1080"/>
        <w:rPr>
          <w:rFonts w:hint="cs"/>
          <w:b/>
          <w:bCs/>
          <w:sz w:val="24"/>
          <w:szCs w:val="24"/>
          <w:rtl/>
        </w:rPr>
      </w:pPr>
      <w:r>
        <w:rPr>
          <w:rFonts w:hint="cs"/>
          <w:b/>
          <w:bCs/>
          <w:sz w:val="24"/>
          <w:szCs w:val="24"/>
          <w:rtl/>
        </w:rPr>
        <w:t>זאת ועוד, ב</w:t>
      </w:r>
      <w:hyperlink r:id="rId22" w:history="1">
        <w:r w:rsidR="00984BA0" w:rsidRPr="00984BA0">
          <w:rPr>
            <w:rStyle w:val="Hyperlink"/>
            <w:rFonts w:hint="eastAsia"/>
            <w:b/>
            <w:bCs/>
            <w:sz w:val="24"/>
            <w:szCs w:val="24"/>
            <w:rtl/>
          </w:rPr>
          <w:t>ע</w:t>
        </w:r>
        <w:r w:rsidR="00984BA0" w:rsidRPr="00984BA0">
          <w:rPr>
            <w:rStyle w:val="Hyperlink"/>
            <w:b/>
            <w:bCs/>
            <w:sz w:val="24"/>
            <w:szCs w:val="24"/>
            <w:rtl/>
          </w:rPr>
          <w:t>"פ 5339/98</w:t>
        </w:r>
      </w:hyperlink>
      <w:r>
        <w:rPr>
          <w:rFonts w:hint="cs"/>
          <w:b/>
          <w:bCs/>
          <w:sz w:val="24"/>
          <w:szCs w:val="24"/>
          <w:rtl/>
        </w:rPr>
        <w:t xml:space="preserve"> הנ"ל, נמצאה ראיה אוביקטיבית אשר תמכה בסיפורה של המתלוננת (שם, סעיף 15).</w:t>
      </w:r>
    </w:p>
    <w:p w14:paraId="1B7876C5" w14:textId="77777777" w:rsidR="00B23B5A" w:rsidRDefault="00B23B5A">
      <w:pPr>
        <w:spacing w:line="240" w:lineRule="auto"/>
        <w:ind w:left="1080"/>
        <w:rPr>
          <w:rFonts w:hint="cs"/>
          <w:b/>
          <w:bCs/>
          <w:sz w:val="24"/>
          <w:szCs w:val="24"/>
          <w:rtl/>
        </w:rPr>
      </w:pPr>
      <w:r>
        <w:rPr>
          <w:rFonts w:hint="cs"/>
          <w:b/>
          <w:bCs/>
          <w:sz w:val="24"/>
          <w:szCs w:val="24"/>
          <w:rtl/>
        </w:rPr>
        <w:t xml:space="preserve"> </w:t>
      </w:r>
    </w:p>
    <w:p w14:paraId="777128F2" w14:textId="77777777" w:rsidR="00B23B5A" w:rsidRDefault="00B23B5A">
      <w:pPr>
        <w:tabs>
          <w:tab w:val="num" w:pos="1080"/>
        </w:tabs>
        <w:spacing w:line="240" w:lineRule="auto"/>
        <w:ind w:left="1080" w:hanging="720"/>
        <w:rPr>
          <w:b/>
          <w:bCs/>
          <w:sz w:val="24"/>
          <w:szCs w:val="24"/>
          <w:rtl/>
        </w:rPr>
      </w:pPr>
      <w:r>
        <w:rPr>
          <w:b/>
          <w:bCs/>
          <w:sz w:val="24"/>
          <w:szCs w:val="24"/>
          <w:rtl/>
        </w:rPr>
        <w:t>12.</w:t>
      </w:r>
      <w:r w:rsidR="00984BA0">
        <w:rPr>
          <w:b/>
          <w:bCs/>
          <w:sz w:val="24"/>
          <w:szCs w:val="24"/>
          <w:rtl/>
        </w:rPr>
        <w:t xml:space="preserve">             </w:t>
      </w:r>
      <w:r>
        <w:rPr>
          <w:b/>
          <w:bCs/>
          <w:sz w:val="24"/>
          <w:szCs w:val="24"/>
          <w:rtl/>
        </w:rPr>
        <w:t xml:space="preserve"> </w:t>
      </w:r>
      <w:r>
        <w:rPr>
          <w:rFonts w:hint="cs"/>
          <w:b/>
          <w:bCs/>
          <w:sz w:val="24"/>
          <w:szCs w:val="24"/>
          <w:u w:val="single"/>
          <w:rtl/>
        </w:rPr>
        <w:t>בחינת עדותה של המתלוננת על פי מבחני הפסוקה</w:t>
      </w:r>
    </w:p>
    <w:p w14:paraId="4B3CD3C2" w14:textId="77777777" w:rsidR="00B23B5A" w:rsidRDefault="00B23B5A">
      <w:pPr>
        <w:spacing w:line="240" w:lineRule="auto"/>
        <w:ind w:left="1440" w:hanging="360"/>
        <w:rPr>
          <w:b/>
          <w:bCs/>
          <w:sz w:val="24"/>
          <w:szCs w:val="24"/>
          <w:rtl/>
        </w:rPr>
      </w:pPr>
      <w:r>
        <w:rPr>
          <w:rFonts w:hint="cs"/>
          <w:b/>
          <w:bCs/>
          <w:sz w:val="24"/>
          <w:szCs w:val="24"/>
          <w:rtl/>
        </w:rPr>
        <w:t>א.</w:t>
      </w:r>
      <w:r>
        <w:rPr>
          <w:rFonts w:hint="cs"/>
          <w:b/>
          <w:bCs/>
          <w:sz w:val="24"/>
          <w:szCs w:val="24"/>
          <w:rtl/>
        </w:rPr>
        <w:tab/>
        <w:t>ניתן לומר שהמתלוננת עמדה בהצלחה בשני המבחנים הראשונים ואף ההגנה אינה חולקת על כך ראה סיכומיה עמ' 87 ש' 14 ואילך.</w:t>
      </w:r>
    </w:p>
    <w:p w14:paraId="77949F73" w14:textId="77777777" w:rsidR="00B23B5A" w:rsidRDefault="00B23B5A">
      <w:pPr>
        <w:spacing w:line="240" w:lineRule="auto"/>
        <w:ind w:left="1440" w:hanging="420"/>
        <w:rPr>
          <w:rFonts w:hint="cs"/>
          <w:b/>
          <w:bCs/>
          <w:sz w:val="24"/>
          <w:szCs w:val="24"/>
          <w:rtl/>
        </w:rPr>
      </w:pPr>
      <w:r>
        <w:rPr>
          <w:rFonts w:hint="cs"/>
          <w:b/>
          <w:bCs/>
          <w:sz w:val="24"/>
          <w:szCs w:val="24"/>
          <w:rtl/>
        </w:rPr>
        <w:t>ב.</w:t>
      </w:r>
      <w:r>
        <w:rPr>
          <w:rFonts w:hint="cs"/>
          <w:b/>
          <w:bCs/>
          <w:sz w:val="24"/>
          <w:szCs w:val="24"/>
          <w:rtl/>
        </w:rPr>
        <w:tab/>
        <w:t>בצד השבחים שחלק הסניגור למתלוננת על הרושם הטוב שהותירה עדותה, הוא מונה מספר סתירות ותמיהות העולות מגירסתה – ראה תגובה בכתב לסיכומי התביעה עמ' 4 וזו עיקרן;</w:t>
      </w:r>
    </w:p>
    <w:p w14:paraId="1BB60726" w14:textId="77777777" w:rsidR="00B23B5A" w:rsidRDefault="00B23B5A">
      <w:pPr>
        <w:spacing w:line="240" w:lineRule="auto"/>
        <w:ind w:left="1440"/>
        <w:rPr>
          <w:rFonts w:hint="cs"/>
          <w:b/>
          <w:bCs/>
          <w:sz w:val="24"/>
          <w:szCs w:val="24"/>
          <w:rtl/>
        </w:rPr>
      </w:pPr>
      <w:r>
        <w:rPr>
          <w:rFonts w:hint="cs"/>
          <w:b/>
          <w:bCs/>
          <w:sz w:val="24"/>
          <w:szCs w:val="24"/>
          <w:rtl/>
        </w:rPr>
        <w:t>שוני בגירסת המתלוננת בביהמ"ש לעומת הודעתה ודבריה בעימות, לעניין תנועותיו של הנאשם בעת שניסה להרים את חולצתה – האם ניסה לפתוח את חולצתה או רק הרים אותה; השתלשלות הדברים כפי שבאו לידי ביטוי בהודעתה – סיפרה תחילה על ההטרדות ורק בהמשך על המעשה המגונה שבגינו הגיעה להתלונן; טענת המתלוננת שהיו עדים להטרדותיו של הנאשם בעוד אלה מכחישים זאת; התייחסות שונה של המתלוננת לנוכחות אשת הנאשם בחנות בהודעתה ובעדותה.</w:t>
      </w:r>
    </w:p>
    <w:p w14:paraId="313D06C3" w14:textId="77777777" w:rsidR="00B23B5A" w:rsidRDefault="00B23B5A">
      <w:pPr>
        <w:spacing w:line="240" w:lineRule="auto"/>
        <w:ind w:left="1440"/>
        <w:rPr>
          <w:rFonts w:hint="cs"/>
          <w:b/>
          <w:bCs/>
          <w:sz w:val="24"/>
          <w:szCs w:val="24"/>
          <w:rtl/>
        </w:rPr>
      </w:pPr>
      <w:r>
        <w:rPr>
          <w:rFonts w:hint="cs"/>
          <w:b/>
          <w:bCs/>
          <w:sz w:val="24"/>
          <w:szCs w:val="24"/>
          <w:rtl/>
        </w:rPr>
        <w:t>התביעה התייחסה באריכות לנקודות אלה בסיכומיה ואני מקבלת עמדתה שלא מדובר בסתירות מהותיות וניתן לתרצן באופן סביר והגיוני.</w:t>
      </w:r>
    </w:p>
    <w:p w14:paraId="0D392509" w14:textId="77777777" w:rsidR="00B23B5A" w:rsidRDefault="00B23B5A">
      <w:pPr>
        <w:spacing w:line="240" w:lineRule="auto"/>
        <w:ind w:left="1440" w:hanging="360"/>
        <w:rPr>
          <w:rFonts w:hint="cs"/>
          <w:b/>
          <w:bCs/>
          <w:sz w:val="24"/>
          <w:szCs w:val="24"/>
          <w:rtl/>
        </w:rPr>
      </w:pPr>
      <w:r>
        <w:rPr>
          <w:rFonts w:hint="cs"/>
          <w:b/>
          <w:bCs/>
          <w:sz w:val="24"/>
          <w:szCs w:val="24"/>
          <w:rtl/>
        </w:rPr>
        <w:t xml:space="preserve">ג. </w:t>
      </w:r>
      <w:r>
        <w:rPr>
          <w:rFonts w:hint="cs"/>
          <w:b/>
          <w:bCs/>
          <w:sz w:val="24"/>
          <w:szCs w:val="24"/>
          <w:rtl/>
        </w:rPr>
        <w:tab/>
        <w:t>הקושי באימוץ גירסתה של המתלוננת והשתתת הרשעה על עדותה היחידה, נעוץ באי קיומן של ראיות תומכות להן מיוחס משקל מיוחד כשמדובר בעדות חולה נפש.</w:t>
      </w:r>
    </w:p>
    <w:p w14:paraId="644E749A" w14:textId="77777777" w:rsidR="00B23B5A" w:rsidRDefault="00B23B5A">
      <w:pPr>
        <w:spacing w:line="240" w:lineRule="auto"/>
        <w:ind w:left="1440"/>
        <w:rPr>
          <w:rFonts w:hint="cs"/>
          <w:b/>
          <w:bCs/>
          <w:sz w:val="24"/>
          <w:szCs w:val="24"/>
          <w:rtl/>
        </w:rPr>
      </w:pPr>
      <w:r>
        <w:rPr>
          <w:rFonts w:hint="cs"/>
          <w:b/>
          <w:bCs/>
          <w:sz w:val="24"/>
          <w:szCs w:val="24"/>
          <w:rtl/>
        </w:rPr>
        <w:t>לטענת התביעה, עדותה של ליאת והגשת התלונה מהווים את התמיכה הדרושה לעדות המתלוננת, ואינני סבורה שדי בכך, ואנמק:</w:t>
      </w:r>
      <w:r>
        <w:rPr>
          <w:b/>
          <w:bCs/>
          <w:color w:val="FFFFFF"/>
          <w:sz w:val="4"/>
          <w:szCs w:val="4"/>
          <w:rtl/>
        </w:rPr>
        <w:t>נ</w:t>
      </w:r>
    </w:p>
    <w:p w14:paraId="30DC29D6" w14:textId="77777777" w:rsidR="00B23B5A" w:rsidRDefault="00B23B5A">
      <w:pPr>
        <w:spacing w:line="240" w:lineRule="auto"/>
        <w:ind w:left="1440"/>
        <w:rPr>
          <w:rFonts w:hint="cs"/>
          <w:b/>
          <w:bCs/>
          <w:sz w:val="24"/>
          <w:szCs w:val="24"/>
          <w:rtl/>
        </w:rPr>
      </w:pPr>
      <w:r>
        <w:rPr>
          <w:rFonts w:hint="cs"/>
          <w:b/>
          <w:bCs/>
          <w:sz w:val="24"/>
          <w:szCs w:val="24"/>
          <w:rtl/>
        </w:rPr>
        <w:t>ליאת אכן העידה על סערת נפשה של המתלוננת בשעת השיחה הטלפונית ביניהן, אולם מכל הידוע אודות המתלוננת נראה שמצב זה חוזר על עצמו בסיטואציות שונות. שתי המטפלות של המתלוננת, ליאת ואפי זיו מציינות את מצבי המתח והריגוש אליהם היא נקלעת לעיתים תכופות. גם בתיעוד הרפואי ניתן למצוא אישור למצב נפשי דומה. המתלוננת עצמה מספרת על רוחה הנסערת באותו ארוע עקב השיחה הטלפונית עם אלונה.</w:t>
      </w:r>
    </w:p>
    <w:p w14:paraId="093DD42E" w14:textId="77777777" w:rsidR="00B23B5A" w:rsidRDefault="00B23B5A">
      <w:pPr>
        <w:spacing w:line="240" w:lineRule="auto"/>
        <w:ind w:left="1440"/>
        <w:rPr>
          <w:rFonts w:hint="cs"/>
          <w:b/>
          <w:bCs/>
          <w:sz w:val="24"/>
          <w:szCs w:val="24"/>
          <w:rtl/>
        </w:rPr>
      </w:pPr>
      <w:r>
        <w:rPr>
          <w:rFonts w:hint="cs"/>
          <w:b/>
          <w:bCs/>
          <w:sz w:val="24"/>
          <w:szCs w:val="24"/>
          <w:rtl/>
        </w:rPr>
        <w:t>זאת ועוד, לא ניתן לטעמי להתעלם מדבריה של ליאת במשטרה כי המתלוננת דיברה באותה שיחה על אונס. ליאת הסבירה אמנם שאין לייחס משמעות לאמירה זו שכן המתלוננת לא נכנסה לפרטי המקרה באותה שיחה. אם אקבל את ההסבר של ליאת, הרי שלמעט מצב נפשי נרגש בו היתה שרויה המתלוננת, לא ניתן למצוא בשיחה שום פרט הנקשר לסיפור המעשה שבא מפי המתלוננת לאחר מכן, למעט העובדה שהמקרה ארע במקום עבודתה.</w:t>
      </w:r>
    </w:p>
    <w:p w14:paraId="2401AF98" w14:textId="77777777" w:rsidR="00B23B5A" w:rsidRDefault="00B23B5A">
      <w:pPr>
        <w:spacing w:line="240" w:lineRule="auto"/>
        <w:ind w:left="1440"/>
        <w:rPr>
          <w:rFonts w:hint="cs"/>
          <w:b/>
          <w:bCs/>
          <w:sz w:val="24"/>
          <w:szCs w:val="24"/>
          <w:rtl/>
        </w:rPr>
      </w:pPr>
      <w:r>
        <w:rPr>
          <w:rFonts w:hint="cs"/>
          <w:b/>
          <w:bCs/>
          <w:sz w:val="24"/>
          <w:szCs w:val="24"/>
          <w:rtl/>
        </w:rPr>
        <w:t xml:space="preserve">ובאשר להגשת התלונה המיידית כטענת התביעה, בה היא רואה תמיכה לעדות המתלוננת, יש לציין קודם כל כי התלונה הוגשה ביום א' בערב דהיינו לא מדובר בתלונה מיידית. </w:t>
      </w:r>
    </w:p>
    <w:p w14:paraId="6FBA2D9D" w14:textId="77777777" w:rsidR="00B23B5A" w:rsidRDefault="00B23B5A">
      <w:pPr>
        <w:spacing w:line="240" w:lineRule="auto"/>
        <w:ind w:left="1440"/>
        <w:rPr>
          <w:rFonts w:hint="cs"/>
          <w:b/>
          <w:bCs/>
          <w:sz w:val="24"/>
          <w:szCs w:val="24"/>
          <w:rtl/>
        </w:rPr>
      </w:pPr>
      <w:r>
        <w:rPr>
          <w:rFonts w:hint="cs"/>
          <w:b/>
          <w:bCs/>
          <w:sz w:val="24"/>
          <w:szCs w:val="24"/>
          <w:rtl/>
        </w:rPr>
        <w:t>זאת ועוד, לא הובאה כל ראיה ממנה ניתן ללמוד על מעשיה וקורותיה של המתלוננת מאז השיחה עם ליאת ועד להגשת התלונה. כזכור ליאת סרבה לפגוש את המתלוננת וזו נותרה ככל הנראה  ברכבה בקרבת החנות. אין לנו כל מידע וגם לא מפי המתלוננת עצמה, מה עשתה מאז סיום השיחה עם ליאת ועד הגעתה למשטרה. ידוע לנו שהמתלוננת לוותה ע"י עובדת המרכז אך זו לא הוזמנה להעיד. החוקרת שגבתה הודעתה העידה ששוחחו עימה לפני הגעת המתלוננת למשטרה וככל הנראה סופר לה תוכן הארוע, אך היא לא זכרה מי שוחח עימה ומה נאמר לה.</w:t>
      </w:r>
    </w:p>
    <w:p w14:paraId="5474C03E" w14:textId="77777777" w:rsidR="00B23B5A" w:rsidRDefault="00B23B5A">
      <w:pPr>
        <w:spacing w:line="240" w:lineRule="auto"/>
        <w:ind w:left="1440"/>
        <w:rPr>
          <w:rFonts w:hint="cs"/>
          <w:b/>
          <w:bCs/>
          <w:sz w:val="24"/>
          <w:szCs w:val="24"/>
          <w:rtl/>
        </w:rPr>
      </w:pPr>
      <w:r>
        <w:rPr>
          <w:rFonts w:hint="cs"/>
          <w:b/>
          <w:bCs/>
          <w:sz w:val="24"/>
          <w:szCs w:val="24"/>
          <w:rtl/>
        </w:rPr>
        <w:t>יודגש כי שתי המטפלות של המתלוננת לא ידעו דבר על הגשת התלונה ונתון זה מעמיד בספק את טענת ההגנה שבהגשת התלונה ביקשה המתלוננת לרצות את ליאת ואת המרכז על מנת שתוכל להמשיך את הקשר עם ליאת. יחד עם זאת, לא מצאתי בראיות התביעה נתונים כלשהם שיבהירו את אותה נקודת המפנה בגישתה של המתלוננת שהביאה אותה להחלטה להתלונן במשטרה לגבי הארוע נשוא דיוננו כשבעבר לא עשתה כן לגבי פגיעות חמורות יותר שחלקן ארעו בתקופה שבה טופלה כבר ע"י גב' זיו והסתייעה בליאת.</w:t>
      </w:r>
    </w:p>
    <w:p w14:paraId="1DFFED0E" w14:textId="77777777" w:rsidR="00B23B5A" w:rsidRDefault="00B23B5A">
      <w:pPr>
        <w:spacing w:line="240" w:lineRule="auto"/>
        <w:ind w:left="720" w:firstLine="720"/>
        <w:rPr>
          <w:rFonts w:hint="cs"/>
          <w:b/>
          <w:bCs/>
          <w:sz w:val="24"/>
          <w:szCs w:val="24"/>
          <w:rtl/>
        </w:rPr>
      </w:pPr>
      <w:r>
        <w:rPr>
          <w:rFonts w:hint="cs"/>
          <w:b/>
          <w:bCs/>
          <w:sz w:val="24"/>
          <w:szCs w:val="24"/>
          <w:rtl/>
        </w:rPr>
        <w:t>הגשת התלונה בנסיבות שכאלה אלה בגדר "סימני אמת חיצוניים".</w:t>
      </w:r>
    </w:p>
    <w:p w14:paraId="7E360674" w14:textId="77777777" w:rsidR="00B23B5A" w:rsidRDefault="00B23B5A">
      <w:pPr>
        <w:spacing w:line="240" w:lineRule="auto"/>
        <w:ind w:left="1440"/>
        <w:rPr>
          <w:rFonts w:hint="cs"/>
          <w:b/>
          <w:bCs/>
          <w:sz w:val="24"/>
          <w:szCs w:val="24"/>
          <w:rtl/>
        </w:rPr>
      </w:pPr>
      <w:r>
        <w:rPr>
          <w:rFonts w:hint="cs"/>
          <w:b/>
          <w:bCs/>
          <w:sz w:val="24"/>
          <w:szCs w:val="24"/>
          <w:rtl/>
        </w:rPr>
        <w:t>לעניין הראיות התומכות אזכיר עוד את הודעתה של אלונה שהוגשה מטעם ההגנה המאשרת את המריבה עליה סיפרה המתלוננת. לטעמי אין בעדות זו כדי לתמוך בדיברי המתלוננת אודות מעשיו של הנאשם.</w:t>
      </w:r>
    </w:p>
    <w:p w14:paraId="79A27E35" w14:textId="77777777" w:rsidR="00B23B5A" w:rsidRDefault="00984BA0">
      <w:pPr>
        <w:spacing w:line="240" w:lineRule="auto"/>
        <w:ind w:left="1440"/>
        <w:rPr>
          <w:b/>
          <w:bCs/>
          <w:sz w:val="24"/>
          <w:szCs w:val="24"/>
          <w:rtl/>
        </w:rPr>
      </w:pPr>
      <w:r>
        <w:rPr>
          <w:rFonts w:hint="cs"/>
          <w:b/>
          <w:bCs/>
          <w:sz w:val="24"/>
          <w:szCs w:val="24"/>
          <w:rtl/>
        </w:rPr>
        <w:t xml:space="preserve"> </w:t>
      </w:r>
    </w:p>
    <w:p w14:paraId="69D0B103" w14:textId="77777777" w:rsidR="00B23B5A" w:rsidRDefault="00B23B5A">
      <w:pPr>
        <w:spacing w:line="240" w:lineRule="auto"/>
        <w:ind w:left="720" w:hanging="720"/>
        <w:rPr>
          <w:rFonts w:hint="cs"/>
          <w:b/>
          <w:bCs/>
          <w:sz w:val="24"/>
          <w:szCs w:val="24"/>
          <w:rtl/>
        </w:rPr>
      </w:pPr>
      <w:r>
        <w:rPr>
          <w:rFonts w:hint="cs"/>
          <w:b/>
          <w:bCs/>
          <w:sz w:val="24"/>
          <w:szCs w:val="24"/>
          <w:rtl/>
        </w:rPr>
        <w:t>13.</w:t>
      </w:r>
      <w:r>
        <w:rPr>
          <w:rFonts w:hint="cs"/>
          <w:b/>
          <w:bCs/>
          <w:sz w:val="24"/>
          <w:szCs w:val="24"/>
          <w:rtl/>
        </w:rPr>
        <w:tab/>
        <w:t>וכך בסיכומם של דברים, נותרה עדותה של המתלוננת כעדות יחידה ומכל הטעמים שהעליתי, הגעתי למסקנה שמדובר במקרה גבולי ומשכך נותר ספק מה הפועל לטובת הנאשם ולפיכך הנני מזכה אותו מהעבירות המיוחסות לו.</w:t>
      </w:r>
    </w:p>
    <w:p w14:paraId="0623A060" w14:textId="77777777" w:rsidR="00B23B5A" w:rsidRDefault="00984BA0">
      <w:pPr>
        <w:spacing w:line="240" w:lineRule="auto"/>
        <w:ind w:left="720" w:hanging="720"/>
        <w:rPr>
          <w:rFonts w:hint="cs"/>
          <w:b/>
          <w:bCs/>
          <w:sz w:val="24"/>
          <w:szCs w:val="24"/>
          <w:rtl/>
        </w:rPr>
      </w:pPr>
      <w:r>
        <w:rPr>
          <w:rFonts w:hint="cs"/>
          <w:b/>
          <w:bCs/>
          <w:sz w:val="24"/>
          <w:szCs w:val="24"/>
          <w:rtl/>
        </w:rPr>
        <w:t xml:space="preserve"> </w:t>
      </w:r>
    </w:p>
    <w:p w14:paraId="1FCC4603" w14:textId="77777777" w:rsidR="00B23B5A" w:rsidRDefault="00B23B5A">
      <w:pPr>
        <w:spacing w:line="240" w:lineRule="auto"/>
        <w:rPr>
          <w:rFonts w:hint="cs"/>
          <w:b/>
          <w:bCs/>
          <w:sz w:val="24"/>
          <w:szCs w:val="24"/>
          <w:rtl/>
        </w:rPr>
      </w:pPr>
      <w:r>
        <w:rPr>
          <w:rFonts w:hint="cs"/>
          <w:b/>
          <w:bCs/>
          <w:sz w:val="24"/>
          <w:szCs w:val="24"/>
          <w:rtl/>
        </w:rPr>
        <w:t xml:space="preserve">זכות ערעור תוך 45 יום מהיום. </w:t>
      </w:r>
    </w:p>
    <w:p w14:paraId="7AA6B156" w14:textId="77777777" w:rsidR="00B23B5A" w:rsidRDefault="00984BA0">
      <w:pPr>
        <w:spacing w:line="240" w:lineRule="auto"/>
        <w:rPr>
          <w:rFonts w:hint="cs"/>
          <w:sz w:val="24"/>
          <w:szCs w:val="24"/>
          <w:rtl/>
        </w:rPr>
      </w:pPr>
      <w:r>
        <w:rPr>
          <w:sz w:val="24"/>
          <w:szCs w:val="24"/>
          <w:rtl/>
        </w:rPr>
        <w:t xml:space="preserve"> </w:t>
      </w:r>
    </w:p>
    <w:p w14:paraId="67EE1EAF" w14:textId="77777777" w:rsidR="00B23B5A" w:rsidRDefault="00B23B5A">
      <w:pPr>
        <w:spacing w:line="240" w:lineRule="auto"/>
        <w:rPr>
          <w:b/>
          <w:bCs/>
          <w:sz w:val="24"/>
          <w:szCs w:val="24"/>
          <w:rtl/>
        </w:rPr>
      </w:pPr>
      <w:bookmarkStart w:id="8" w:name="Decision1"/>
      <w:r>
        <w:rPr>
          <w:rFonts w:hint="cs"/>
          <w:b/>
          <w:bCs/>
          <w:sz w:val="24"/>
          <w:szCs w:val="24"/>
          <w:rtl/>
        </w:rPr>
        <w:t>ניתנה היום ט' בתמוז, תשס"ב (19 ביוני 2002) במעמד הצדדים.</w:t>
      </w:r>
    </w:p>
    <w:p w14:paraId="351C15E3" w14:textId="77777777" w:rsidR="00B23B5A" w:rsidRDefault="00984BA0">
      <w:pPr>
        <w:spacing w:line="240" w:lineRule="auto"/>
        <w:rPr>
          <w:rFonts w:hint="cs"/>
          <w:sz w:val="24"/>
          <w:szCs w:val="24"/>
          <w:rtl/>
        </w:rPr>
      </w:pPr>
      <w:r>
        <w:rPr>
          <w:rFonts w:hint="cs"/>
          <w:sz w:val="24"/>
          <w:szCs w:val="24"/>
          <w:rtl/>
        </w:rPr>
        <w:t xml:space="preserve"> </w:t>
      </w:r>
    </w:p>
    <w:p w14:paraId="1180780A" w14:textId="77777777" w:rsidR="00B23B5A" w:rsidRDefault="00B23B5A">
      <w:pPr>
        <w:spacing w:line="240" w:lineRule="auto"/>
        <w:rPr>
          <w:rFonts w:hint="cs"/>
          <w:sz w:val="24"/>
          <w:szCs w:val="24"/>
          <w:rtl/>
        </w:rPr>
      </w:pPr>
      <w:r>
        <w:rPr>
          <w:rFonts w:hint="cs"/>
          <w:sz w:val="24"/>
          <w:szCs w:val="24"/>
          <w:rtl/>
        </w:rPr>
        <w:t xml:space="preserve">                                                                                </w:t>
      </w:r>
    </w:p>
    <w:tbl>
      <w:tblPr>
        <w:tblW w:w="0" w:type="auto"/>
        <w:tblInd w:w="5444" w:type="dxa"/>
        <w:tblBorders>
          <w:top w:val="single" w:sz="4" w:space="0" w:color="auto"/>
        </w:tblBorders>
        <w:tblLook w:val="0000" w:firstRow="0" w:lastRow="0" w:firstColumn="0" w:lastColumn="0" w:noHBand="0" w:noVBand="0"/>
      </w:tblPr>
      <w:tblGrid>
        <w:gridCol w:w="3085"/>
      </w:tblGrid>
      <w:tr w:rsidR="00B23B5A" w14:paraId="7B430495" w14:textId="77777777">
        <w:tc>
          <w:tcPr>
            <w:tcW w:w="3085" w:type="dxa"/>
            <w:tcBorders>
              <w:top w:val="single" w:sz="4" w:space="0" w:color="auto"/>
              <w:left w:val="nil"/>
              <w:bottom w:val="nil"/>
              <w:right w:val="nil"/>
            </w:tcBorders>
          </w:tcPr>
          <w:p w14:paraId="0889D18E" w14:textId="77777777" w:rsidR="00B23B5A" w:rsidRDefault="00B23B5A">
            <w:pPr>
              <w:spacing w:line="240" w:lineRule="auto"/>
              <w:jc w:val="center"/>
              <w:rPr>
                <w:rFonts w:hint="cs"/>
                <w:b/>
                <w:bCs/>
                <w:color w:val="FFFFFF"/>
                <w:sz w:val="4"/>
                <w:szCs w:val="4"/>
                <w:rtl/>
              </w:rPr>
            </w:pPr>
          </w:p>
          <w:p w14:paraId="2A38F7B9" w14:textId="77777777" w:rsidR="00B23B5A" w:rsidRDefault="00B23B5A">
            <w:pPr>
              <w:spacing w:line="240" w:lineRule="auto"/>
              <w:jc w:val="center"/>
              <w:rPr>
                <w:rFonts w:hint="cs"/>
                <w:b/>
                <w:bCs/>
                <w:color w:val="FFFFFF"/>
                <w:sz w:val="4"/>
                <w:szCs w:val="4"/>
                <w:rtl/>
              </w:rPr>
            </w:pPr>
            <w:r>
              <w:rPr>
                <w:b/>
                <w:bCs/>
                <w:color w:val="FFFFFF"/>
                <w:sz w:val="4"/>
                <w:szCs w:val="4"/>
                <w:rtl/>
              </w:rPr>
              <w:t>5129371</w:t>
            </w:r>
          </w:p>
          <w:p w14:paraId="66844474" w14:textId="77777777" w:rsidR="00B23B5A" w:rsidRDefault="00B23B5A">
            <w:pPr>
              <w:spacing w:line="240" w:lineRule="auto"/>
              <w:jc w:val="center"/>
              <w:rPr>
                <w:b/>
                <w:bCs/>
                <w:sz w:val="24"/>
                <w:szCs w:val="24"/>
              </w:rPr>
            </w:pPr>
            <w:r>
              <w:rPr>
                <w:rFonts w:hint="cs"/>
                <w:b/>
                <w:bCs/>
                <w:sz w:val="24"/>
                <w:szCs w:val="24"/>
                <w:rtl/>
              </w:rPr>
              <w:t>גרינברג רחל, שופטת</w:t>
            </w:r>
          </w:p>
        </w:tc>
      </w:tr>
    </w:tbl>
    <w:bookmarkEnd w:id="8"/>
    <w:p w14:paraId="5513BE4A" w14:textId="77777777" w:rsidR="00B23B5A" w:rsidRDefault="00984BA0">
      <w:pPr>
        <w:spacing w:line="240" w:lineRule="auto"/>
        <w:rPr>
          <w:rFonts w:hint="cs"/>
          <w:sz w:val="24"/>
          <w:szCs w:val="24"/>
          <w:rtl/>
        </w:rPr>
      </w:pPr>
      <w:r>
        <w:rPr>
          <w:rFonts w:hint="cs"/>
          <w:sz w:val="24"/>
          <w:szCs w:val="24"/>
          <w:rtl/>
        </w:rPr>
        <w:t xml:space="preserve"> </w:t>
      </w:r>
    </w:p>
    <w:p w14:paraId="717807F4" w14:textId="77777777" w:rsidR="00B23B5A" w:rsidRDefault="00B23B5A">
      <w:pPr>
        <w:spacing w:line="240" w:lineRule="auto"/>
        <w:rPr>
          <w:rFonts w:hint="cs"/>
          <w:sz w:val="24"/>
          <w:szCs w:val="24"/>
          <w:rtl/>
        </w:rPr>
      </w:pPr>
    </w:p>
    <w:p w14:paraId="24D60B23" w14:textId="77777777" w:rsidR="00B23B5A" w:rsidRDefault="00B23B5A">
      <w:pPr>
        <w:spacing w:line="240" w:lineRule="auto"/>
        <w:rPr>
          <w:rFonts w:hint="cs"/>
          <w:sz w:val="24"/>
          <w:szCs w:val="24"/>
          <w:rtl/>
        </w:rPr>
      </w:pPr>
      <w:r>
        <w:rPr>
          <w:sz w:val="24"/>
          <w:szCs w:val="24"/>
          <w:rtl/>
        </w:rPr>
        <w:t>נוסח זה כפוף לשינויי עריכה וניסוח</w:t>
      </w:r>
    </w:p>
    <w:sectPr w:rsidR="00B23B5A">
      <w:headerReference w:type="even" r:id="rId23"/>
      <w:headerReference w:type="default" r:id="rId24"/>
      <w:footerReference w:type="even" r:id="rId25"/>
      <w:footerReference w:type="default" r:id="rId26"/>
      <w:endnotePr>
        <w:numFmt w:val="lowerLetter"/>
      </w:endnotePr>
      <w:pgSz w:w="11907" w:h="16839"/>
      <w:pgMar w:top="1440" w:right="1797" w:bottom="1440" w:left="1797" w:header="709" w:footer="709" w:gutter="0"/>
      <w:pgNumType w:start="1"/>
      <w:cols w:space="708"/>
      <w:formProt w:val="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213D6" w14:textId="77777777" w:rsidR="009D5A35" w:rsidRDefault="009D5A35">
      <w:pPr>
        <w:spacing w:line="240" w:lineRule="auto"/>
      </w:pPr>
      <w:r>
        <w:separator/>
      </w:r>
    </w:p>
  </w:endnote>
  <w:endnote w:type="continuationSeparator" w:id="0">
    <w:p w14:paraId="13707C47" w14:textId="77777777" w:rsidR="009D5A35" w:rsidRDefault="009D5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A4DE2" w14:textId="77777777" w:rsidR="00134755" w:rsidRDefault="00134755">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Pr>
        <w:rFonts w:hAnsi="David"/>
        <w:sz w:val="24"/>
        <w:rtl/>
      </w:rPr>
      <w:t>2</w:t>
    </w:r>
    <w:r>
      <w:rPr>
        <w:rFonts w:hAnsi="David"/>
        <w:sz w:val="24"/>
        <w:rtl/>
      </w:rPr>
      <w:fldChar w:fldCharType="end"/>
    </w:r>
  </w:p>
  <w:p w14:paraId="20FAE17F" w14:textId="77777777" w:rsidR="00134755" w:rsidRDefault="00134755">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A98B7E" w14:textId="77777777" w:rsidR="00134755" w:rsidRDefault="0013475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42E6">
      <w:rPr>
        <w:rFonts w:cs="TopType Jerushalmi"/>
        <w:noProof/>
        <w:color w:val="000000"/>
        <w:sz w:val="14"/>
        <w:szCs w:val="14"/>
      </w:rPr>
      <w:t>Z:\000000000000000000000000000000000000000-2020-------\08-Aug\Tzav36\word\d\s998267.doc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36597" w14:textId="77777777" w:rsidR="00134755" w:rsidRDefault="00134755">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sidR="00823689">
      <w:rPr>
        <w:rFonts w:hAnsi="David"/>
        <w:noProof/>
        <w:sz w:val="24"/>
        <w:rtl/>
      </w:rPr>
      <w:t>1</w:t>
    </w:r>
    <w:r>
      <w:rPr>
        <w:rFonts w:hAnsi="David"/>
        <w:sz w:val="24"/>
        <w:rtl/>
      </w:rPr>
      <w:fldChar w:fldCharType="end"/>
    </w:r>
  </w:p>
  <w:p w14:paraId="633D31C3" w14:textId="77777777" w:rsidR="00134755" w:rsidRDefault="00134755">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AAF2DC" w14:textId="77777777" w:rsidR="00134755" w:rsidRDefault="0013475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42E6">
      <w:rPr>
        <w:rFonts w:cs="TopType Jerushalmi"/>
        <w:noProof/>
        <w:color w:val="000000"/>
        <w:sz w:val="14"/>
        <w:szCs w:val="14"/>
      </w:rPr>
      <w:t>Z:\000000000000000000000000000000000000000-2020-------\08-Aug\Tzav36\word\d\s998267.doc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5FBFB" w14:textId="77777777" w:rsidR="009D5A35" w:rsidRDefault="009D5A35">
      <w:pPr>
        <w:spacing w:line="240" w:lineRule="auto"/>
      </w:pPr>
      <w:r>
        <w:separator/>
      </w:r>
    </w:p>
  </w:footnote>
  <w:footnote w:type="continuationSeparator" w:id="0">
    <w:p w14:paraId="07AAA99B" w14:textId="77777777" w:rsidR="009D5A35" w:rsidRDefault="009D5A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0F21" w14:textId="77777777" w:rsidR="00134755" w:rsidRDefault="00134755">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(ת"א)   8267/99</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ECBD1" w14:textId="77777777" w:rsidR="00134755" w:rsidRDefault="00134755">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(ת"א)   8267/99</w:t>
    </w:r>
    <w:r>
      <w:rPr>
        <w:rFonts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7482B"/>
    <w:multiLevelType w:val="multilevel"/>
    <w:tmpl w:val="AA809BFE"/>
    <w:lvl w:ilvl="0">
      <w:start w:val="1"/>
      <w:numFmt w:val="decimal"/>
      <w:lvlText w:val="%1."/>
      <w:lvlJc w:val="left"/>
      <w:pPr>
        <w:tabs>
          <w:tab w:val="num" w:pos="720"/>
        </w:tabs>
        <w:ind w:left="720" w:right="720" w:hanging="360"/>
      </w:pPr>
    </w:lvl>
    <w:lvl w:ilvl="1">
      <w:start w:val="1"/>
      <w:numFmt w:val="decimal"/>
      <w:lvlText w:val="%2."/>
      <w:lvlJc w:val="left"/>
      <w:pPr>
        <w:tabs>
          <w:tab w:val="num" w:pos="1440"/>
        </w:tabs>
        <w:ind w:left="1440" w:right="1440" w:hanging="360"/>
      </w:pPr>
    </w:lvl>
    <w:lvl w:ilvl="2">
      <w:start w:val="1"/>
      <w:numFmt w:val="decimal"/>
      <w:lvlText w:val="%3."/>
      <w:lvlJc w:val="left"/>
      <w:pPr>
        <w:tabs>
          <w:tab w:val="num" w:pos="2160"/>
        </w:tabs>
        <w:ind w:left="2160" w:right="2160" w:hanging="360"/>
      </w:pPr>
    </w:lvl>
    <w:lvl w:ilvl="3">
      <w:start w:val="1"/>
      <w:numFmt w:val="decimal"/>
      <w:lvlText w:val="%4."/>
      <w:lvlJc w:val="left"/>
      <w:pPr>
        <w:tabs>
          <w:tab w:val="num" w:pos="2880"/>
        </w:tabs>
        <w:ind w:left="2880" w:right="2880" w:hanging="360"/>
      </w:pPr>
    </w:lvl>
    <w:lvl w:ilvl="4">
      <w:start w:val="1"/>
      <w:numFmt w:val="decimal"/>
      <w:lvlText w:val="%5."/>
      <w:lvlJc w:val="left"/>
      <w:pPr>
        <w:tabs>
          <w:tab w:val="num" w:pos="3600"/>
        </w:tabs>
        <w:ind w:left="3600" w:right="3600" w:hanging="360"/>
      </w:pPr>
    </w:lvl>
    <w:lvl w:ilvl="5">
      <w:start w:val="1"/>
      <w:numFmt w:val="decimal"/>
      <w:lvlText w:val="%6."/>
      <w:lvlJc w:val="left"/>
      <w:pPr>
        <w:tabs>
          <w:tab w:val="num" w:pos="4320"/>
        </w:tabs>
        <w:ind w:left="4320" w:right="4320" w:hanging="360"/>
      </w:pPr>
    </w:lvl>
    <w:lvl w:ilvl="6">
      <w:start w:val="1"/>
      <w:numFmt w:val="decimal"/>
      <w:lvlText w:val="%7."/>
      <w:lvlJc w:val="left"/>
      <w:pPr>
        <w:tabs>
          <w:tab w:val="num" w:pos="5040"/>
        </w:tabs>
        <w:ind w:left="5040" w:right="5040" w:hanging="360"/>
      </w:pPr>
    </w:lvl>
    <w:lvl w:ilvl="7">
      <w:start w:val="1"/>
      <w:numFmt w:val="decimal"/>
      <w:lvlText w:val="%8."/>
      <w:lvlJc w:val="left"/>
      <w:pPr>
        <w:tabs>
          <w:tab w:val="num" w:pos="5760"/>
        </w:tabs>
        <w:ind w:left="5760" w:right="5760" w:hanging="360"/>
      </w:pPr>
    </w:lvl>
    <w:lvl w:ilvl="8">
      <w:start w:val="1"/>
      <w:numFmt w:val="decimal"/>
      <w:lvlText w:val="%9."/>
      <w:lvlJc w:val="left"/>
      <w:pPr>
        <w:tabs>
          <w:tab w:val="num" w:pos="6480"/>
        </w:tabs>
        <w:ind w:left="6480" w:right="6480" w:hanging="360"/>
      </w:pPr>
    </w:lvl>
  </w:abstractNum>
  <w:num w:numId="1" w16cid:durableId="480971555">
    <w:abstractNumId w:val="0"/>
  </w:num>
  <w:num w:numId="2" w16cid:durableId="20174218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2"/>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202FAA"/>
    <w:rsid w:val="000E6D8A"/>
    <w:rsid w:val="00134755"/>
    <w:rsid w:val="00202FAA"/>
    <w:rsid w:val="003E42E6"/>
    <w:rsid w:val="00555EB9"/>
    <w:rsid w:val="00823689"/>
    <w:rsid w:val="00835B5D"/>
    <w:rsid w:val="009254B2"/>
    <w:rsid w:val="00984BA0"/>
    <w:rsid w:val="009D5A35"/>
    <w:rsid w:val="009E7692"/>
    <w:rsid w:val="00B23B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66B4C36"/>
  <w15:chartTrackingRefBased/>
  <w15:docId w15:val="{22F99141-1B90-447A-A4D1-1AC7F0F2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tabs>
        <w:tab w:val="num" w:pos="1440"/>
      </w:tabs>
      <w:ind w:left="1440" w:hanging="360"/>
      <w:outlineLvl w:val="3"/>
    </w:pPr>
    <w:rPr>
      <w:b/>
      <w:bCs/>
      <w:u w:val="single"/>
    </w:rPr>
  </w:style>
  <w:style w:type="paragraph" w:styleId="Heading5">
    <w:name w:val="heading 5"/>
    <w:basedOn w:val="Normal"/>
    <w:next w:val="Normal"/>
    <w:qFormat/>
    <w:pPr>
      <w:tabs>
        <w:tab w:val="num" w:pos="1080"/>
      </w:tabs>
      <w:ind w:left="1080" w:hanging="720"/>
      <w:outlineLvl w:val="4"/>
    </w:pPr>
    <w:rPr>
      <w:b/>
      <w:bCs/>
      <w:u w:val="single"/>
    </w:rPr>
  </w:style>
  <w:style w:type="paragraph" w:styleId="Heading6">
    <w:name w:val="heading 6"/>
    <w:basedOn w:val="Normal"/>
    <w:next w:val="Normal"/>
    <w:qFormat/>
    <w:pPr>
      <w:ind w:left="1080"/>
      <w:outlineLvl w:val="5"/>
    </w:pPr>
    <w:rPr>
      <w:b/>
      <w:bCs/>
    </w:rPr>
  </w:style>
  <w:style w:type="paragraph" w:styleId="Heading7">
    <w:name w:val="heading 7"/>
    <w:basedOn w:val="Normal"/>
    <w:next w:val="Normal"/>
    <w:qFormat/>
    <w:pPr>
      <w:tabs>
        <w:tab w:val="num" w:pos="1080"/>
      </w:tabs>
      <w:ind w:left="1080" w:hanging="720"/>
      <w:outlineLvl w:val="6"/>
    </w:pPr>
    <w:rPr>
      <w:b/>
      <w:bCs/>
      <w:u w:val="single"/>
    </w:rPr>
  </w:style>
  <w:style w:type="paragraph" w:styleId="Heading8">
    <w:name w:val="heading 8"/>
    <w:basedOn w:val="Normal"/>
    <w:next w:val="Normal"/>
    <w:qFormat/>
    <w:pPr>
      <w:ind w:left="1080"/>
      <w:outlineLvl w:val="7"/>
    </w:pPr>
    <w:rPr>
      <w:b/>
      <w:bCs/>
    </w:rPr>
  </w:style>
  <w:style w:type="paragraph" w:styleId="Heading9">
    <w:name w:val="heading 9"/>
    <w:basedOn w:val="Normal"/>
    <w:next w:val="Normal"/>
    <w:qFormat/>
    <w:pPr>
      <w:tabs>
        <w:tab w:val="num" w:pos="1080"/>
      </w:tabs>
      <w:ind w:left="1080" w:hanging="720"/>
      <w:outlineLvl w:val="8"/>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Title">
    <w:name w:val="Title"/>
    <w:basedOn w:val="Normal"/>
    <w:qFormat/>
    <w:pPr>
      <w:spacing w:line="240" w:lineRule="auto"/>
      <w:jc w:val="center"/>
    </w:pPr>
    <w:rPr>
      <w:b/>
      <w:bCs/>
      <w:sz w:val="28"/>
      <w:u w:val="single"/>
    </w:rPr>
  </w:style>
  <w:style w:type="paragraph" w:styleId="BodyTextIndent">
    <w:name w:val="Body Text Indent"/>
    <w:basedOn w:val="Normal"/>
    <w:semiHidden/>
    <w:pPr>
      <w:ind w:left="1440"/>
    </w:pPr>
    <w:rPr>
      <w:b/>
      <w:bCs/>
    </w:rPr>
  </w:style>
  <w:style w:type="paragraph" w:styleId="Subtitle">
    <w:name w:val="Subtitle"/>
    <w:basedOn w:val="Normal"/>
    <w:qFormat/>
    <w:pPr>
      <w:spacing w:line="240" w:lineRule="auto"/>
      <w:jc w:val="left"/>
    </w:pPr>
    <w:rPr>
      <w:b/>
      <w:bCs/>
      <w:sz w:val="24"/>
      <w:szCs w:val="24"/>
    </w:rPr>
  </w:style>
  <w:style w:type="paragraph" w:styleId="BodyTextIndent2">
    <w:name w:val="Body Text Indent 2"/>
    <w:basedOn w:val="Normal"/>
    <w:semiHidden/>
    <w:pPr>
      <w:ind w:left="1080"/>
    </w:pPr>
    <w:rPr>
      <w:b/>
      <w:bCs/>
    </w:rPr>
  </w:style>
  <w:style w:type="paragraph" w:styleId="BodyTextIndent3">
    <w:name w:val="Body Text Indent 3"/>
    <w:basedOn w:val="Normal"/>
    <w:semiHidden/>
    <w:pPr>
      <w:ind w:left="1440"/>
    </w:pPr>
    <w:rPr>
      <w:b/>
      <w:bCs/>
    </w:rPr>
  </w:style>
  <w:style w:type="paragraph" w:styleId="DocumentMap">
    <w:name w:val="Document Map"/>
    <w:basedOn w:val="Normal"/>
    <w:semiHidden/>
    <w:pPr>
      <w:shd w:val="clear" w:color="auto" w:fill="000080"/>
    </w:pPr>
    <w:rPr>
      <w:rFonts w:ascii="Tahoma" w:hAnsi="Tahoma" w:cs="Tahoma"/>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984BA0"/>
    <w:rPr>
      <w:color w:val="0000FF"/>
      <w:u w:val="single"/>
    </w:rPr>
  </w:style>
  <w:style w:type="character" w:customStyle="1" w:styleId="a2">
    <w:name w:val="אזכור לא מזוהה"/>
    <w:uiPriority w:val="99"/>
    <w:semiHidden/>
    <w:unhideWhenUsed/>
    <w:rsid w:val="000E6D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07/5.a" TargetMode="External"/><Relationship Id="rId13" Type="http://schemas.openxmlformats.org/officeDocument/2006/relationships/hyperlink" Target="http://www.nevo.co.il/law/72507/5.a" TargetMode="External"/><Relationship Id="rId18" Type="http://schemas.openxmlformats.org/officeDocument/2006/relationships/hyperlink" Target="http://www.nevo.co.il/case/5861785"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98569" TargetMode="External"/><Relationship Id="rId7" Type="http://schemas.openxmlformats.org/officeDocument/2006/relationships/hyperlink" Target="http://www.nevo.co.il/law/72507" TargetMode="External"/><Relationship Id="rId12" Type="http://schemas.openxmlformats.org/officeDocument/2006/relationships/hyperlink" Target="http://www.nevo.co.il/law/98569/55.b" TargetMode="External"/><Relationship Id="rId17" Type="http://schemas.openxmlformats.org/officeDocument/2006/relationships/hyperlink" Target="http://www.nevo.co.il/case/1793172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98569/55.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48.a"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48.a" TargetMode="External"/><Relationship Id="rId19" Type="http://schemas.openxmlformats.org/officeDocument/2006/relationships/hyperlink" Target="http://www.nevo.co.il/case/6226633"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2507" TargetMode="External"/><Relationship Id="rId22" Type="http://schemas.openxmlformats.org/officeDocument/2006/relationships/hyperlink" Target="http://www.nevo.co.il/case/622663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3095</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20696</CharactersWithSpaces>
  <SharedDoc>false</SharedDoc>
  <HLinks>
    <vt:vector size="96" baseType="variant">
      <vt:variant>
        <vt:i4>3211379</vt:i4>
      </vt:variant>
      <vt:variant>
        <vt:i4>45</vt:i4>
      </vt:variant>
      <vt:variant>
        <vt:i4>0</vt:i4>
      </vt:variant>
      <vt:variant>
        <vt:i4>5</vt:i4>
      </vt:variant>
      <vt:variant>
        <vt:lpwstr>http://www.nevo.co.il/case/6226633</vt:lpwstr>
      </vt:variant>
      <vt:variant>
        <vt:lpwstr/>
      </vt:variant>
      <vt:variant>
        <vt:i4>7602284</vt:i4>
      </vt:variant>
      <vt:variant>
        <vt:i4>42</vt:i4>
      </vt:variant>
      <vt:variant>
        <vt:i4>0</vt:i4>
      </vt:variant>
      <vt:variant>
        <vt:i4>5</vt:i4>
      </vt:variant>
      <vt:variant>
        <vt:lpwstr>http://www.nevo.co.il/law/98569</vt:lpwstr>
      </vt:variant>
      <vt:variant>
        <vt:lpwstr/>
      </vt:variant>
      <vt:variant>
        <vt:i4>786510</vt:i4>
      </vt:variant>
      <vt:variant>
        <vt:i4>39</vt:i4>
      </vt:variant>
      <vt:variant>
        <vt:i4>0</vt:i4>
      </vt:variant>
      <vt:variant>
        <vt:i4>5</vt:i4>
      </vt:variant>
      <vt:variant>
        <vt:lpwstr>http://www.nevo.co.il/law/98569/55.b</vt:lpwstr>
      </vt:variant>
      <vt:variant>
        <vt:lpwstr/>
      </vt:variant>
      <vt:variant>
        <vt:i4>3211379</vt:i4>
      </vt:variant>
      <vt:variant>
        <vt:i4>36</vt:i4>
      </vt:variant>
      <vt:variant>
        <vt:i4>0</vt:i4>
      </vt:variant>
      <vt:variant>
        <vt:i4>5</vt:i4>
      </vt:variant>
      <vt:variant>
        <vt:lpwstr>http://www.nevo.co.il/case/6226633</vt:lpwstr>
      </vt:variant>
      <vt:variant>
        <vt:lpwstr/>
      </vt:variant>
      <vt:variant>
        <vt:i4>3211381</vt:i4>
      </vt:variant>
      <vt:variant>
        <vt:i4>33</vt:i4>
      </vt:variant>
      <vt:variant>
        <vt:i4>0</vt:i4>
      </vt:variant>
      <vt:variant>
        <vt:i4>5</vt:i4>
      </vt:variant>
      <vt:variant>
        <vt:lpwstr>http://www.nevo.co.il/case/5861785</vt:lpwstr>
      </vt:variant>
      <vt:variant>
        <vt:lpwstr/>
      </vt:variant>
      <vt:variant>
        <vt:i4>3866743</vt:i4>
      </vt:variant>
      <vt:variant>
        <vt:i4>30</vt:i4>
      </vt:variant>
      <vt:variant>
        <vt:i4>0</vt:i4>
      </vt:variant>
      <vt:variant>
        <vt:i4>5</vt:i4>
      </vt:variant>
      <vt:variant>
        <vt:lpwstr>http://www.nevo.co.il/case/17931721</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7864418</vt:i4>
      </vt:variant>
      <vt:variant>
        <vt:i4>21</vt:i4>
      </vt:variant>
      <vt:variant>
        <vt:i4>0</vt:i4>
      </vt:variant>
      <vt:variant>
        <vt:i4>5</vt:i4>
      </vt:variant>
      <vt:variant>
        <vt:lpwstr>http://www.nevo.co.il/law/72507</vt:lpwstr>
      </vt:variant>
      <vt:variant>
        <vt:lpwstr/>
      </vt:variant>
      <vt:variant>
        <vt:i4>7929952</vt:i4>
      </vt:variant>
      <vt:variant>
        <vt:i4>18</vt:i4>
      </vt:variant>
      <vt:variant>
        <vt:i4>0</vt:i4>
      </vt:variant>
      <vt:variant>
        <vt:i4>5</vt:i4>
      </vt:variant>
      <vt:variant>
        <vt:lpwstr>http://www.nevo.co.il/law/72507/5.a</vt:lpwstr>
      </vt:variant>
      <vt:variant>
        <vt:lpwstr/>
      </vt:variant>
      <vt:variant>
        <vt:i4>786510</vt:i4>
      </vt:variant>
      <vt:variant>
        <vt:i4>15</vt:i4>
      </vt:variant>
      <vt:variant>
        <vt:i4>0</vt:i4>
      </vt:variant>
      <vt:variant>
        <vt:i4>5</vt:i4>
      </vt:variant>
      <vt:variant>
        <vt:lpwstr>http://www.nevo.co.il/law/98569/55.b</vt:lpwstr>
      </vt:variant>
      <vt:variant>
        <vt:lpwstr/>
      </vt:variant>
      <vt:variant>
        <vt:i4>7602284</vt:i4>
      </vt:variant>
      <vt:variant>
        <vt:i4>12</vt:i4>
      </vt:variant>
      <vt:variant>
        <vt:i4>0</vt:i4>
      </vt:variant>
      <vt:variant>
        <vt:i4>5</vt:i4>
      </vt:variant>
      <vt:variant>
        <vt:lpwstr>http://www.nevo.co.il/law/98569</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7995492</vt:i4>
      </vt:variant>
      <vt:variant>
        <vt:i4>6</vt:i4>
      </vt:variant>
      <vt:variant>
        <vt:i4>0</vt:i4>
      </vt:variant>
      <vt:variant>
        <vt:i4>5</vt:i4>
      </vt:variant>
      <vt:variant>
        <vt:lpwstr>http://www.nevo.co.il/law/70301</vt:lpwstr>
      </vt:variant>
      <vt:variant>
        <vt:lpwstr/>
      </vt:variant>
      <vt:variant>
        <vt:i4>7929952</vt:i4>
      </vt:variant>
      <vt:variant>
        <vt:i4>3</vt:i4>
      </vt:variant>
      <vt:variant>
        <vt:i4>0</vt:i4>
      </vt:variant>
      <vt:variant>
        <vt:i4>5</vt:i4>
      </vt:variant>
      <vt:variant>
        <vt:lpwstr>http://www.nevo.co.il/law/72507/5.a</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2002-06-19T10:44:00Z</cp:lastPrinted>
  <dcterms:created xsi:type="dcterms:W3CDTF">2022-05-24T10:30:00Z</dcterms:created>
  <dcterms:modified xsi:type="dcterms:W3CDTF">2022-05-24T10:30:00Z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Server">
    <vt:lpwstr>CN=TLV-Shalom-01/OU=TelAviv/OU=Server/O=Courts</vt:lpwstr>
  </property>
  <property fmtid="{D5CDD505-2E9C-101B-9397-08002B2CF9AE}" pid="3" name="DBPath">
    <vt:lpwstr>Prod\EsDynamic.nsf</vt:lpwstr>
  </property>
  <property fmtid="{D5CDD505-2E9C-101B-9397-08002B2CF9AE}" pid="4" name="DocCloseCancel">
    <vt:bool>false</vt:bool>
  </property>
  <property fmtid="{D5CDD505-2E9C-101B-9397-08002B2CF9AE}" pid="5" name="NameForLog">
    <vt:lpwstr>פ  008267/99</vt:lpwstr>
  </property>
  <property fmtid="{D5CDD505-2E9C-101B-9397-08002B2CF9AE}" pid="6" name="decisionsNumber">
    <vt:i4>1</vt:i4>
  </property>
  <property fmtid="{D5CDD505-2E9C-101B-9397-08002B2CF9AE}" pid="7" name="NotesDocStatus">
    <vt:lpwstr>1</vt:lpwstr>
  </property>
  <property fmtid="{D5CDD505-2E9C-101B-9397-08002B2CF9AE}" pid="8" name="NotesDocForm">
    <vt:lpwstr>frmDocument</vt:lpwstr>
  </property>
  <property fmtid="{D5CDD505-2E9C-101B-9397-08002B2CF9AE}" pid="9" name="TYPE">
    <vt:lpwstr>3</vt:lpwstr>
  </property>
  <property fmtid="{D5CDD505-2E9C-101B-9397-08002B2CF9AE}" pid="10" name="PROCESS">
    <vt:lpwstr>תפ</vt:lpwstr>
  </property>
  <property fmtid="{D5CDD505-2E9C-101B-9397-08002B2CF9AE}" pid="11" name="PROCNUM">
    <vt:lpwstr>8267</vt:lpwstr>
  </property>
  <property fmtid="{D5CDD505-2E9C-101B-9397-08002B2CF9AE}" pid="12" name="PROCYEAR">
    <vt:lpwstr>99</vt:lpwstr>
  </property>
  <property fmtid="{D5CDD505-2E9C-101B-9397-08002B2CF9AE}" pid="13" name="DATE">
    <vt:lpwstr>20020619</vt:lpwstr>
  </property>
  <property fmtid="{D5CDD505-2E9C-101B-9397-08002B2CF9AE}" pid="14" name="APPELLEE">
    <vt:lpwstr>פלוני</vt:lpwstr>
  </property>
  <property fmtid="{D5CDD505-2E9C-101B-9397-08002B2CF9AE}" pid="15" name="APPELLANT">
    <vt:lpwstr>מדינת ישראל</vt:lpwstr>
  </property>
  <property fmtid="{D5CDD505-2E9C-101B-9397-08002B2CF9AE}" pid="16" name="JUDGE">
    <vt:lpwstr>רחל גרינברג</vt:lpwstr>
  </property>
  <property fmtid="{D5CDD505-2E9C-101B-9397-08002B2CF9AE}" pid="17" name="LAWYER">
    <vt:lpwstr>מירב שווץ;שוורץ</vt:lpwstr>
  </property>
  <property fmtid="{D5CDD505-2E9C-101B-9397-08002B2CF9AE}" pid="18" name="CITY">
    <vt:lpwstr>ת"א</vt:lpwstr>
  </property>
  <property fmtid="{D5CDD505-2E9C-101B-9397-08002B2CF9AE}" pid="19" name="ISABSTRACT">
    <vt:lpwstr>Y</vt:lpwstr>
  </property>
  <property fmtid="{D5CDD505-2E9C-101B-9397-08002B2CF9AE}" pid="20" name="PSAKDIN">
    <vt:lpwstr>הכרעת-דין</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WORDNUMPAGES">
    <vt:lpwstr>7</vt:lpwstr>
  </property>
  <property fmtid="{D5CDD505-2E9C-101B-9397-08002B2CF9AE}" pid="25" name="CASESLISTTMP1">
    <vt:lpwstr>17931721;5861785;6226633:2</vt:lpwstr>
  </property>
  <property fmtid="{D5CDD505-2E9C-101B-9397-08002B2CF9AE}" pid="26" name="CASENOTES1">
    <vt:lpwstr>ProcID=133;209&amp;PartA=5339&amp;PartC=89</vt:lpwstr>
  </property>
  <property fmtid="{D5CDD505-2E9C-101B-9397-08002B2CF9AE}" pid="27" name="CASENOTES2">
    <vt:lpwstr>ProcID=213&amp;PartA=17&amp;PartC=23</vt:lpwstr>
  </property>
  <property fmtid="{D5CDD505-2E9C-101B-9397-08002B2CF9AE}" pid="28" name="CASENOTES3">
    <vt:lpwstr>ProcID=213&amp;PartA=12&amp;PartC=19</vt:lpwstr>
  </property>
  <property fmtid="{D5CDD505-2E9C-101B-9397-08002B2CF9AE}" pid="29" name="TYPE_N_DATE">
    <vt:lpwstr>38020020619</vt:lpwstr>
  </property>
  <property fmtid="{D5CDD505-2E9C-101B-9397-08002B2CF9AE}" pid="30" name="TYPE_ABS_DATE">
    <vt:lpwstr>380020020619</vt:lpwstr>
  </property>
  <property fmtid="{D5CDD505-2E9C-101B-9397-08002B2CF9AE}" pid="31" name="APPELLANT1">
    <vt:lpwstr/>
  </property>
  <property fmtid="{D5CDD505-2E9C-101B-9397-08002B2CF9AE}" pid="32" name="APPELLANT2">
    <vt:lpwstr/>
  </property>
  <property fmtid="{D5CDD505-2E9C-101B-9397-08002B2CF9AE}" pid="33" name="APPELLEE1">
    <vt:lpwstr/>
  </property>
  <property fmtid="{D5CDD505-2E9C-101B-9397-08002B2CF9AE}" pid="34" name="APPELLEE2">
    <vt:lpwstr/>
  </property>
  <property fmtid="{D5CDD505-2E9C-101B-9397-08002B2CF9AE}" pid="35" name="PADIMAIL">
    <vt:lpwstr/>
  </property>
  <property fmtid="{D5CDD505-2E9C-101B-9397-08002B2CF9AE}" pid="36" name="DELEMATA">
    <vt:lpwstr/>
  </property>
  <property fmtid="{D5CDD505-2E9C-101B-9397-08002B2CF9AE}" pid="37" name="LINKK1">
    <vt:lpwstr/>
  </property>
  <property fmtid="{D5CDD505-2E9C-101B-9397-08002B2CF9AE}" pid="38" name="LINKK2">
    <vt:lpwstr/>
  </property>
  <property fmtid="{D5CDD505-2E9C-101B-9397-08002B2CF9AE}" pid="39" name="LINKK3">
    <vt:lpwstr/>
  </property>
  <property fmtid="{D5CDD505-2E9C-101B-9397-08002B2CF9AE}" pid="40" name="LINKK4">
    <vt:lpwstr/>
  </property>
  <property fmtid="{D5CDD505-2E9C-101B-9397-08002B2CF9AE}" pid="41" name="LINKK5">
    <vt:lpwstr/>
  </property>
  <property fmtid="{D5CDD505-2E9C-101B-9397-08002B2CF9AE}" pid="42" name="NEWPROC">
    <vt:lpwstr/>
  </property>
  <property fmtid="{D5CDD505-2E9C-101B-9397-08002B2CF9AE}" pid="43" name="NEWPARTA">
    <vt:lpwstr/>
  </property>
  <property fmtid="{D5CDD505-2E9C-101B-9397-08002B2CF9AE}" pid="44" name="NEWPARTB">
    <vt:lpwstr/>
  </property>
  <property fmtid="{D5CDD505-2E9C-101B-9397-08002B2CF9AE}" pid="45" name="NEWPARTC">
    <vt:lpwstr/>
  </property>
  <property fmtid="{D5CDD505-2E9C-101B-9397-08002B2CF9AE}" pid="46" name="LAWLISTTMP1">
    <vt:lpwstr>72507/005.a:2</vt:lpwstr>
  </property>
  <property fmtid="{D5CDD505-2E9C-101B-9397-08002B2CF9AE}" pid="47" name="LAWLISTTMP2">
    <vt:lpwstr>70301/348.a:2</vt:lpwstr>
  </property>
  <property fmtid="{D5CDD505-2E9C-101B-9397-08002B2CF9AE}" pid="48" name="LAWLISTTMP3">
    <vt:lpwstr>98569/055.b:2</vt:lpwstr>
  </property>
</Properties>
</file>