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522.0" w:type="dxa"/>
        <w:jc w:val="right"/>
        <w:tblLayout w:type="fixed"/>
        <w:tblLook w:val="0000"/>
      </w:tblPr>
      <w:tblGrid>
        <w:gridCol w:w="516"/>
        <w:gridCol w:w="5317"/>
        <w:gridCol w:w="2689"/>
        <w:tblGridChange w:id="0">
          <w:tblGrid>
            <w:gridCol w:w="516"/>
            <w:gridCol w:w="5317"/>
            <w:gridCol w:w="268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bidi w:val="1"/>
              <w:ind w:left="0" w:right="0" w:firstLine="0"/>
              <w:jc w:val="right"/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בירושלים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י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נ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ערן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vertAlign w:val="baseline"/>
                <w:rtl w:val="1"/>
              </w:rPr>
              <w:t xml:space="preserve">נקאש</w:t>
            </w:r>
          </w:p>
          <w:p w:rsidR="00000000" w:rsidDel="00000000" w:rsidP="00000000" w:rsidRDefault="00000000" w:rsidRPr="00000000" w14:paraId="00000003">
            <w:pPr>
              <w:widowControl w:val="1"/>
              <w:bidi w:val="1"/>
              <w:ind w:left="0" w:right="0" w:firstLine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widowControl w:val="1"/>
              <w:bidi w:val="1"/>
              <w:ind w:left="0" w:right="0" w:firstLine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פ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  204/99</w:t>
            </w:r>
          </w:p>
          <w:p w:rsidR="00000000" w:rsidDel="00000000" w:rsidP="00000000" w:rsidRDefault="00000000" w:rsidRPr="00000000" w14:paraId="00000006">
            <w:pPr>
              <w:widowControl w:val="1"/>
              <w:bidi w:val="1"/>
              <w:ind w:left="0" w:right="0" w:firstLine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widowControl w:val="1"/>
              <w:bidi w:val="1"/>
              <w:ind w:left="0" w:right="0" w:firstLine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בפני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widowControl w:val="1"/>
              <w:bidi w:val="1"/>
              <w:ind w:left="0" w:right="0" w:firstLine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כבוד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השופטת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רות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1"/>
              </w:rPr>
              <w:t xml:space="preserve">אור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bidi w:val="1"/>
              <w:ind w:left="0" w:right="0" w:firstLine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8.2.2000</w:t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bidi w:val="1"/>
        <w:ind w:left="0" w:right="0" w:firstLine="0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647.0" w:type="dxa"/>
        <w:jc w:val="right"/>
        <w:tblLayout w:type="fixed"/>
        <w:tblLook w:val="0000"/>
      </w:tblPr>
      <w:tblGrid>
        <w:gridCol w:w="1418"/>
        <w:gridCol w:w="1701"/>
        <w:gridCol w:w="3119"/>
        <w:gridCol w:w="2409"/>
        <w:tblGridChange w:id="0">
          <w:tblGrid>
            <w:gridCol w:w="1418"/>
            <w:gridCol w:w="1701"/>
            <w:gridCol w:w="3119"/>
            <w:gridCol w:w="24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בעניין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4"/>
                <w:szCs w:val="4"/>
                <w:u w:val="none"/>
                <w:shd w:fill="auto" w:val="clear"/>
                <w:vertAlign w:val="baseline"/>
                <w:rtl w:val="1"/>
              </w:rPr>
              <w:t xml:space="preserve">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מדינת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ישראל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1"/>
              </w:rPr>
              <w:t xml:space="preserve">המאשימה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60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ערן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נקאש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מנשה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1"/>
              </w:rPr>
              <w:t xml:space="preserve">הנאשם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מגונה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במשרה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36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36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36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חוק</w:t>
        </w:r>
      </w:hyperlink>
      <w:hyperlink r:id="rId7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העונשין</w:t>
        </w:r>
      </w:hyperlink>
      <w:hyperlink r:id="rId9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, 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תשל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ז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 </w:t>
      </w:r>
      <w:hyperlink r:id="rId14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280(1)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345(1)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345(4)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tl w:val="0"/>
          </w:rPr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348(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tl w:val="0"/>
          </w:rPr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368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ב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(</w:t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Fonts w:ascii="FrankRuehl" w:cs="FrankRuehl" w:eastAsia="FrankRuehl" w:hAnsi="FrankRueh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379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360" w:lineRule="auto"/>
        <w:ind w:left="283" w:right="0" w:hanging="283"/>
        <w:jc w:val="both"/>
        <w:rPr>
          <w:rFonts w:ascii="FrankRuehl" w:cs="FrankRuehl" w:eastAsia="FrankRuehl" w:hAnsi="FrankRueh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widowControl w:val="1"/>
        <w:bidi w:val="1"/>
        <w:ind w:left="0" w:right="0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widowControl w:val="1"/>
        <w:bidi w:val="1"/>
        <w:ind w:left="0" w:right="0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D">
      <w:pPr>
        <w:pStyle w:val="Heading2"/>
        <w:widowControl w:val="1"/>
        <w:bidi w:val="1"/>
        <w:ind w:left="0" w:right="0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דין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1"/>
        <w:bidi w:val="1"/>
        <w:ind w:left="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bidi w:val="1"/>
        <w:ind w:left="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האישומים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וההרשעה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color w:val="ffffff"/>
          <w:sz w:val="4"/>
          <w:szCs w:val="4"/>
          <w:u w:val="single"/>
          <w:vertAlign w:val="baseline"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יליד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1977,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במועדים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הרלבנטיים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לכתב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כשוטר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בכתב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בשלושה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אישומים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:</w:t>
      </w:r>
      <w:r w:rsidDel="00000000" w:rsidR="00000000" w:rsidRPr="00000000">
        <w:rPr>
          <w:color w:val="ffffff"/>
          <w:sz w:val="4"/>
          <w:szCs w:val="4"/>
          <w:vertAlign w:val="baseline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' 1 -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שביום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19.4.99,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בהיותו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במשימת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ליווי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שלושה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עצירים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קטינים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מבני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המיעוטים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שנחשדו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ביידוי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אבנים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התעלל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בהיותו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תקף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בפומבי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שימוש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לרעה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במשרתו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;</w:t>
      </w:r>
    </w:p>
    <w:p w:rsidR="00000000" w:rsidDel="00000000" w:rsidP="00000000" w:rsidRDefault="00000000" w:rsidRPr="00000000" w14:paraId="0000003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' 2 -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שבאותו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בהיותו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במשימת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ליווי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נוספת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עציר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מבני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המיעוטים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נחשד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ביידוי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אבנים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בעציר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וחבל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שימוש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לרעה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במשרתו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;</w:t>
      </w:r>
    </w:p>
    <w:p w:rsidR="00000000" w:rsidDel="00000000" w:rsidP="00000000" w:rsidRDefault="00000000" w:rsidRPr="00000000" w14:paraId="00000038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' 3 -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שביום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7.3.99,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בתפקיד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במחסום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שעוכב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במחסום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העדר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תעודת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זהות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בידיו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שימוש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לרעה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במשרתו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הכחיש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האשמות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והתקיימו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דיונים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ארוכים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נשמעו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עדויות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נוספים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שבחלקם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נוכחים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האירועים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4.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הציג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תעודה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רפואית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כלשהי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שנצפתה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זיכיתי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האשמה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חבלות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חמורות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הרשעתי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בתקיפתם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שימוש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לרעה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במשרתו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התקיפות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בוצעו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עקב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בתפקיד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ביצוען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מגיעים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אלמלא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בתפקיד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בתקופות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הרלבנטיות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5.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זיכיתי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מהתעללות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בקטינים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שמעשיו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חמורים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ומשפילים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הגיעו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התעללות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F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6.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זיכיתי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מביצוע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בפומבי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' 1,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שהמעשה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המגונה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משאית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סגורה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בחשיכה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הוכח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שגילו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16-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שמחייבת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הוראת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החוק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הרלבנטית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41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הרשעתי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בביצוע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בעציר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כאמור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' 2.</w:t>
      </w:r>
    </w:p>
    <w:p w:rsidR="00000000" w:rsidDel="00000000" w:rsidP="00000000" w:rsidRDefault="00000000" w:rsidRPr="00000000" w14:paraId="00000042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עמדת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המדינה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לעונש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color w:val="ffffff"/>
          <w:sz w:val="4"/>
          <w:szCs w:val="4"/>
          <w:u w:val="single"/>
          <w:vertAlign w:val="baseline"/>
          <w:rtl w:val="1"/>
        </w:rPr>
        <w:t xml:space="preserve">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7.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המדינה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ביקשה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לגזור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משמעותי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בפועל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נוכח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חומרת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הצטברותן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והעובדה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בוצעו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ניצול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הסמכות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הכוח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והשררה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שניתנו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8.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מדובר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-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צדדית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קדמה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פרובוקציה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כלשהי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קטינים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כפותים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ובגירים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המצויים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במצב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בהעדר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אפשרות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לברוח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לצעוק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לעזרה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אפקטיבית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הסתפק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פיזית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ביצע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מיניים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להשפלת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העצירים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נתונים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חסותו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כשוטר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9.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מדובר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לחברו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שביצע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העלולים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להזכיר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משטרים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אפלים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מהווים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סכנה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לשלטון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לאמון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הציבור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בשלטון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ולמשטר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החוק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בידיו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ברגליו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ובאגרופיו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רמס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שלטון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החוק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10.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בוצעו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ערבים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ראתה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התובעת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אידיאולוגיות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11.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המדינה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ביקשה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המשפט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בגזר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יבטא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הסלידה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העונש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ישא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הרתעתי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החוק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והשררה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שימוש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לרעה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בכוחם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12.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קשר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השתיקה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להוקעה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ולטיפול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הפעיל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בביצוע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13.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השירות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בשלושת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המקרים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נושאי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נתון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לחץ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שנקט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סטתה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קיצונית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נורמה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בלחץ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)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הייתה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הצדקה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למעשיו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14.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שירותו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בכיר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בפלוגה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מעמד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וגילו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21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טען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ביצע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מצוקה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לעצת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להימנע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עמדת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הסניגור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לעונש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color w:val="ffffff"/>
          <w:sz w:val="4"/>
          <w:szCs w:val="4"/>
          <w:u w:val="single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15.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הסניגור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טען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הועמדו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פלילי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משמעתי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שנכחו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דיווחו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שיקרו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הרשויות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16.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הסניגור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ביקש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להפוך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לנענש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לדוגמא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עיקרון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השוויון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החוק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אחידות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הענישה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וחובת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-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ההפלייה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המעורבים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אירוע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17.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נורמות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שהאמין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קיימות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C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18.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שוחרר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משירותו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האירועים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נושאי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חשש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שיחזור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שבוצעו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בהיותו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חייל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בענישה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הרתעתו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בעונשו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להרתיע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עצם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הרשעת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והערות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המשפט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הכרעת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ליצור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הכתובת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הקיר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5F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19.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הורשע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התעללות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אלימותו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גרמה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נראית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לעין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למכאוב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20.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הדגיש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הסניגור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העבירה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תקיפת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קטין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-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נוספה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hyperlink r:id="rId28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חוק</w:t>
        </w:r>
      </w:hyperlink>
      <w:hyperlink r:id="rId29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למנוע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תקיפת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קטין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במסגרת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המשפחה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וזאת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קטין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בקביעות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ביחידות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ובהסתר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המשפחה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התוקף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מטרתו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הראשונית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המחוקק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הייתה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לטפל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במקרה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מקרית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קצרה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-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פעמית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במקרה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שלפנינו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הגם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שנוסח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הסעיף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אפשרות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כזאת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מטרתו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המקורית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המחוקק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שיקול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לקולא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בענישת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21.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טענות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המדינה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החומרא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טען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הסניגור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דווקא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הסוג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הקל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:</w:t>
      </w:r>
      <w:r w:rsidDel="00000000" w:rsidR="00000000" w:rsidRPr="00000000">
        <w:rPr>
          <w:color w:val="ffffff"/>
          <w:sz w:val="4"/>
          <w:szCs w:val="4"/>
          <w:vertAlign w:val="baseline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תקיפותיו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הותירו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סימנים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;</w:t>
      </w:r>
    </w:p>
    <w:p w:rsidR="00000000" w:rsidDel="00000000" w:rsidP="00000000" w:rsidRDefault="00000000" w:rsidRPr="00000000" w14:paraId="00000068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המעשים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המגונים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מסוג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חשיפה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מינית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פיזי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22.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מסיבות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אידיאולוגיות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23.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22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פלילי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נורמטיבי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בצה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ורצה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לשרת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ביחידה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קרבית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D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הרשעתו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תימנע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אפשרות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לעבוד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בעבודות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מסוימות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בעתיד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E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המשפחה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משפחה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נורמטיבית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סובלת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מאז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מעצרו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מרבית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במעצר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במגרש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הרוסים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המעצר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גרועים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מאשר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כתלי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הכלא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במעצר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כשמונה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חודשים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נימוקים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לעונש</w:t>
      </w:r>
      <w:r w:rsidDel="00000000" w:rsidR="00000000" w:rsidRPr="00000000">
        <w:rPr>
          <w:sz w:val="24"/>
          <w:szCs w:val="24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color w:val="ffffff"/>
          <w:sz w:val="4"/>
          <w:szCs w:val="4"/>
          <w:u w:val="single"/>
          <w:vertAlign w:val="baseline"/>
          <w:rtl w:val="1"/>
        </w:rPr>
        <w:t xml:space="preserve">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24.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להכביר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מלים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חומרת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התנהגות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בשלושת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האירועים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נושאי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האישום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התנהג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ובהשפלה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חמישה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עצירים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בפיקוחו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ובמשמורתו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כשוטר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סיבה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מוצדקת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שלושה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קטינים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כפותים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ורביעי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כלשהי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ורק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עוכב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שתובא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תעודת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הזהות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25.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בשלושת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האירועים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נעשו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להשפיל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הופקד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שמירתם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שהחליט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מראש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חשודים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בוודאי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ביצעו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שבגינן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נעצרו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וראוי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להענישם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מראש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חשבון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העונש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הצפוי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שיורשעו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המציא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הוראות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זכרן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בהודעת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הנוהל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המשטרה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ואכף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העצירים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בידיו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ברגליו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26.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לבקשות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להפסיק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התנהגותו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האלימה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העצירים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יתערבו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27.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ניתן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להצטער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עמדו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בתוקף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דרישתם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להפסיק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התנהגותו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האלימה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והמשפילה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העצירים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סביר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להניח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עמדו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בתוקף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דרישתם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מפסיק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וההשפלה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בעודם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באיבם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28.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יתרה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מזו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מפסיק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האלימות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וההשפלה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בפעם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מגיע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להתנהגות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אלימה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ולהשפלה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בפעמיים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הנוספות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החברים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מדווחים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לממונים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בפעם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bidi w:val="1"/>
        <w:ind w:left="1134" w:right="0" w:hanging="1134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29.   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אחוות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ואחוות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לוחמים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וודאי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התנהגות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מוסרית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חוקית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widowControl w:val="1"/>
        <w:bidi w:val="1"/>
        <w:ind w:left="1134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בתפוח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רקוב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בערימת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תפוחים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יסולק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יגרום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לריקבון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הערימה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0">
      <w:pPr>
        <w:widowControl w:val="1"/>
        <w:bidi w:val="1"/>
        <w:ind w:left="1134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שמכסה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חוקיים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ובלתי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מוסריים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התנהגות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רקובה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גורם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שהריקבון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יתפשט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הגונים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ישרים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ומוסריים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widowControl w:val="1"/>
        <w:bidi w:val="1"/>
        <w:ind w:left="1134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חוקים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ובלתי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מוסריים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שחבריו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מכסים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מכתימים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הטוב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הפלוגה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widowControl w:val="1"/>
        <w:bidi w:val="1"/>
        <w:ind w:left="1134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30.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קבעתי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בהכרעת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הוכח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שהייתה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נורמת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התנהגות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כזו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היותר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מדובר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שמועות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העיד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קיומן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בפועל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שהפך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שמועות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עובדות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31.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הסניגור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טען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שחרורו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מצה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ימנע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בעדו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מלחזור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ולעבור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דומות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בעתיד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טענה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מדויקת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סביר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לשרת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במילואים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לאורך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רבות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32.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טען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הסניגור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עצם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הרשעתו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ועונשו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ירתיע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חיילים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ושוטרים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לנהוג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לקוות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אולם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מדי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עלול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להעביר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נכון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לבעלי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שררה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המפעילים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שררתם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בשרירות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33.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הנימוקים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לחומרא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34.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הנימוקים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לקולא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העדר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פלילי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הבעת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חרטה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היותו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במעצר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במשך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תקופה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8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חודשים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העדר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סימני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פגיעה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בגופם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המתלוננים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העמדתם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משמעתי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חברי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פעלו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באופן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אקטיבי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ואגרסיבי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להפסקת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דיווחו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שיקרו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לממונים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bidi w:val="1"/>
        <w:ind w:left="1134" w:right="0" w:hanging="1134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35.   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המחוקק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קצב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שביצע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העונשים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המירביים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:</w:t>
      </w:r>
      <w:r w:rsidDel="00000000" w:rsidR="00000000" w:rsidRPr="00000000">
        <w:rPr>
          <w:color w:val="ffffff"/>
          <w:sz w:val="4"/>
          <w:szCs w:val="4"/>
          <w:vertAlign w:val="baseline"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bidi w:val="1"/>
        <w:ind w:left="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סעיף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hyperlink r:id="rId31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280(1)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שימוש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לרעה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בכוח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שלוש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0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סעיף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hyperlink r:id="rId32">
        <w:r w:rsidDel="00000000" w:rsidR="00000000" w:rsidRPr="00000000">
          <w:rPr>
            <w:rtl w:val="0"/>
          </w:rPr>
        </w:r>
      </w:hyperlink>
      <w:hyperlink r:id="rId33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348(</w:t>
        </w:r>
      </w:hyperlink>
      <w:hyperlink r:id="rId34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א</w:t>
        </w:r>
      </w:hyperlink>
      <w:hyperlink r:id="rId35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בהתייחס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לס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' </w:t>
      </w:r>
      <w:hyperlink r:id="rId36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345(1)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- </w:t>
      </w:r>
      <w:hyperlink r:id="rId37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345(4)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מגונה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במצב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המונע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התנגדות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widowControl w:val="1"/>
        <w:bidi w:val="1"/>
        <w:ind w:left="567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סעיף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hyperlink r:id="rId38">
        <w:r w:rsidDel="00000000" w:rsidR="00000000" w:rsidRPr="00000000">
          <w:rPr>
            <w:rtl w:val="0"/>
          </w:rPr>
        </w:r>
      </w:hyperlink>
      <w:hyperlink r:id="rId39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368</w:t>
        </w:r>
      </w:hyperlink>
      <w:hyperlink r:id="rId40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ב</w:t>
        </w:r>
      </w:hyperlink>
      <w:hyperlink r:id="rId41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(</w:t>
        </w:r>
      </w:hyperlink>
      <w:hyperlink r:id="rId42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א</w:t>
        </w:r>
      </w:hyperlink>
      <w:hyperlink r:id="rId43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תקיפת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קטין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אחראי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2">
      <w:pPr>
        <w:widowControl w:val="1"/>
        <w:bidi w:val="1"/>
        <w:ind w:left="567" w:right="0" w:firstLine="0"/>
        <w:jc w:val="both"/>
        <w:rPr>
          <w:sz w:val="24"/>
          <w:szCs w:val="24"/>
          <w:vertAlign w:val="baseline"/>
        </w:rPr>
      </w:pPr>
      <w:hyperlink r:id="rId44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סעיף</w:t>
        </w:r>
      </w:hyperlink>
      <w:hyperlink r:id="rId45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1"/>
          </w:rPr>
          <w:t xml:space="preserve"> 379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תקיפה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שנתיים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widowControl w:val="1"/>
        <w:bidi w:val="1"/>
        <w:ind w:left="567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36.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העונש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לגזור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ספציפי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איזון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שבין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חומרת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העבירות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שביצע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מחד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גיסא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ונסיבותיו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האישות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מאידך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גיסא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5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37.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מאזנת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הנימוקים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לחומרא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והנימוקים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לקולא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ומתחשבת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בתקדימים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שהוצגו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דומים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למקרה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שלפנינו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),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העונש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14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חודשי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בפועל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שיחושבו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מיום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מעצרו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- 28.5.99 -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דנה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למאסר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15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חודש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והתנאי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ייאסר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יעבור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פשע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ניסיון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קשר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לפשע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-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3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שחרורו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ממאסרו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9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38.</w:t>
        <w:tab/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לנאשם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ערעור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המשפט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העליון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45 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.</w:t>
      </w:r>
    </w:p>
    <w:bookmarkStart w:colFirst="0" w:colLast="0" w:name="3znysh7" w:id="3"/>
    <w:bookmarkEnd w:id="3"/>
    <w:p w:rsidR="00000000" w:rsidDel="00000000" w:rsidP="00000000" w:rsidRDefault="00000000" w:rsidRPr="00000000" w14:paraId="0000009B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(8.2.2000),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35.0" w:type="dxa"/>
        <w:jc w:val="right"/>
        <w:tblBorders>
          <w:top w:color="000000" w:space="0" w:sz="6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35"/>
        <w:tblGridChange w:id="0">
          <w:tblGrid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שופטת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"/>
          <w:szCs w:val="4"/>
          <w:u w:val="none"/>
          <w:shd w:fill="auto" w:val="clear"/>
          <w:vertAlign w:val="baseline"/>
          <w:rtl w:val="0"/>
        </w:rPr>
        <w:t xml:space="preserve">5129371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bidi w:val="1"/>
        <w:ind w:left="567" w:right="0" w:hanging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1"/>
        </w:rPr>
        <w:t xml:space="preserve">רויטלי</w:t>
      </w:r>
      <w:r w:rsidDel="00000000" w:rsidR="00000000" w:rsidRPr="00000000">
        <w:rPr>
          <w:sz w:val="24"/>
          <w:szCs w:val="24"/>
          <w:vertAlign w:val="baseline"/>
          <w:rtl w:val="1"/>
        </w:rPr>
        <w:t xml:space="preserve"> / </w:t>
      </w:r>
      <w:r w:rsidDel="00000000" w:rsidR="00000000" w:rsidRPr="00000000">
        <w:rPr>
          <w:b w:val="1"/>
          <w:vertAlign w:val="baseline"/>
          <w:rtl w:val="0"/>
        </w:rPr>
        <w:t xml:space="preserve">g00020499p.001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וניסוח</w:t>
      </w:r>
    </w:p>
    <w:sectPr>
      <w:headerReference r:id="rId46" w:type="default"/>
      <w:headerReference r:id="rId47" w:type="even"/>
      <w:footerReference r:id="rId48" w:type="default"/>
      <w:footerReference r:id="rId49" w:type="even"/>
      <w:pgSz w:h="16840" w:w="11907" w:orient="portrait"/>
      <w:pgMar w:bottom="1440" w:top="2268" w:left="1797" w:right="1797" w:header="99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rankRueh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נבו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הוצאה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לאור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מ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nevo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המאגר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המשפטי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הישראלי</w:t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E:\Workruti\nevo\InAsc\g00020499p.doc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נבו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הוצאה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לאור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בע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מ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nevo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המאגר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המשפטי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1"/>
      </w:rPr>
      <w:t xml:space="preserve">הישראלי</w: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E:\Workruti\nevo\InAsc\g00020499p.doc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8334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  204/99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ערן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נקאש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בן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מנשה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8334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  204/99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ערן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נקאש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בן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מנשה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widowControl w:val="0"/>
        <w:bidi w:val="1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bidi w:val="1"/>
      <w:spacing w:after="60" w:before="240" w:line="360" w:lineRule="auto"/>
      <w:ind w:left="0" w:right="0"/>
      <w:jc w:val="center"/>
    </w:pPr>
    <w:rPr>
      <w:rFonts w:ascii="Arial" w:cs="Arial" w:eastAsia="Arial" w:hAnsi="Arial"/>
      <w:b w:val="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bidi w:val="1"/>
      <w:spacing w:after="60" w:before="240" w:line="240" w:lineRule="auto"/>
      <w:ind w:left="0" w:right="0"/>
      <w:jc w:val="center"/>
    </w:pPr>
    <w:rPr>
      <w:rFonts w:ascii="Arial" w:cs="Arial" w:eastAsia="Arial" w:hAnsi="Arial"/>
      <w:b w:val="1"/>
      <w:sz w:val="36"/>
      <w:szCs w:val="36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law/70301/368b.a" TargetMode="External"/><Relationship Id="rId42" Type="http://schemas.openxmlformats.org/officeDocument/2006/relationships/hyperlink" Target="http://www.nevo.co.il/law/70301/368b.a" TargetMode="External"/><Relationship Id="rId41" Type="http://schemas.openxmlformats.org/officeDocument/2006/relationships/hyperlink" Target="http://www.nevo.co.il/law/70301/368b.a" TargetMode="External"/><Relationship Id="rId44" Type="http://schemas.openxmlformats.org/officeDocument/2006/relationships/hyperlink" Target="http://www.nevo.co.il/law/70301/379" TargetMode="External"/><Relationship Id="rId43" Type="http://schemas.openxmlformats.org/officeDocument/2006/relationships/hyperlink" Target="http://www.nevo.co.il/law/70301/368b.a" TargetMode="External"/><Relationship Id="rId46" Type="http://schemas.openxmlformats.org/officeDocument/2006/relationships/header" Target="header1.xml"/><Relationship Id="rId45" Type="http://schemas.openxmlformats.org/officeDocument/2006/relationships/hyperlink" Target="http://www.nevo.co.il/law/70301/3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evo.co.il/law/70301" TargetMode="External"/><Relationship Id="rId48" Type="http://schemas.openxmlformats.org/officeDocument/2006/relationships/footer" Target="footer1.xml"/><Relationship Id="rId47" Type="http://schemas.openxmlformats.org/officeDocument/2006/relationships/header" Target="header2.xml"/><Relationship Id="rId4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80.1" TargetMode="External"/><Relationship Id="rId30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48.a" TargetMode="External"/><Relationship Id="rId32" Type="http://schemas.openxmlformats.org/officeDocument/2006/relationships/hyperlink" Target="http://www.nevo.co.il/law/70301/348.a" TargetMode="External"/><Relationship Id="rId35" Type="http://schemas.openxmlformats.org/officeDocument/2006/relationships/hyperlink" Target="http://www.nevo.co.il/law/70301/348.a" TargetMode="External"/><Relationship Id="rId34" Type="http://schemas.openxmlformats.org/officeDocument/2006/relationships/hyperlink" Target="http://www.nevo.co.il/law/70301/348.a" TargetMode="External"/><Relationship Id="rId37" Type="http://schemas.openxmlformats.org/officeDocument/2006/relationships/hyperlink" Target="http://www.nevo.co.il/law/70301/345.4" TargetMode="External"/><Relationship Id="rId36" Type="http://schemas.openxmlformats.org/officeDocument/2006/relationships/hyperlink" Target="http://www.nevo.co.il/law/70301/345.1" TargetMode="External"/><Relationship Id="rId39" Type="http://schemas.openxmlformats.org/officeDocument/2006/relationships/hyperlink" Target="http://www.nevo.co.il/law/70301/368b.a" TargetMode="External"/><Relationship Id="rId38" Type="http://schemas.openxmlformats.org/officeDocument/2006/relationships/hyperlink" Target="http://www.nevo.co.il/law/70301/368b.a" TargetMode="External"/><Relationship Id="rId20" Type="http://schemas.openxmlformats.org/officeDocument/2006/relationships/hyperlink" Target="http://www.nevo.co.il/law/70301/348.a" TargetMode="External"/><Relationship Id="rId22" Type="http://schemas.openxmlformats.org/officeDocument/2006/relationships/hyperlink" Target="http://www.nevo.co.il/law/70301/368b.a" TargetMode="External"/><Relationship Id="rId21" Type="http://schemas.openxmlformats.org/officeDocument/2006/relationships/hyperlink" Target="http://www.nevo.co.il/law/70301/368b.a" TargetMode="External"/><Relationship Id="rId24" Type="http://schemas.openxmlformats.org/officeDocument/2006/relationships/hyperlink" Target="http://www.nevo.co.il/law/70301/368b.a" TargetMode="External"/><Relationship Id="rId23" Type="http://schemas.openxmlformats.org/officeDocument/2006/relationships/hyperlink" Target="http://www.nevo.co.il/law/70301/368b.a" TargetMode="External"/><Relationship Id="rId26" Type="http://schemas.openxmlformats.org/officeDocument/2006/relationships/hyperlink" Target="http://www.nevo.co.il/law/70301/368b.a" TargetMode="External"/><Relationship Id="rId25" Type="http://schemas.openxmlformats.org/officeDocument/2006/relationships/hyperlink" Target="http://www.nevo.co.il/law/70301/368b.a" TargetMode="External"/><Relationship Id="rId28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79" TargetMode="External"/><Relationship Id="rId29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5.1" TargetMode="External"/><Relationship Id="rId14" Type="http://schemas.openxmlformats.org/officeDocument/2006/relationships/hyperlink" Target="http://www.nevo.co.il/law/70301/280.1" TargetMode="External"/><Relationship Id="rId17" Type="http://schemas.openxmlformats.org/officeDocument/2006/relationships/hyperlink" Target="http://www.nevo.co.il/law/70301/348.a" TargetMode="External"/><Relationship Id="rId16" Type="http://schemas.openxmlformats.org/officeDocument/2006/relationships/hyperlink" Target="http://www.nevo.co.il/law/70301/345.4" TargetMode="External"/><Relationship Id="rId19" Type="http://schemas.openxmlformats.org/officeDocument/2006/relationships/hyperlink" Target="http://www.nevo.co.il/law/70301/348.a" TargetMode="External"/><Relationship Id="rId18" Type="http://schemas.openxmlformats.org/officeDocument/2006/relationships/hyperlink" Target="http://www.nevo.co.il/law/70301/348.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