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647.0" w:type="dxa"/>
        <w:jc w:val="right"/>
        <w:tblLayout w:type="fixed"/>
        <w:tblLook w:val="0000"/>
      </w:tblPr>
      <w:tblGrid>
        <w:gridCol w:w="1418"/>
        <w:gridCol w:w="1701"/>
        <w:gridCol w:w="3119"/>
        <w:gridCol w:w="2409"/>
        <w:tblGridChange w:id="0">
          <w:tblGrid>
            <w:gridCol w:w="1418"/>
            <w:gridCol w:w="1701"/>
            <w:gridCol w:w="3119"/>
            <w:gridCol w:w="24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bidi w:val="1"/>
              <w:ind w:left="0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1"/>
              </w:rPr>
              <w:t xml:space="preserve">בעניין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color w:val="ffffff"/>
                <w:sz w:val="4"/>
                <w:szCs w:val="4"/>
                <w:vertAlign w:val="baseline"/>
                <w:rtl w:val="1"/>
              </w:rPr>
              <w:t xml:space="preserve">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מדינת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ישראל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המאשימה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6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-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פלוני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xxxxxxxxxx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הנאשם</w:t>
            </w:r>
          </w:p>
        </w:tc>
      </w:tr>
    </w:tbl>
    <w:bookmarkStart w:colFirst="0" w:colLast="0" w:name="gjdgxs" w:id="0"/>
    <w:bookmarkEnd w:id="0"/>
    <w:p w:rsidR="00000000" w:rsidDel="00000000" w:rsidP="00000000" w:rsidRDefault="00000000" w:rsidRPr="00000000" w14:paraId="00000017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20" w:lineRule="auto"/>
        <w:ind w:left="283" w:right="0" w:hanging="283"/>
        <w:jc w:val="both"/>
        <w:rPr>
          <w:rFonts w:ascii="FrankRuehl" w:cs="FrankRuehl" w:eastAsia="FrankRuehl" w:hAnsi="FrankRueh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20" w:lineRule="auto"/>
        <w:ind w:left="283" w:right="0" w:hanging="283"/>
        <w:jc w:val="both"/>
        <w:rPr>
          <w:rFonts w:ascii="FrankRuehl" w:cs="FrankRuehl" w:eastAsia="FrankRuehl" w:hAnsi="FrankRuehl"/>
          <w:sz w:val="24"/>
          <w:szCs w:val="24"/>
          <w:vertAlign w:val="baseline"/>
        </w:rPr>
      </w:pPr>
      <w:r w:rsidDel="00000000" w:rsidR="00000000" w:rsidRPr="00000000">
        <w:rPr>
          <w:rFonts w:ascii="FrankRuehl" w:cs="FrankRuehl" w:eastAsia="FrankRuehl" w:hAnsi="FrankRuehl"/>
          <w:sz w:val="24"/>
          <w:szCs w:val="24"/>
          <w:vertAlign w:val="baseline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4"/>
          <w:szCs w:val="24"/>
          <w:vertAlign w:val="baseline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A">
      <w:pPr>
        <w:bidi w:val="1"/>
        <w:spacing w:after="120" w:lineRule="auto"/>
        <w:ind w:left="283" w:right="0" w:hanging="283"/>
        <w:jc w:val="both"/>
        <w:rPr>
          <w:rFonts w:ascii="FrankRuehl" w:cs="FrankRuehl" w:eastAsia="FrankRuehl" w:hAnsi="FrankRuehl"/>
          <w:sz w:val="24"/>
          <w:szCs w:val="24"/>
          <w:vertAlign w:val="baseline"/>
        </w:rPr>
      </w:pPr>
      <w:hyperlink r:id="rId6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1"/>
          </w:rPr>
          <w:t xml:space="preserve">חוק</w:t>
        </w:r>
      </w:hyperlink>
      <w:hyperlink r:id="rId7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1"/>
          </w:rPr>
          <w:t xml:space="preserve"> </w:t>
        </w:r>
      </w:hyperlink>
      <w:hyperlink r:id="rId8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1"/>
          </w:rPr>
          <w:t xml:space="preserve">העונשין</w:t>
        </w:r>
      </w:hyperlink>
      <w:hyperlink r:id="rId9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1"/>
          </w:rPr>
          <w:t xml:space="preserve">, </w:t>
        </w:r>
      </w:hyperlink>
      <w:hyperlink r:id="rId10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1"/>
          </w:rPr>
          <w:t xml:space="preserve">תשל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1"/>
          </w:rPr>
          <w:t xml:space="preserve">"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1"/>
          </w:rPr>
          <w:t xml:space="preserve">ז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1"/>
          </w:rPr>
          <w:t xml:space="preserve">-1977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4"/>
          <w:szCs w:val="24"/>
          <w:vertAlign w:val="baseline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sz w:val="24"/>
          <w:szCs w:val="24"/>
          <w:vertAlign w:val="baseline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sz w:val="24"/>
          <w:szCs w:val="24"/>
          <w:vertAlign w:val="baseline"/>
          <w:rtl w:val="1"/>
        </w:rPr>
        <w:t xml:space="preserve">'  </w:t>
      </w:r>
      <w:hyperlink r:id="rId14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0"/>
          </w:rPr>
          <w:t xml:space="preserve">25</w:t>
        </w:r>
      </w:hyperlink>
      <w:r w:rsidDel="00000000" w:rsidR="00000000" w:rsidRPr="00000000">
        <w:rPr>
          <w:rFonts w:ascii="FrankRuehl" w:cs="FrankRuehl" w:eastAsia="FrankRuehl" w:hAnsi="FrankRuehl"/>
          <w:sz w:val="24"/>
          <w:szCs w:val="24"/>
          <w:vertAlign w:val="baseline"/>
          <w:rtl w:val="0"/>
        </w:rPr>
        <w:t xml:space="preserve">, </w:t>
      </w:r>
      <w:hyperlink r:id="rId15">
        <w:r w:rsidDel="00000000" w:rsidR="00000000" w:rsidRPr="00000000">
          <w:rPr>
            <w:rtl w:val="0"/>
          </w:rPr>
        </w:r>
      </w:hyperlink>
      <w:hyperlink r:id="rId16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1"/>
          </w:rPr>
          <w:t xml:space="preserve">34</w:t>
        </w:r>
      </w:hyperlink>
      <w:hyperlink r:id="rId17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1"/>
          </w:rPr>
          <w:t xml:space="preserve">ד</w:t>
        </w:r>
      </w:hyperlink>
      <w:r w:rsidDel="00000000" w:rsidR="00000000" w:rsidRPr="00000000">
        <w:rPr>
          <w:rFonts w:ascii="FrankRuehl" w:cs="FrankRuehl" w:eastAsia="FrankRuehl" w:hAnsi="FrankRuehl"/>
          <w:sz w:val="24"/>
          <w:szCs w:val="24"/>
          <w:vertAlign w:val="baseline"/>
          <w:rtl w:val="0"/>
        </w:rPr>
        <w:t xml:space="preserve">, </w:t>
      </w:r>
      <w:hyperlink r:id="rId18">
        <w:r w:rsidDel="00000000" w:rsidR="00000000" w:rsidRPr="00000000">
          <w:rPr>
            <w:rtl w:val="0"/>
          </w:rPr>
        </w:r>
      </w:hyperlink>
      <w:hyperlink r:id="rId19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1"/>
          </w:rPr>
          <w:t xml:space="preserve">351(</w:t>
        </w:r>
      </w:hyperlink>
      <w:hyperlink r:id="rId20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1"/>
          </w:rPr>
          <w:t xml:space="preserve">א</w:t>
        </w:r>
      </w:hyperlink>
      <w:hyperlink r:id="rId21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sz w:val="24"/>
          <w:szCs w:val="24"/>
          <w:vertAlign w:val="baseline"/>
          <w:rtl w:val="0"/>
        </w:rPr>
        <w:t xml:space="preserve">, </w:t>
      </w:r>
      <w:hyperlink r:id="rId22">
        <w:r w:rsidDel="00000000" w:rsidR="00000000" w:rsidRPr="00000000">
          <w:rPr>
            <w:rtl w:val="0"/>
          </w:rPr>
        </w:r>
      </w:hyperlink>
      <w:hyperlink r:id="rId23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1"/>
          </w:rPr>
          <w:t xml:space="preserve">351(</w:t>
        </w:r>
      </w:hyperlink>
      <w:hyperlink r:id="rId24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1"/>
          </w:rPr>
          <w:t xml:space="preserve">ג</w:t>
        </w:r>
      </w:hyperlink>
      <w:hyperlink r:id="rId25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u w:val="single"/>
            <w:vertAlign w:val="baseline"/>
            <w:rtl w:val="1"/>
          </w:rPr>
          <w:t xml:space="preserve">)(2)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B">
      <w:pPr>
        <w:bidi w:val="1"/>
        <w:spacing w:after="120" w:lineRule="auto"/>
        <w:ind w:left="283" w:right="0" w:hanging="283"/>
        <w:jc w:val="both"/>
        <w:rPr>
          <w:rFonts w:ascii="FrankRuehl" w:cs="FrankRuehl" w:eastAsia="FrankRuehl" w:hAnsi="FrankRueh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0" w:right="0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0" w:right="0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0" w:right="0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1">
      <w:pPr>
        <w:bidi w:val="1"/>
        <w:ind w:left="0" w:right="0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גזר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דיננו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29.11.99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בביצוע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351(</w:t>
        </w:r>
      </w:hyperlink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ג</w:t>
        </w:r>
      </w:hyperlink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)(2)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חוק</w:t>
        </w:r>
      </w:hyperlink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351(</w:t>
        </w:r>
      </w:hyperlink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א</w:t>
        </w:r>
      </w:hyperlink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25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hyperlink r:id="rId39">
        <w:r w:rsidDel="00000000" w:rsidR="00000000" w:rsidRPr="00000000">
          <w:rPr>
            <w:rtl w:val="0"/>
          </w:rPr>
        </w:r>
      </w:hyperlink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34</w:t>
        </w:r>
      </w:hyperlink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ד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העונשין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4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351(</w:t>
        </w:r>
      </w:hyperlink>
      <w:hyperlink r:id="rId4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א</w:t>
        </w:r>
      </w:hyperlink>
      <w:hyperlink r:id="rId4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4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25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hyperlink r:id="rId48">
        <w:r w:rsidDel="00000000" w:rsidR="00000000" w:rsidRPr="00000000">
          <w:rPr>
            <w:rtl w:val="0"/>
          </w:rPr>
        </w:r>
      </w:hyperlink>
      <w:hyperlink r:id="rId4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34</w:t>
        </w:r>
      </w:hyperlink>
      <w:hyperlink r:id="rId5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ד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העונשין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בהרחבה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"/>
          <w:szCs w:val="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"/>
          <w:szCs w:val="4"/>
          <w:u w:val="none"/>
          <w:shd w:fill="auto" w:val="clear"/>
          <w:vertAlign w:val="baseline"/>
          <w:rtl w:val="0"/>
        </w:rPr>
        <w:t xml:space="preserve">5129371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"/>
          <w:szCs w:val="4"/>
          <w:u w:val="none"/>
          <w:shd w:fill="auto" w:val="clear"/>
          <w:vertAlign w:val="baseline"/>
          <w:rtl w:val="0"/>
        </w:rPr>
        <w:t xml:space="preserve">5129371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המתלוננת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אחייניתו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להפשיט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מבגדיה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ולשפשף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ירכיה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בישבנה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המתלוננת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שנגרמו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המתלוננת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ובחלקי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וליקק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המתלוננת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נפסקו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המתלוננת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14.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הטיעונים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ממושכת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וארוכה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ישקף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במתלוננת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שבהרתעה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בטיעוניה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הנזק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שנגרם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למתלוננת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המתלוננת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הסניגורית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לנסיבותיו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האישיות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לאלכוהול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קיצבת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מהביטוח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השכרות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כמפורט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דיננו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הסניגורית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בוצעו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המשפחתית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למתלוננת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בוצעו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במתלוננת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ובטרם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מצווה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ולהרתיע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ילכו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מרתיע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הרתעת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"/>
          <w:szCs w:val="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851" w:right="85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הרתעת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עבריינים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התגמול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כהבעת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סלידה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מהמעשה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ונכון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שלפנינו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שלעיתים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מתגלות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בעטיו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שתיקה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והשתקה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הולמת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ובלתי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להשפיע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ההתעללות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להסתכן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המעשים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לאיומיו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מבצעם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בענישה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להוכיח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לעבריינים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הפסדה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שכרו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851" w:right="85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5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5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5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490/89 </w:t>
        </w:r>
      </w:hyperlink>
      <w:hyperlink r:id="rId5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פלוני</w:t>
        </w:r>
      </w:hyperlink>
      <w:hyperlink r:id="rId5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5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נ</w:t>
        </w:r>
      </w:hyperlink>
      <w:hyperlink r:id="rId5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' </w:t>
        </w:r>
      </w:hyperlink>
      <w:hyperlink r:id="rId5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מ</w:t>
        </w:r>
      </w:hyperlink>
      <w:hyperlink r:id="rId6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6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י</w:t>
        </w:r>
      </w:hyperlink>
      <w:hyperlink r:id="rId6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, </w:t>
        </w:r>
      </w:hyperlink>
      <w:hyperlink r:id="rId6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פד</w:t>
        </w:r>
      </w:hyperlink>
      <w:hyperlink r:id="rId6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6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י</w:t>
        </w:r>
      </w:hyperlink>
      <w:hyperlink r:id="rId6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6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מה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(4) 93, 96).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במלאכת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גזירת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ומהנזק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שנגרם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למתלוננת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נזק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המתלוננת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תימוכין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המתלוננת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תסקיר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הנפגעת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מהתסקיר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המתלוננת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רגשות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השפלה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וחוסר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ההתנסויות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ההתעללות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דודה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ופגיעתו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לזקוף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נסיבותיו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האישיות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ולהתחשב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המיוחסות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ונסיבותיו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האישיות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מתגמדות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ושיקולי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ההרתעה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למבוגרים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בתסקירו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נמנע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מהמלצה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שבמצבו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בשתייה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אינטנסיבית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851" w:right="85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גם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גיליון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הרשעותיו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הקודמות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יש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בו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במידה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מסויימת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לשפוך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אור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מסוכנותו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לחברה</w:t>
      </w:r>
      <w:r w:rsidDel="00000000" w:rsidR="00000000" w:rsidRPr="00000000">
        <w:rPr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8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לאור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האמור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לעיל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לאחר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ששקלנו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העניין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היבטיו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ומכל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צדדיו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ולאחר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ששמענו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טיעוניהם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באי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כוח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הצדדים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לעונש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ובהתחשב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במכלול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הנסיבות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לקולא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לחומרא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הגענו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למסקנה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יש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להעדיף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האינטרס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הציבורי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פני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שיקולים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אחרים</w:t>
      </w:r>
      <w:r w:rsidDel="00000000" w:rsidR="00000000" w:rsidRPr="00000000">
        <w:rPr>
          <w:vertAlign w:val="baseline"/>
          <w:rtl w:val="1"/>
        </w:rPr>
        <w:t xml:space="preserve">; </w:t>
      </w:r>
      <w:r w:rsidDel="00000000" w:rsidR="00000000" w:rsidRPr="00000000">
        <w:rPr>
          <w:vertAlign w:val="baseline"/>
          <w:rtl w:val="1"/>
        </w:rPr>
        <w:t xml:space="preserve">אינטרס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זה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מחייב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למצות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הדין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כדי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שהוא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כמו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גם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עבריינים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בפוטנציה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ידעו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בבוא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העת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אם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יבצעו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מעשים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אלה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יהיה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עליהם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לתת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הדין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מעשיהם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המתועבים</w:t>
      </w:r>
      <w:r w:rsidDel="00000000" w:rsidR="00000000" w:rsidRPr="00000000">
        <w:rPr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A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אנו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מטילים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עונש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בפועל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לתקופה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10 </w:t>
      </w:r>
      <w:r w:rsidDel="00000000" w:rsidR="00000000" w:rsidRPr="00000000">
        <w:rPr>
          <w:vertAlign w:val="baseline"/>
          <w:rtl w:val="1"/>
        </w:rPr>
        <w:t xml:space="preserve">שנים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מתוכן</w:t>
      </w:r>
      <w:r w:rsidDel="00000000" w:rsidR="00000000" w:rsidRPr="00000000">
        <w:rPr>
          <w:vertAlign w:val="baseline"/>
          <w:rtl w:val="1"/>
        </w:rPr>
        <w:t xml:space="preserve"> 8 </w:t>
      </w:r>
      <w:r w:rsidDel="00000000" w:rsidR="00000000" w:rsidRPr="00000000">
        <w:rPr>
          <w:vertAlign w:val="baseline"/>
          <w:rtl w:val="1"/>
        </w:rPr>
        <w:t xml:space="preserve">שנים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בפועל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והיתרה</w:t>
      </w:r>
      <w:r w:rsidDel="00000000" w:rsidR="00000000" w:rsidRPr="00000000">
        <w:rPr>
          <w:vertAlign w:val="baseline"/>
          <w:rtl w:val="1"/>
        </w:rPr>
        <w:t xml:space="preserve"> - </w:t>
      </w:r>
      <w:r w:rsidDel="00000000" w:rsidR="00000000" w:rsidRPr="00000000">
        <w:rPr>
          <w:vertAlign w:val="baseline"/>
          <w:rtl w:val="1"/>
        </w:rPr>
        <w:t xml:space="preserve">שנתיים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תנאי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והתנאי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לבל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יעבור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עבירת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מסוג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פשע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במשך</w:t>
      </w:r>
      <w:r w:rsidDel="00000000" w:rsidR="00000000" w:rsidRPr="00000000">
        <w:rPr>
          <w:vertAlign w:val="baseline"/>
          <w:rtl w:val="1"/>
        </w:rPr>
        <w:t xml:space="preserve"> 3 </w:t>
      </w:r>
      <w:r w:rsidDel="00000000" w:rsidR="00000000" w:rsidRPr="00000000">
        <w:rPr>
          <w:vertAlign w:val="baseline"/>
          <w:rtl w:val="1"/>
        </w:rPr>
        <w:t xml:space="preserve">שנים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מיום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שחרורו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הכלא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ויורשע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עליה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C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ind w:left="0" w:right="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1"/>
        </w:rPr>
        <w:t xml:space="preserve">הוסברה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לנאשם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זכות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ערעור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תוך</w:t>
      </w:r>
      <w:r w:rsidDel="00000000" w:rsidR="00000000" w:rsidRPr="00000000">
        <w:rPr>
          <w:b w:val="1"/>
          <w:vertAlign w:val="baseline"/>
          <w:rtl w:val="1"/>
        </w:rPr>
        <w:t xml:space="preserve"> 45 </w:t>
      </w:r>
      <w:r w:rsidDel="00000000" w:rsidR="00000000" w:rsidRPr="00000000">
        <w:rPr>
          <w:b w:val="1"/>
          <w:vertAlign w:val="baseline"/>
          <w:rtl w:val="1"/>
        </w:rPr>
        <w:t xml:space="preserve">יום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לבית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המשפט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העליון</w:t>
      </w:r>
      <w:r w:rsidDel="00000000" w:rsidR="00000000" w:rsidRPr="00000000">
        <w:rPr>
          <w:b w:val="1"/>
          <w:vertAlign w:val="baseline"/>
          <w:rtl w:val="1"/>
        </w:rPr>
        <w:t xml:space="preserve">.</w:t>
      </w:r>
      <w:r w:rsidDel="00000000" w:rsidR="00000000" w:rsidRPr="00000000">
        <w:rPr>
          <w:b w:val="1"/>
          <w:color w:val="ffffff"/>
          <w:sz w:val="4"/>
          <w:szCs w:val="4"/>
          <w:vertAlign w:val="baseline"/>
          <w:rtl w:val="1"/>
        </w:rPr>
        <w:t xml:space="preserve">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ind w:left="0" w:right="0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ניתן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היום</w:t>
      </w:r>
      <w:r w:rsidDel="00000000" w:rsidR="00000000" w:rsidRPr="00000000">
        <w:rPr>
          <w:vertAlign w:val="baseline"/>
          <w:rtl w:val="1"/>
        </w:rPr>
        <w:t xml:space="preserve"> 12/1/2000 </w:t>
      </w:r>
      <w:r w:rsidDel="00000000" w:rsidR="00000000" w:rsidRPr="00000000">
        <w:rPr>
          <w:vertAlign w:val="baseline"/>
          <w:rtl w:val="1"/>
        </w:rPr>
        <w:t xml:space="preserve">במעמד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</w:t>
      </w:r>
      <w:r w:rsidDel="00000000" w:rsidR="00000000" w:rsidRPr="00000000">
        <w:rPr>
          <w:vertAlign w:val="baseline"/>
          <w:rtl w:val="1"/>
        </w:rPr>
        <w:t xml:space="preserve">"</w:t>
      </w:r>
      <w:r w:rsidDel="00000000" w:rsidR="00000000" w:rsidRPr="00000000">
        <w:rPr>
          <w:vertAlign w:val="baseline"/>
          <w:rtl w:val="1"/>
        </w:rPr>
        <w:t xml:space="preserve">כ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המדינה</w:t>
      </w:r>
      <w:r w:rsidDel="00000000" w:rsidR="00000000" w:rsidRPr="00000000">
        <w:rPr>
          <w:vertAlign w:val="baseline"/>
          <w:rtl w:val="1"/>
        </w:rPr>
        <w:t xml:space="preserve"> - </w:t>
      </w:r>
      <w:r w:rsidDel="00000000" w:rsidR="00000000" w:rsidRPr="00000000">
        <w:rPr>
          <w:vertAlign w:val="baseline"/>
          <w:rtl w:val="1"/>
        </w:rPr>
        <w:t xml:space="preserve">עו</w:t>
      </w:r>
      <w:r w:rsidDel="00000000" w:rsidR="00000000" w:rsidRPr="00000000">
        <w:rPr>
          <w:vertAlign w:val="baseline"/>
          <w:rtl w:val="1"/>
        </w:rPr>
        <w:t xml:space="preserve">"</w:t>
      </w:r>
      <w:r w:rsidDel="00000000" w:rsidR="00000000" w:rsidRPr="00000000">
        <w:rPr>
          <w:vertAlign w:val="baseline"/>
          <w:rtl w:val="1"/>
        </w:rPr>
        <w:t xml:space="preserve">ד</w:t>
      </w:r>
      <w:r w:rsidDel="00000000" w:rsidR="00000000" w:rsidRPr="00000000">
        <w:rPr>
          <w:vertAlign w:val="baseline"/>
          <w:rtl w:val="1"/>
        </w:rPr>
        <w:t xml:space="preserve"> ______________, </w:t>
      </w:r>
      <w:r w:rsidDel="00000000" w:rsidR="00000000" w:rsidRPr="00000000">
        <w:rPr>
          <w:vertAlign w:val="baseline"/>
          <w:rtl w:val="1"/>
        </w:rPr>
        <w:t xml:space="preserve">ב</w:t>
      </w:r>
      <w:r w:rsidDel="00000000" w:rsidR="00000000" w:rsidRPr="00000000">
        <w:rPr>
          <w:vertAlign w:val="baseline"/>
          <w:rtl w:val="1"/>
        </w:rPr>
        <w:t xml:space="preserve">"</w:t>
      </w:r>
      <w:r w:rsidDel="00000000" w:rsidR="00000000" w:rsidRPr="00000000">
        <w:rPr>
          <w:vertAlign w:val="baseline"/>
          <w:rtl w:val="1"/>
        </w:rPr>
        <w:t xml:space="preserve">כ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- </w:t>
      </w:r>
      <w:r w:rsidDel="00000000" w:rsidR="00000000" w:rsidRPr="00000000">
        <w:rPr>
          <w:vertAlign w:val="baseline"/>
          <w:rtl w:val="1"/>
        </w:rPr>
        <w:t xml:space="preserve">עו</w:t>
      </w:r>
      <w:r w:rsidDel="00000000" w:rsidR="00000000" w:rsidRPr="00000000">
        <w:rPr>
          <w:vertAlign w:val="baseline"/>
          <w:rtl w:val="1"/>
        </w:rPr>
        <w:t xml:space="preserve">"</w:t>
      </w:r>
      <w:r w:rsidDel="00000000" w:rsidR="00000000" w:rsidRPr="00000000">
        <w:rPr>
          <w:vertAlign w:val="baseline"/>
          <w:rtl w:val="1"/>
        </w:rPr>
        <w:t xml:space="preserve">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גב</w:t>
      </w:r>
      <w:r w:rsidDel="00000000" w:rsidR="00000000" w:rsidRPr="00000000">
        <w:rPr>
          <w:vertAlign w:val="baseline"/>
          <w:rtl w:val="1"/>
        </w:rPr>
        <w:t xml:space="preserve">' </w:t>
      </w:r>
      <w:r w:rsidDel="00000000" w:rsidR="00000000" w:rsidRPr="00000000">
        <w:rPr>
          <w:vertAlign w:val="baseline"/>
          <w:rtl w:val="1"/>
        </w:rPr>
        <w:t xml:space="preserve">וופא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זועבי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פהום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בעצמו</w:t>
      </w:r>
      <w:r w:rsidDel="00000000" w:rsidR="00000000" w:rsidRPr="00000000">
        <w:rPr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1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מותר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לפרסום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מיום</w:t>
      </w:r>
      <w:r w:rsidDel="00000000" w:rsidR="00000000" w:rsidRPr="00000000">
        <w:rPr>
          <w:vertAlign w:val="baseline"/>
          <w:rtl w:val="1"/>
        </w:rPr>
        <w:t xml:space="preserve"> 12/01/2000. </w:t>
      </w:r>
    </w:p>
    <w:p w:rsidR="00000000" w:rsidDel="00000000" w:rsidP="00000000" w:rsidRDefault="00000000" w:rsidRPr="00000000" w14:paraId="00000053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9.0" w:type="dxa"/>
        <w:jc w:val="left"/>
        <w:tblInd w:w="0.0" w:type="dxa"/>
        <w:tblLayout w:type="fixed"/>
        <w:tblLook w:val="0000"/>
      </w:tblPr>
      <w:tblGrid>
        <w:gridCol w:w="2125"/>
        <w:gridCol w:w="1077"/>
        <w:gridCol w:w="2125"/>
        <w:gridCol w:w="1077"/>
        <w:gridCol w:w="2125"/>
        <w:tblGridChange w:id="0">
          <w:tblGrid>
            <w:gridCol w:w="2125"/>
            <w:gridCol w:w="1077"/>
            <w:gridCol w:w="2125"/>
            <w:gridCol w:w="1077"/>
            <w:gridCol w:w="21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שטמר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שופטת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שופט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ובראן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שופט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] </w:t>
            </w:r>
          </w:p>
        </w:tc>
      </w:tr>
    </w:tbl>
    <w:p w:rsidR="00000000" w:rsidDel="00000000" w:rsidP="00000000" w:rsidRDefault="00000000" w:rsidRPr="00000000" w14:paraId="0000005B">
      <w:pPr>
        <w:bidi w:val="1"/>
        <w:ind w:left="0" w:right="0" w:firstLine="0"/>
        <w:jc w:val="both"/>
        <w:rPr>
          <w:color w:val="ffffff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color w:val="ffffff"/>
          <w:sz w:val="4"/>
          <w:szCs w:val="4"/>
          <w:vertAlign w:val="baseline"/>
          <w:rtl w:val="0"/>
        </w:rPr>
        <w:t xml:space="preserve">5129371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ליאת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פנקר</w:t>
      </w:r>
      <w:r w:rsidDel="00000000" w:rsidR="00000000" w:rsidRPr="00000000">
        <w:rPr>
          <w:vertAlign w:val="baseline"/>
          <w:rtl w:val="1"/>
        </w:rPr>
        <w:t xml:space="preserve"> / </w:t>
      </w:r>
      <w:r w:rsidDel="00000000" w:rsidR="00000000" w:rsidRPr="00000000">
        <w:rPr>
          <w:vertAlign w:val="baseline"/>
          <w:rtl w:val="0"/>
        </w:rPr>
        <w:t xml:space="preserve">g</w:t>
      </w:r>
      <w:r w:rsidDel="00000000" w:rsidR="00000000" w:rsidRPr="00000000">
        <w:rPr>
          <w:vertAlign w:val="baseline"/>
          <w:rtl w:val="0"/>
        </w:rPr>
        <w:t xml:space="preserve">00112297</w:t>
      </w:r>
      <w:r w:rsidDel="00000000" w:rsidR="00000000" w:rsidRPr="00000000">
        <w:rPr>
          <w:vertAlign w:val="baseline"/>
          <w:rtl w:val="0"/>
        </w:rPr>
        <w:t xml:space="preserve">p</w:t>
      </w:r>
      <w:r w:rsidDel="00000000" w:rsidR="00000000" w:rsidRPr="00000000">
        <w:rPr>
          <w:vertAlign w:val="baseline"/>
          <w:rtl w:val="1"/>
        </w:rPr>
        <w:t xml:space="preserve">.1</w:t>
      </w:r>
    </w:p>
    <w:p w:rsidR="00000000" w:rsidDel="00000000" w:rsidP="00000000" w:rsidRDefault="00000000" w:rsidRPr="00000000" w14:paraId="0000005E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נוסח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מסמך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זה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כפוף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לשינויי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ניסוח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ועריכה</w:t>
      </w:r>
    </w:p>
    <w:sectPr>
      <w:headerReference r:id="rId68" w:type="default"/>
      <w:headerReference r:id="rId69" w:type="even"/>
      <w:footerReference r:id="rId70" w:type="default"/>
      <w:footerReference r:id="rId71" w:type="even"/>
      <w:pgSz w:h="16840" w:w="11907" w:orient="portrait"/>
      <w:pgMar w:bottom="1440" w:top="2268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FrankRueh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pos="4153"/>
        <w:tab w:val="right" w:pos="8306"/>
      </w:tabs>
      <w:bidi w:val="1"/>
      <w:spacing w:after="6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נבו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הוצאה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לאור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בע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מ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nevo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co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il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המאגר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המשפטי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הישראלי</w:t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M:\0-000-katin\g112297p.doc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pos="4153"/>
        <w:tab w:val="right" w:pos="8306"/>
      </w:tabs>
      <w:bidi w:val="1"/>
      <w:spacing w:after="6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נבו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הוצאה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לאור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בע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מ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nevo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co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il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המאגר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המשפטי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הישראלי</w:t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M:\0-000-katin\g112297p.doc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right" w:pos="8311"/>
      </w:tabs>
      <w:bidi w:val="1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חי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') 1122/97</w:t>
      <w:tab/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פלוני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right" w:pos="8311"/>
      </w:tabs>
      <w:bidi w:val="1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חי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') 1122/97</w:t>
      <w:tab/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פלוני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bidi w:val="1"/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60" w:before="240" w:line="36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nevo.co.il/law/70301/34d" TargetMode="External"/><Relationship Id="rId42" Type="http://schemas.openxmlformats.org/officeDocument/2006/relationships/hyperlink" Target="http://www.nevo.co.il/law/70301/351.a" TargetMode="External"/><Relationship Id="rId41" Type="http://schemas.openxmlformats.org/officeDocument/2006/relationships/hyperlink" Target="http://www.nevo.co.il/law/70301/34d" TargetMode="External"/><Relationship Id="rId44" Type="http://schemas.openxmlformats.org/officeDocument/2006/relationships/hyperlink" Target="http://www.nevo.co.il/law/70301/351.a" TargetMode="External"/><Relationship Id="rId43" Type="http://schemas.openxmlformats.org/officeDocument/2006/relationships/hyperlink" Target="http://www.nevo.co.il/law/70301/351.a" TargetMode="External"/><Relationship Id="rId46" Type="http://schemas.openxmlformats.org/officeDocument/2006/relationships/hyperlink" Target="http://www.nevo.co.il/law/70301/25" TargetMode="External"/><Relationship Id="rId45" Type="http://schemas.openxmlformats.org/officeDocument/2006/relationships/hyperlink" Target="http://www.nevo.co.il/law/70301/351.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4d" TargetMode="External"/><Relationship Id="rId47" Type="http://schemas.openxmlformats.org/officeDocument/2006/relationships/hyperlink" Target="http://www.nevo.co.il/law/70301/25" TargetMode="External"/><Relationship Id="rId49" Type="http://schemas.openxmlformats.org/officeDocument/2006/relationships/hyperlink" Target="http://www.nevo.co.il/law/70301/34d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51.a" TargetMode="External"/><Relationship Id="rId32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51.a" TargetMode="External"/><Relationship Id="rId34" Type="http://schemas.openxmlformats.org/officeDocument/2006/relationships/hyperlink" Target="http://www.nevo.co.il/law/70301/351.a" TargetMode="External"/><Relationship Id="rId71" Type="http://schemas.openxmlformats.org/officeDocument/2006/relationships/footer" Target="footer2.xml"/><Relationship Id="rId70" Type="http://schemas.openxmlformats.org/officeDocument/2006/relationships/footer" Target="footer1.xml"/><Relationship Id="rId37" Type="http://schemas.openxmlformats.org/officeDocument/2006/relationships/hyperlink" Target="http://www.nevo.co.il/law/70301/25" TargetMode="External"/><Relationship Id="rId36" Type="http://schemas.openxmlformats.org/officeDocument/2006/relationships/hyperlink" Target="http://www.nevo.co.il/law/70301/351.a" TargetMode="External"/><Relationship Id="rId39" Type="http://schemas.openxmlformats.org/officeDocument/2006/relationships/hyperlink" Target="http://www.nevo.co.il/law/70301/34d" TargetMode="External"/><Relationship Id="rId38" Type="http://schemas.openxmlformats.org/officeDocument/2006/relationships/hyperlink" Target="http://www.nevo.co.il/law/70301/25" TargetMode="External"/><Relationship Id="rId62" Type="http://schemas.openxmlformats.org/officeDocument/2006/relationships/hyperlink" Target="http://www.nevo.co.il/case/17938476" TargetMode="External"/><Relationship Id="rId61" Type="http://schemas.openxmlformats.org/officeDocument/2006/relationships/hyperlink" Target="http://www.nevo.co.il/case/17938476" TargetMode="External"/><Relationship Id="rId20" Type="http://schemas.openxmlformats.org/officeDocument/2006/relationships/hyperlink" Target="http://www.nevo.co.il/law/70301/351.a" TargetMode="External"/><Relationship Id="rId64" Type="http://schemas.openxmlformats.org/officeDocument/2006/relationships/hyperlink" Target="http://www.nevo.co.il/case/17938476" TargetMode="External"/><Relationship Id="rId63" Type="http://schemas.openxmlformats.org/officeDocument/2006/relationships/hyperlink" Target="http://www.nevo.co.il/case/17938476" TargetMode="External"/><Relationship Id="rId22" Type="http://schemas.openxmlformats.org/officeDocument/2006/relationships/hyperlink" Target="http://www.nevo.co.il/law/70301/351.c.2" TargetMode="External"/><Relationship Id="rId66" Type="http://schemas.openxmlformats.org/officeDocument/2006/relationships/hyperlink" Target="http://www.nevo.co.il/case/17938476" TargetMode="External"/><Relationship Id="rId21" Type="http://schemas.openxmlformats.org/officeDocument/2006/relationships/hyperlink" Target="http://www.nevo.co.il/law/70301/351.a" TargetMode="External"/><Relationship Id="rId65" Type="http://schemas.openxmlformats.org/officeDocument/2006/relationships/hyperlink" Target="http://www.nevo.co.il/case/17938476" TargetMode="External"/><Relationship Id="rId24" Type="http://schemas.openxmlformats.org/officeDocument/2006/relationships/hyperlink" Target="http://www.nevo.co.il/law/70301/351.c.2" TargetMode="External"/><Relationship Id="rId68" Type="http://schemas.openxmlformats.org/officeDocument/2006/relationships/header" Target="header1.xml"/><Relationship Id="rId23" Type="http://schemas.openxmlformats.org/officeDocument/2006/relationships/hyperlink" Target="http://www.nevo.co.il/law/70301/351.c.2" TargetMode="External"/><Relationship Id="rId67" Type="http://schemas.openxmlformats.org/officeDocument/2006/relationships/hyperlink" Target="http://www.nevo.co.il/case/17938476" TargetMode="External"/><Relationship Id="rId60" Type="http://schemas.openxmlformats.org/officeDocument/2006/relationships/hyperlink" Target="http://www.nevo.co.il/case/17938476" TargetMode="External"/><Relationship Id="rId26" Type="http://schemas.openxmlformats.org/officeDocument/2006/relationships/hyperlink" Target="http://www.nevo.co.il/law/70301/351.c.2" TargetMode="External"/><Relationship Id="rId25" Type="http://schemas.openxmlformats.org/officeDocument/2006/relationships/hyperlink" Target="http://www.nevo.co.il/law/70301/351.c.2" TargetMode="External"/><Relationship Id="rId69" Type="http://schemas.openxmlformats.org/officeDocument/2006/relationships/header" Target="header2.xml"/><Relationship Id="rId28" Type="http://schemas.openxmlformats.org/officeDocument/2006/relationships/hyperlink" Target="http://www.nevo.co.il/law/70301/351.c.2" TargetMode="External"/><Relationship Id="rId27" Type="http://schemas.openxmlformats.org/officeDocument/2006/relationships/hyperlink" Target="http://www.nevo.co.il/law/70301/351.c.2" TargetMode="External"/><Relationship Id="rId29" Type="http://schemas.openxmlformats.org/officeDocument/2006/relationships/hyperlink" Target="http://www.nevo.co.il/law/70301/351.c.2" TargetMode="External"/><Relationship Id="rId51" Type="http://schemas.openxmlformats.org/officeDocument/2006/relationships/hyperlink" Target="http://www.nevo.co.il/case/17938476" TargetMode="External"/><Relationship Id="rId50" Type="http://schemas.openxmlformats.org/officeDocument/2006/relationships/hyperlink" Target="http://www.nevo.co.il/law/70301/34d" TargetMode="External"/><Relationship Id="rId53" Type="http://schemas.openxmlformats.org/officeDocument/2006/relationships/hyperlink" Target="http://www.nevo.co.il/case/17938476" TargetMode="External"/><Relationship Id="rId52" Type="http://schemas.openxmlformats.org/officeDocument/2006/relationships/hyperlink" Target="http://www.nevo.co.il/case/17938476" TargetMode="External"/><Relationship Id="rId11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17938476" TargetMode="External"/><Relationship Id="rId10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17938476" TargetMode="External"/><Relationship Id="rId13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17938476" TargetMode="External"/><Relationship Id="rId12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17938476" TargetMode="External"/><Relationship Id="rId15" Type="http://schemas.openxmlformats.org/officeDocument/2006/relationships/hyperlink" Target="http://www.nevo.co.il/law/70301/34d" TargetMode="External"/><Relationship Id="rId59" Type="http://schemas.openxmlformats.org/officeDocument/2006/relationships/hyperlink" Target="http://www.nevo.co.il/case/17938476" TargetMode="External"/><Relationship Id="rId14" Type="http://schemas.openxmlformats.org/officeDocument/2006/relationships/hyperlink" Target="http://www.nevo.co.il/law/70301/25" TargetMode="External"/><Relationship Id="rId58" Type="http://schemas.openxmlformats.org/officeDocument/2006/relationships/hyperlink" Target="http://www.nevo.co.il/case/17938476" TargetMode="External"/><Relationship Id="rId17" Type="http://schemas.openxmlformats.org/officeDocument/2006/relationships/hyperlink" Target="http://www.nevo.co.il/law/70301/34d" TargetMode="External"/><Relationship Id="rId16" Type="http://schemas.openxmlformats.org/officeDocument/2006/relationships/hyperlink" Target="http://www.nevo.co.il/law/70301/34d" TargetMode="External"/><Relationship Id="rId19" Type="http://schemas.openxmlformats.org/officeDocument/2006/relationships/hyperlink" Target="http://www.nevo.co.il/law/70301/351.a" TargetMode="External"/><Relationship Id="rId18" Type="http://schemas.openxmlformats.org/officeDocument/2006/relationships/hyperlink" Target="http://www.nevo.co.il/law/70301/351.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