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4.</w:t>
      </w:r>
      <w:r>
        <w:t xml:space="preserve"> </w:t>
      </w: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30</w:t>
      </w:r>
    </w:p>
    <w:p>
      <w:pPr>
        <w:pStyle w:val="Author"/>
      </w:pPr>
      <w:r>
        <w:t xml:space="preserve">Асеинова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данной работе мы должны построить фазовый портрет гармонического осциллятора и решение уравнения гармонического осциллятора для нескольких случаев в среде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  <w:r>
        <w:t xml:space="preserve"> </w:t>
      </w:r>
      <w:r>
        <w:t xml:space="preserve">1. 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r>
            <m:t>4.3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2. Колебания гармонического осциллятора c затуханием и без действий внешней силы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′</m:t>
          </m:r>
          <m:r>
            <m:rPr>
              <m:sty m:val="p"/>
            </m:rPr>
            <m:t>+</m:t>
          </m:r>
          <m:r>
            <m:t>20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3. Колебания гармонического осциллятора c затуханием и под действием внешней силы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′</m:t>
          </m:r>
          <m:r>
            <m:rPr>
              <m:sty m:val="p"/>
            </m:rPr>
            <m:t>+</m:t>
          </m:r>
          <m:r>
            <m:t>8.8</m:t>
          </m:r>
          <m:r>
            <m:t>x</m:t>
          </m:r>
          <m:r>
            <m:rPr>
              <m:sty m:val="p"/>
            </m:rPr>
            <m:t>=</m:t>
          </m:r>
          <m:r>
            <m:t>0.7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61</m:t>
            </m:r>
          </m:e>
        </m:d>
      </m:oMath>
      <w:r>
        <w:t xml:space="preserve"> </w:t>
      </w:r>
      <w:r>
        <w:t xml:space="preserve">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0.3</m:t>
        </m:r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1.3</m:t>
        </m:r>
      </m:oMath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Уравнение свободных колебаний гармонического осциллятора имеет</w:t>
      </w:r>
      <w:r>
        <w:t xml:space="preserve"> </w:t>
      </w:r>
      <w:r>
        <w:t xml:space="preserve">следующий вид: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r>
            <m:t>2</m:t>
          </m:r>
          <m:r>
            <m:t>γ</m:t>
          </m:r>
          <m:r>
            <m:t>x</m:t>
          </m:r>
          <m:r>
            <m:rPr>
              <m:sty m:val="p"/>
            </m:rPr>
            <m:t>′</m:t>
          </m:r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 x – переменная, описывающая состояние системы,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– параметр, характеризующий потери энергии,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– собственная частота колебаний, t – время.</w:t>
      </w:r>
    </w:p>
    <w:p>
      <w:pPr>
        <w:pStyle w:val="BodyText"/>
      </w:pPr>
      <w:r>
        <w:t xml:space="preserve">Уравнение есть линейное однородное дифференциальное уравнение</w:t>
      </w:r>
      <w:r>
        <w:t xml:space="preserve"> </w:t>
      </w:r>
      <w:r>
        <w:t xml:space="preserve">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вместо данного уравнения получаем уравнение консервативного осциллятора,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данного уравнения второго порядка необходимо задать два начальных условия: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порядка, тогда начальные условия примут следующий вид: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Независимые переменные x, y определяют пространство, в котором</w:t>
      </w:r>
      <w:r>
        <w:t xml:space="preserve"> </w:t>
      </w:r>
      <w:r>
        <w:t xml:space="preserve">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 x, y 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</w:t>
      </w:r>
      <w:r>
        <w:t xml:space="preserve"> </w:t>
      </w:r>
      <w:r>
        <w:t xml:space="preserve">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  <w:r>
        <w:rPr>
          <w:rStyle w:val="FootnoteReference"/>
        </w:rPr>
        <w:footnoteReference w:id="22"/>
      </w:r>
    </w:p>
    <w:bookmarkEnd w:id="23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Колебания гармонического осциллятора без затуханий и без действий внешней силы</w:t>
      </w:r>
    </w:p>
    <w:p>
      <w:pPr>
        <w:numPr>
          <w:ilvl w:val="0"/>
          <w:numId w:val="1001"/>
        </w:numPr>
        <w:pStyle w:val="Compact"/>
      </w:pPr>
      <w:r>
        <w:t xml:space="preserve">Задаём частоту и затухание, а также начальные условия для уравнения.(риc.1)</w:t>
      </w:r>
    </w:p>
    <w:p>
      <w:pPr>
        <w:pStyle w:val="CaptionedFigure"/>
      </w:pPr>
      <w:bookmarkStart w:id="27" w:name="fig:001"/>
      <w:r>
        <w:drawing>
          <wp:inline>
            <wp:extent cx="3759910" cy="1694517"/>
            <wp:effectExtent b="0" l="0" r="0" t="0"/>
            <wp:docPr descr="Figure 1: Задание начальных условий" title="" id="25" name="Picture"/>
            <a:graphic>
              <a:graphicData uri="http://schemas.openxmlformats.org/drawingml/2006/picture">
                <pic:pic>
                  <pic:nvPicPr>
                    <pic:cNvPr descr="screens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910" cy="169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Задание начальных условий</w:t>
      </w:r>
    </w:p>
    <w:p>
      <w:pPr>
        <w:numPr>
          <w:ilvl w:val="0"/>
          <w:numId w:val="1002"/>
        </w:numPr>
        <w:pStyle w:val="Compact"/>
      </w:pPr>
      <w:r>
        <w:t xml:space="preserve">Прописываем функцию f - правая часть нашего уравнения.(риc.2)</w:t>
      </w:r>
    </w:p>
    <w:p>
      <w:pPr>
        <w:pStyle w:val="CaptionedFigure"/>
      </w:pPr>
      <w:bookmarkStart w:id="31" w:name="fig:002"/>
      <w:r>
        <w:drawing>
          <wp:inline>
            <wp:extent cx="2979793" cy="1611390"/>
            <wp:effectExtent b="0" l="0" r="0" t="0"/>
            <wp:docPr descr="Figure 2: Функция f" title="" id="29" name="Picture"/>
            <a:graphic>
              <a:graphicData uri="http://schemas.openxmlformats.org/drawingml/2006/picture">
                <pic:pic>
                  <pic:nvPicPr>
                    <pic:cNvPr descr="screens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93" cy="1611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Функция f</w:t>
      </w:r>
    </w:p>
    <w:p>
      <w:pPr>
        <w:numPr>
          <w:ilvl w:val="0"/>
          <w:numId w:val="1003"/>
        </w:numPr>
        <w:pStyle w:val="Compact"/>
      </w:pPr>
      <w:r>
        <w:t xml:space="preserve">Прописываем дифференциальные уравнения.(риc.3)</w:t>
      </w:r>
    </w:p>
    <w:p>
      <w:pPr>
        <w:pStyle w:val="CaptionedFigure"/>
      </w:pPr>
      <w:bookmarkStart w:id="35" w:name="fig:003"/>
      <w:r>
        <w:drawing>
          <wp:inline>
            <wp:extent cx="4297040" cy="908005"/>
            <wp:effectExtent b="0" l="0" r="0" t="0"/>
            <wp:docPr descr="Figure 3: Уравнения" title="" id="33" name="Picture"/>
            <a:graphic>
              <a:graphicData uri="http://schemas.openxmlformats.org/drawingml/2006/picture">
                <pic:pic>
                  <pic:nvPicPr>
                    <pic:cNvPr descr="screens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0" cy="908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3: Уравнения</w:t>
      </w:r>
    </w:p>
    <w:p>
      <w:pPr>
        <w:numPr>
          <w:ilvl w:val="0"/>
          <w:numId w:val="1004"/>
        </w:numPr>
        <w:pStyle w:val="Compact"/>
      </w:pPr>
      <w:r>
        <w:t xml:space="preserve">Получаем фазовый портрет для первого случая.(риc.4)</w:t>
      </w:r>
    </w:p>
    <w:p>
      <w:pPr>
        <w:pStyle w:val="CaptionedFigure"/>
      </w:pPr>
      <w:bookmarkStart w:id="39" w:name="fig:004"/>
      <w:r>
        <w:drawing>
          <wp:inline>
            <wp:extent cx="5334000" cy="2595854"/>
            <wp:effectExtent b="0" l="0" r="0" t="0"/>
            <wp:docPr descr="Figure 4: Фазовый портрет гармонического осциллятора без затухания" title="" id="37" name="Picture"/>
            <a:graphic>
              <a:graphicData uri="http://schemas.openxmlformats.org/drawingml/2006/picture">
                <pic:pic>
                  <pic:nvPicPr>
                    <pic:cNvPr descr="screens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5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4: Фазовый портрет гармонического осциллятора без затухания</w:t>
      </w:r>
    </w:p>
    <w:p>
      <w:pPr>
        <w:pStyle w:val="BodyText"/>
      </w:pPr>
      <w:r>
        <w:rPr>
          <w:bCs/>
          <w:b/>
        </w:rPr>
        <w:t xml:space="preserve">Колебания гармонического осциллятора с затуханием и без действий внешней силы</w:t>
      </w:r>
    </w:p>
    <w:p>
      <w:pPr>
        <w:numPr>
          <w:ilvl w:val="0"/>
          <w:numId w:val="1005"/>
        </w:numPr>
        <w:pStyle w:val="Compact"/>
      </w:pPr>
      <w:r>
        <w:t xml:space="preserve">Задаём частоту и затухание, а также начальные условия для уравнения.(риc.5)</w:t>
      </w:r>
    </w:p>
    <w:p>
      <w:pPr>
        <w:pStyle w:val="CaptionedFigure"/>
      </w:pPr>
      <w:bookmarkStart w:id="43" w:name="fig:005"/>
      <w:r>
        <w:drawing>
          <wp:inline>
            <wp:extent cx="3727938" cy="1790433"/>
            <wp:effectExtent b="0" l="0" r="0" t="0"/>
            <wp:docPr descr="Figure 5: Задание начальных условий" title="" id="41" name="Picture"/>
            <a:graphic>
              <a:graphicData uri="http://schemas.openxmlformats.org/drawingml/2006/picture">
                <pic:pic>
                  <pic:nvPicPr>
                    <pic:cNvPr descr="screens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938" cy="1790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5: Задание начальных условий</w:t>
      </w:r>
    </w:p>
    <w:p>
      <w:pPr>
        <w:numPr>
          <w:ilvl w:val="0"/>
          <w:numId w:val="1006"/>
        </w:numPr>
        <w:pStyle w:val="Compact"/>
      </w:pPr>
      <w:r>
        <w:t xml:space="preserve">Прописываем функцию f - правая часть нашего уравнения.(риc.6)</w:t>
      </w:r>
    </w:p>
    <w:p>
      <w:pPr>
        <w:pStyle w:val="CaptionedFigure"/>
      </w:pPr>
      <w:bookmarkStart w:id="46" w:name="fig:006"/>
      <w:r>
        <w:drawing>
          <wp:inline>
            <wp:extent cx="2979793" cy="1611390"/>
            <wp:effectExtent b="0" l="0" r="0" t="0"/>
            <wp:docPr descr="Figure 6: Функция f" title="" id="44" name="Picture"/>
            <a:graphic>
              <a:graphicData uri="http://schemas.openxmlformats.org/drawingml/2006/picture">
                <pic:pic>
                  <pic:nvPicPr>
                    <pic:cNvPr descr="screens/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93" cy="1611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Функция f</w:t>
      </w:r>
    </w:p>
    <w:p>
      <w:pPr>
        <w:numPr>
          <w:ilvl w:val="0"/>
          <w:numId w:val="1007"/>
        </w:numPr>
        <w:pStyle w:val="Compact"/>
      </w:pPr>
      <w:r>
        <w:t xml:space="preserve">Прописываем дифференциальные уравнения.(риc.7)</w:t>
      </w:r>
    </w:p>
    <w:p>
      <w:pPr>
        <w:pStyle w:val="CaptionedFigure"/>
      </w:pPr>
      <w:bookmarkStart w:id="49" w:name="fig:007"/>
      <w:r>
        <w:drawing>
          <wp:inline>
            <wp:extent cx="4297040" cy="908005"/>
            <wp:effectExtent b="0" l="0" r="0" t="0"/>
            <wp:docPr descr="Figure 7: Уравнения" title="" id="47" name="Picture"/>
            <a:graphic>
              <a:graphicData uri="http://schemas.openxmlformats.org/drawingml/2006/picture">
                <pic:pic>
                  <pic:nvPicPr>
                    <pic:cNvPr descr="screens/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0" cy="908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Уравнения</w:t>
      </w:r>
    </w:p>
    <w:p>
      <w:pPr>
        <w:numPr>
          <w:ilvl w:val="0"/>
          <w:numId w:val="1008"/>
        </w:numPr>
        <w:pStyle w:val="Compact"/>
      </w:pPr>
      <w:r>
        <w:t xml:space="preserve">Получаем фазовый портрет для второго случая.(риc.8)</w:t>
      </w:r>
    </w:p>
    <w:p>
      <w:pPr>
        <w:pStyle w:val="CaptionedFigure"/>
      </w:pPr>
      <w:bookmarkStart w:id="53" w:name="fig:008"/>
      <w:r>
        <w:drawing>
          <wp:inline>
            <wp:extent cx="5334000" cy="2565527"/>
            <wp:effectExtent b="0" l="0" r="0" t="0"/>
            <wp:docPr descr="Figure 8: Фазовый портрет гармонического осциллятора с затуханием без воздействия внешней силы" title="" id="51" name="Picture"/>
            <a:graphic>
              <a:graphicData uri="http://schemas.openxmlformats.org/drawingml/2006/picture">
                <pic:pic>
                  <pic:nvPicPr>
                    <pic:cNvPr descr="screens/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Фазовый портрет гармонического осциллятора с затуханием без воздействия внешней силы</w:t>
      </w:r>
    </w:p>
    <w:p>
      <w:pPr>
        <w:pStyle w:val="BodyText"/>
      </w:pPr>
      <w:r>
        <w:rPr>
          <w:bCs/>
          <w:b/>
        </w:rPr>
        <w:t xml:space="preserve">Колебания гармонического осциллятора с затуханием и с воздействием внешней силы</w:t>
      </w:r>
    </w:p>
    <w:p>
      <w:pPr>
        <w:numPr>
          <w:ilvl w:val="0"/>
          <w:numId w:val="1009"/>
        </w:numPr>
        <w:pStyle w:val="Compact"/>
      </w:pPr>
      <w:r>
        <w:t xml:space="preserve">Задаём частоту и затухание, а также начальные условия для уравнения.(риc.9)</w:t>
      </w:r>
    </w:p>
    <w:p>
      <w:pPr>
        <w:pStyle w:val="CaptionedFigure"/>
      </w:pPr>
      <w:bookmarkStart w:id="57" w:name="fig:009"/>
      <w:r>
        <w:drawing>
          <wp:inline>
            <wp:extent cx="3766304" cy="1809616"/>
            <wp:effectExtent b="0" l="0" r="0" t="0"/>
            <wp:docPr descr="Figure 9: Задание начальных условий" title="" id="55" name="Picture"/>
            <a:graphic>
              <a:graphicData uri="http://schemas.openxmlformats.org/drawingml/2006/picture">
                <pic:pic>
                  <pic:nvPicPr>
                    <pic:cNvPr descr="screens/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304" cy="1809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9: Задание начальных условий</w:t>
      </w:r>
    </w:p>
    <w:p>
      <w:pPr>
        <w:numPr>
          <w:ilvl w:val="0"/>
          <w:numId w:val="1010"/>
        </w:numPr>
        <w:pStyle w:val="Compact"/>
      </w:pPr>
      <w:r>
        <w:t xml:space="preserve">Прописываем функцию f - правая часть нашего уравнения.(риc.10)</w:t>
      </w:r>
    </w:p>
    <w:p>
      <w:pPr>
        <w:pStyle w:val="CaptionedFigure"/>
      </w:pPr>
      <w:bookmarkStart w:id="61" w:name="fig:010"/>
      <w:r>
        <w:drawing>
          <wp:inline>
            <wp:extent cx="2864693" cy="1579418"/>
            <wp:effectExtent b="0" l="0" r="0" t="0"/>
            <wp:docPr descr="Figure 10: Функция f" title="" id="59" name="Picture"/>
            <a:graphic>
              <a:graphicData uri="http://schemas.openxmlformats.org/drawingml/2006/picture">
                <pic:pic>
                  <pic:nvPicPr>
                    <pic:cNvPr descr="screens/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693" cy="1579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10: Функция f</w:t>
      </w:r>
    </w:p>
    <w:p>
      <w:pPr>
        <w:numPr>
          <w:ilvl w:val="0"/>
          <w:numId w:val="1011"/>
        </w:numPr>
        <w:pStyle w:val="Compact"/>
      </w:pPr>
      <w:r>
        <w:t xml:space="preserve">Прописываем дифференциальные уравнения.(риc.11)</w:t>
      </w:r>
    </w:p>
    <w:p>
      <w:pPr>
        <w:pStyle w:val="CaptionedFigure"/>
      </w:pPr>
      <w:bookmarkStart w:id="64" w:name="fig:011"/>
      <w:r>
        <w:drawing>
          <wp:inline>
            <wp:extent cx="4297040" cy="908005"/>
            <wp:effectExtent b="0" l="0" r="0" t="0"/>
            <wp:docPr descr="Figure 11: Уравнения" title="" id="62" name="Picture"/>
            <a:graphic>
              <a:graphicData uri="http://schemas.openxmlformats.org/drawingml/2006/picture">
                <pic:pic>
                  <pic:nvPicPr>
                    <pic:cNvPr descr="screens/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0" cy="908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Уравнения</w:t>
      </w:r>
    </w:p>
    <w:p>
      <w:pPr>
        <w:numPr>
          <w:ilvl w:val="0"/>
          <w:numId w:val="1012"/>
        </w:numPr>
        <w:pStyle w:val="Compact"/>
      </w:pPr>
      <w:r>
        <w:t xml:space="preserve">Получаем фазовый портрет для третьего случая.(риc.12)</w:t>
      </w:r>
    </w:p>
    <w:p>
      <w:pPr>
        <w:pStyle w:val="CaptionedFigure"/>
      </w:pPr>
      <w:bookmarkStart w:id="68" w:name="fig:012"/>
      <w:r>
        <w:drawing>
          <wp:inline>
            <wp:extent cx="5334000" cy="2560014"/>
            <wp:effectExtent b="0" l="0" r="0" t="0"/>
            <wp:docPr descr="Figure 12: Фазовый портрет гармонического осциллятора с затуханием без воздействия внешней силы" title="" id="66" name="Picture"/>
            <a:graphic>
              <a:graphicData uri="http://schemas.openxmlformats.org/drawingml/2006/picture">
                <pic:pic>
                  <pic:nvPicPr>
                    <pic:cNvPr descr="screens/9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0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 12: Фазовый портрет гармонического осциллятора с затуханием без воздействия внешней силы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мы построили фазовые портреты гармонического осциллятора и решение уравнения гармонического осциллятора для трех различных случаев, а также познакомились с понятиями фазового портрета и фазовой траектории.</w:t>
      </w:r>
    </w:p>
    <w:bookmarkEnd w:id="70"/>
    <w:bookmarkStart w:id="71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13"/>
        </w:numPr>
        <w:pStyle w:val="Compact"/>
      </w:pPr>
      <w:r>
        <w:t xml:space="preserve">Кулябов, Д.С. Модель гармонических колебаний [Текст] / Д.С.Кулябов. - Москва: - 4 с.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Кулябов, Д.С. Модель гармонических колебаний.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4. Модель гармонических колебаний</dc:title>
  <dc:creator>Асеинова Елизавета Валерьевна</dc:creator>
  <dc:language>ru-RU</dc:language>
  <cp:keywords/>
  <dcterms:created xsi:type="dcterms:W3CDTF">2022-03-01T15:19:05Z</dcterms:created>
  <dcterms:modified xsi:type="dcterms:W3CDTF">2022-03-01T15:19:05Z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Вариант 30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