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Асеинова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Валерьевна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октября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шифрованием гаммированием, а также его программная реализация.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способ шифрования гаммированием.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шифрования гаммированием конечной гаммой на языке программирования Python.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Из всех схем шифрования простейшей и наиболее надежной является схема однократного использования:</w:t>
      </w:r>
    </w:p>
    <w:p>
      <w:pPr>
        <w:pStyle w:val="BodyText"/>
      </w:pPr>
      <w:r>
        <w:t xml:space="preserve">Формируется</w:t>
      </w:r>
      <w:r>
        <w:t xml:space="preserve"> </w:t>
      </w:r>
      <m:oMath>
        <m:r>
          <m:t>m</m:t>
        </m:r>
        <m:r>
          <m:rPr>
            <m:sty m:val="p"/>
          </m:rPr>
          <m:t>−</m:t>
        </m:r>
      </m:oMath>
      <w:r>
        <w:t xml:space="preserve"> </w:t>
      </w:r>
      <w:r>
        <w:t xml:space="preserve">разрядная случайная двоичная последовательность - ключ шифра. Отправитель производит побитовое сложение по модулю два (</w:t>
      </w:r>
      <m:oMath>
        <m:r>
          <m:t>m</m:t>
        </m:r>
        <m:r>
          <m:t>o</m:t>
        </m:r>
        <m:r>
          <m:t>d</m:t>
        </m:r>
        <m:r>
          <m:t>2</m:t>
        </m:r>
      </m:oMath>
      <w:r>
        <w:t xml:space="preserve">) ключа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1</m:t>
            </m:r>
          </m:sub>
        </m:sSub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k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m</m:t>
        </m:r>
        <m:r>
          <m:rPr>
            <m:sty m:val="p"/>
          </m:rPr>
          <m:t>−</m:t>
        </m:r>
      </m:oMath>
      <w:r>
        <w:t xml:space="preserve"> </w:t>
      </w:r>
      <w:r>
        <w:t xml:space="preserve">разрядной двоичной последовательности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p</m:t>
            </m:r>
          </m:e>
          <m:sub>
            <m:r>
              <m:t>m</m:t>
            </m:r>
          </m:sub>
        </m:sSub>
      </m:oMath>
      <w:r>
        <w:t xml:space="preserve">, соответствующей посылаемому сообщению: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</m:oMath>
      <w:r>
        <w:t xml:space="preserve">й бит исходного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</m:oMath>
      <w:r>
        <w:t xml:space="preserve">й бит ключа,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- операция побитового сложения (XOR),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</m:oMath>
      <w:r>
        <w:t xml:space="preserve">й бит получившейся криптограммы: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c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Операция побитного сложения является обратимой, то есть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⊕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⊕</m:t>
        </m:r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поэтому дешифрование осуществляется повторным применением операции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к криптограмме: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Гаммирование - процедура наложения при помощи некоторой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на исходный текст гаммы шифра, то есть псевдослучайной последовательности (ПСП) с выходом генератора</w:t>
      </w:r>
      <w:r>
        <w:t xml:space="preserve"> </w:t>
      </w:r>
      <m:oMath>
        <m:r>
          <m:t>G</m:t>
        </m:r>
      </m:oMath>
      <w:r>
        <w:t xml:space="preserve">. Псевдослучайная последовательность по своим статистическим свойствам неотличима от случайной последовательности, но является детерминированной, то есть известен алгоритм ее формирования. Обычно в качестве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берется операция поразрядного сложения по модулю два или по модулю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</w:t>
      </w:r>
      <m:oMath>
        <m:r>
          <m:t>N</m:t>
        </m:r>
      </m:oMath>
      <w:r>
        <w:t xml:space="preserve"> </w:t>
      </w:r>
      <w:r>
        <w:t xml:space="preserve">- число букв алфавита открытого текста) [1]</w:t>
      </w:r>
    </w:p>
    <w:p>
      <w:pPr>
        <w:pStyle w:val="BodyText"/>
      </w:pPr>
      <w:r>
        <w:t xml:space="preserve">Простейший генератор псевдослуайной последовательности можно представить рекуррентным соотношением: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*</m:t>
          </m:r>
          <m:sSub>
            <m:e>
              <m:r>
                <m:t>γ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*</m:t>
          </m:r>
          <m:r>
            <m:t>m</m:t>
          </m:r>
          <m:r>
            <m:t>o</m:t>
          </m:r>
          <m:r>
            <m:t>d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i-й член последовательности псевдослучайных чисел,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sSub>
          <m:e>
            <m:r>
              <m:t>γ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- ключевые параметры. Такая последовательность состоит из целых чисел от 0 до m-1. Если элементы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совпадут, то совпадут и последующие участки: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γ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2</m:t>
            </m:r>
          </m:sub>
        </m:sSub>
      </m:oMath>
      <w:r>
        <w:t xml:space="preserve">. Таким образом, ПСП является периодической. Знание периода гаммы существенно облегчает криптоанализ. Максимальная длина периода равна m. Для ее достижения необходимо удовлетворить следующим условиям:</w:t>
      </w:r>
    </w:p>
    <w:p>
      <w:pPr>
        <w:numPr>
          <w:ilvl w:val="0"/>
          <w:numId w:val="1002"/>
        </w:numPr>
        <w:pStyle w:val="Compact"/>
      </w:pPr>
      <w:r>
        <w:t xml:space="preserve">b и m - взаимно простые числа;</w:t>
      </w:r>
    </w:p>
    <w:p>
      <w:pPr>
        <w:numPr>
          <w:ilvl w:val="0"/>
          <w:numId w:val="1002"/>
        </w:numPr>
        <w:pStyle w:val="Compact"/>
      </w:pPr>
      <w:r>
        <w:t xml:space="preserve">a-1 делится на любой простой делитель числа m;</w:t>
      </w:r>
    </w:p>
    <w:p>
      <w:pPr>
        <w:numPr>
          <w:ilvl w:val="0"/>
          <w:numId w:val="1002"/>
        </w:numPr>
        <w:pStyle w:val="Compact"/>
      </w:pPr>
      <w:r>
        <w:t xml:space="preserve">a-1 кратно 4, если m кратно 4.</w:t>
      </w:r>
    </w:p>
    <w:bookmarkEnd w:id="22"/>
    <w:bookmarkStart w:id="26" w:name="ход-выполнения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лабораторной работы</w:t>
      </w:r>
    </w:p>
    <w:p>
      <w:pPr>
        <w:pStyle w:val="FirstParagraph"/>
      </w:pPr>
      <w:r>
        <w:t xml:space="preserve">Для реализации шифров перестановки будем использовать среду JupyterLab. Выполним необходимую задачу.</w:t>
      </w:r>
    </w:p>
    <w:p>
      <w:pPr>
        <w:numPr>
          <w:ilvl w:val="0"/>
          <w:numId w:val="1003"/>
        </w:numPr>
        <w:pStyle w:val="Compact"/>
      </w:pPr>
      <w:r>
        <w:t xml:space="preserve">Задаем функцию определения алфавита для последующего шифрования</w:t>
      </w:r>
    </w:p>
    <w:p>
      <w:pPr>
        <w:pStyle w:val="CaptionedFigure"/>
      </w:pPr>
      <w:r>
        <w:drawing>
          <wp:inline>
            <wp:extent cx="4103273" cy="1137236"/>
            <wp:effectExtent b="0" l="0" r="0" t="0"/>
            <wp:docPr descr="Алфавит для реализации шифров" title="" id="1" name="Picture"/>
            <a:graphic>
              <a:graphicData uri="http://schemas.openxmlformats.org/drawingml/2006/picture">
                <pic:pic>
                  <pic:nvPicPr>
                    <pic:cNvPr descr="screen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73" cy="113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Алфавит для реализации шифров</w:t>
      </w:r>
    </w:p>
    <w:p>
      <w:pPr>
        <w:numPr>
          <w:ilvl w:val="0"/>
          <w:numId w:val="1004"/>
        </w:numPr>
        <w:pStyle w:val="Compact"/>
      </w:pPr>
      <w:r>
        <w:t xml:space="preserve">Описываем функцию с принципом работы алгоритма шифрования конечной гаммой</w:t>
      </w:r>
    </w:p>
    <w:p>
      <w:pPr>
        <w:pStyle w:val="CaptionedFigure"/>
      </w:pPr>
      <w:r>
        <w:drawing>
          <wp:inline>
            <wp:extent cx="5334000" cy="2744548"/>
            <wp:effectExtent b="0" l="0" r="0" t="0"/>
            <wp:docPr descr="Функция алгоритма шифрования конечной гаммой" title="" id="1" name="Picture"/>
            <a:graphic>
              <a:graphicData uri="http://schemas.openxmlformats.org/drawingml/2006/picture">
                <pic:pic>
                  <pic:nvPicPr>
                    <pic:cNvPr descr="screen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алгоритма шифрования конечной гаммой</w:t>
      </w:r>
    </w:p>
    <w:p>
      <w:pPr>
        <w:numPr>
          <w:ilvl w:val="0"/>
          <w:numId w:val="1005"/>
        </w:numPr>
        <w:pStyle w:val="Compact"/>
      </w:pPr>
      <w:r>
        <w:t xml:space="preserve">Прописываем функцию для шифрования переданного текста.</w:t>
      </w:r>
      <w:r>
        <w:t xml:space="preserve"> </w:t>
      </w:r>
      <w:r>
        <w:t xml:space="preserve">Задаем тестовые данные и вызываем функцию:</w:t>
      </w:r>
    </w:p>
    <w:p>
      <w:pPr>
        <w:pStyle w:val="CaptionedFigure"/>
      </w:pPr>
      <w:r>
        <w:drawing>
          <wp:inline>
            <wp:extent cx="5334000" cy="2243589"/>
            <wp:effectExtent b="0" l="0" r="0" t="0"/>
            <wp:docPr descr="Реализация шифрования гаммированием на примере" title="" id="1" name="Picture"/>
            <a:graphic>
              <a:graphicData uri="http://schemas.openxmlformats.org/drawingml/2006/picture">
                <pic:pic>
                  <pic:nvPicPr>
                    <pic:cNvPr descr="screen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шифрования гаммированием на примере</w:t>
      </w:r>
    </w:p>
    <w:p>
      <w:pPr>
        <w:pStyle w:val="BodyText"/>
      </w:pPr>
      <w:r>
        <w:t xml:space="preserve">Полученное сообщение аналогично приведенному в Методических материалах. Также на скриншоте можно увидеть пример на английском языке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работы мы изучили и программно реализовали алгоритм шифрования гаммированием конечной гаммой.</w:t>
      </w:r>
    </w:p>
    <w:bookmarkEnd w:id="27"/>
    <w:bookmarkStart w:id="2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Методические материалы курса[1]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Асеинова Елизавета Валерьевна</dc:creator>
  <dc:language>ru-RU</dc:language>
  <cp:keywords/>
  <dcterms:created xsi:type="dcterms:W3CDTF">2023-10-14T15:47:20Z</dcterms:created>
  <dcterms:modified xsi:type="dcterms:W3CDTF">2023-10-14T15:47:20Z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14 октября 2023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institute">
    <vt:lpwstr>Российский университет дружбы народов, Москва, Россия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Шифрование гаммированием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