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24DBD" w:rsidRPr="001F4AC5" w:rsidRDefault="00A24DBD" w:rsidP="00A24DBD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4DBD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Pr="001F4AC5" w:rsidRDefault="00A24DBD" w:rsidP="00A24DB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A24DBD" w:rsidRPr="00BF67EA" w:rsidRDefault="00A24DBD" w:rsidP="00A24DB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4DBD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4DBD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4CD6" w:rsidRPr="001F4AC5" w:rsidRDefault="00F74CD6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4DBD" w:rsidRPr="001F4AC5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4DBD" w:rsidRDefault="00A24DBD" w:rsidP="00A2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637E3A" w:rsidRDefault="0048211A" w:rsidP="004821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проект политики информационной безопасности бизнес-компании.</w:t>
      </w:r>
    </w:p>
    <w:p w:rsidR="00D22855" w:rsidRPr="00062AEB" w:rsidRDefault="00D22855" w:rsidP="00062AE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95A39">
        <w:rPr>
          <w:rFonts w:ascii="Times New Roman" w:hAnsi="Times New Roman" w:cs="Times New Roman"/>
          <w:b/>
          <w:color w:val="auto"/>
          <w:szCs w:val="28"/>
          <w:lang w:val="ru-RU"/>
        </w:rPr>
        <w:t>Введение</w:t>
      </w:r>
    </w:p>
    <w:p w:rsidR="00D22855" w:rsidRDefault="00D22855" w:rsidP="00B76A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855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безопасность компании, общественной организации или производственного предприятия – это комплекс мероприятий, направленных на предотвращение несанкционированного доступа к внутренней IT-инфраструктуре, незаконного завладения конфиденциальной информацией и внесения изменений в базы данных. </w:t>
      </w:r>
    </w:p>
    <w:p w:rsidR="00B76A91" w:rsidRDefault="00BE104D" w:rsidP="00B76A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04D"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 политика необходима для того, чтобы донести до бизнеса цели и задачи информационной безопасности компании. Бизнес должен понимать, что </w:t>
      </w:r>
      <w:proofErr w:type="spellStart"/>
      <w:r w:rsidRPr="00BE104D">
        <w:rPr>
          <w:rFonts w:ascii="Times New Roman" w:hAnsi="Times New Roman" w:cs="Times New Roman"/>
          <w:sz w:val="28"/>
          <w:szCs w:val="28"/>
          <w:lang w:val="ru-RU"/>
        </w:rPr>
        <w:t>безопасник</w:t>
      </w:r>
      <w:proofErr w:type="spellEnd"/>
      <w:r w:rsidR="00D472B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BE104D">
        <w:rPr>
          <w:rFonts w:ascii="Times New Roman" w:hAnsi="Times New Roman" w:cs="Times New Roman"/>
          <w:sz w:val="28"/>
          <w:szCs w:val="28"/>
          <w:lang w:val="ru-RU"/>
        </w:rPr>
        <w:t xml:space="preserve"> это не только инструмент для расследования фактов утечек данных, но и помощник в минимизации рисков компании, а следовательно — в повышении прибыльности компании.</w:t>
      </w:r>
    </w:p>
    <w:p w:rsidR="00392A1E" w:rsidRPr="00E47EE6" w:rsidRDefault="00392A1E" w:rsidP="00392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300C">
        <w:rPr>
          <w:rFonts w:ascii="Times New Roman" w:hAnsi="Times New Roman" w:cs="Times New Roman"/>
          <w:sz w:val="28"/>
          <w:szCs w:val="28"/>
          <w:lang w:val="ru-RU"/>
        </w:rPr>
        <w:t>Учитывая важность информации в современном мире, защите от утечек конфиденциальной информации в адрес конкурентов необходимо уделять повышенное внимание. Возможный ущерб невозможно спрогнозировать заранее. Он может выражаться в незначительной сумме, но в некоторых случаях приводит к полной неспособности компании заниматься хозяйственной деятельностью.</w:t>
      </w:r>
    </w:p>
    <w:p w:rsidR="00972001" w:rsidRDefault="00520BE8" w:rsidP="00B76A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м</w:t>
      </w:r>
      <w:r w:rsidR="00D2255C">
        <w:rPr>
          <w:rFonts w:ascii="Times New Roman" w:hAnsi="Times New Roman" w:cs="Times New Roman"/>
          <w:sz w:val="28"/>
          <w:szCs w:val="28"/>
          <w:lang w:val="ru-RU"/>
        </w:rPr>
        <w:t>ожно сделать вывод, что и</w:t>
      </w:r>
      <w:r w:rsidR="00D225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нформационные ресурсы в современном обществе являются весьма значимыми, но при этом, очень уязвимыми, благодаря чему </w:t>
      </w:r>
      <w:r w:rsidR="00B12A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информационная безопасность — одно из важнейших условий функционирования любой структуры, будь то государственное учреждение или частное предприятие.</w:t>
      </w:r>
    </w:p>
    <w:p w:rsidR="00022437" w:rsidRDefault="00022437" w:rsidP="00B76A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63B9" w:rsidRPr="00BF291C" w:rsidRDefault="00BF291C" w:rsidP="00BF291C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BF291C">
        <w:rPr>
          <w:rFonts w:ascii="Times New Roman" w:hAnsi="Times New Roman" w:cs="Times New Roman"/>
          <w:b/>
          <w:color w:val="auto"/>
          <w:szCs w:val="28"/>
          <w:lang w:val="ru-RU"/>
        </w:rPr>
        <w:t>Структура организации</w:t>
      </w:r>
    </w:p>
    <w:p w:rsidR="00892399" w:rsidRPr="00675EA2" w:rsidRDefault="00675EA2" w:rsidP="008923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675E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:rsidR="007C7868" w:rsidRDefault="0040212A" w:rsidP="008923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021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Опишем структуру </w:t>
      </w:r>
      <w:r w:rsidR="00CD41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тренажерного зала</w:t>
      </w:r>
      <w:r w:rsidR="00783F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 w:rsidR="00783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Sport</w:t>
      </w:r>
      <w:r w:rsidR="00783F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  <w:r w:rsidRPr="004021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F1551C" w:rsidRDefault="00AA6234" w:rsidP="00AA62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62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6BE77EC" wp14:editId="4BC1877A">
            <wp:extent cx="5940425" cy="3884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5D" w:rsidRDefault="00AE725D" w:rsidP="00B76A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AEE" w:rsidRDefault="00856AEE" w:rsidP="006B6862">
      <w:pPr>
        <w:spacing w:after="0" w:line="240" w:lineRule="auto"/>
        <w:ind w:right="22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56A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Исходя из анализа организационной структуры, представленной выше, можно сделать вывод, что структура относится к функциональному типу. </w:t>
      </w:r>
    </w:p>
    <w:p w:rsidR="006B6862" w:rsidRPr="006B6862" w:rsidRDefault="006B6862" w:rsidP="006B6862">
      <w:pPr>
        <w:spacing w:after="0" w:line="240" w:lineRule="auto"/>
        <w:ind w:right="22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62AA9" w:rsidRDefault="00F03580" w:rsidP="00F03580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F03580">
        <w:rPr>
          <w:rFonts w:ascii="Times New Roman" w:hAnsi="Times New Roman" w:cs="Times New Roman"/>
          <w:b/>
          <w:color w:val="auto"/>
          <w:szCs w:val="28"/>
          <w:lang w:val="ru-RU"/>
        </w:rPr>
        <w:t>Оценка рисков</w:t>
      </w:r>
    </w:p>
    <w:p w:rsidR="00E0122D" w:rsidRPr="00451AE4" w:rsidRDefault="00E0122D" w:rsidP="00273EE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1666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 w:eastAsia="ru-RU"/>
        </w:rPr>
        <w:t>Анализ информационных рисков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–</w:t>
      </w:r>
      <w:r w:rsidRPr="00E012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это процесс комплексной оценки защищенности информационной системы с переходом к количественным или качественным пок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азателям рисков. При этом риск –</w:t>
      </w:r>
      <w:r w:rsidRPr="00E012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это вероятный ущерб, который зависит от защищенности системы. Итак, из определения следует, что на выходе алгоритма анализа риска можно получить либо количественную оценку рисков (ри</w:t>
      </w:r>
      <w:r w:rsidR="00993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ск измеряется в деньгах), либо –</w:t>
      </w:r>
      <w:r w:rsidRPr="00E012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качественную (уровни риска; обычно: высокий, средний, низкий).</w:t>
      </w:r>
      <w:r w:rsidRPr="00451A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0122D" w:rsidRPr="008C0467" w:rsidRDefault="00E0122D" w:rsidP="00273E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046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Источниками внутренних угроз</w:t>
      </w:r>
      <w:r w:rsidRPr="008C04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являются:</w:t>
      </w:r>
    </w:p>
    <w:p w:rsidR="00E0122D" w:rsidRPr="004C6844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0122D" w:rsidRPr="004C6844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0122D" w:rsidRPr="004C6844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</w:t>
      </w:r>
      <w:proofErr w:type="spellEnd"/>
      <w:proofErr w:type="gram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1AE2" w:rsidRDefault="00DC1AE2" w:rsidP="00273E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22D" w:rsidRPr="004C6844" w:rsidRDefault="00E0122D" w:rsidP="00273E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К информационным угрозам относятся:</w:t>
      </w:r>
    </w:p>
    <w:p w:rsidR="00E0122D" w:rsidRPr="008C0467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04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несанкционированный доступ к информационным ресурсам;</w:t>
      </w:r>
    </w:p>
    <w:p w:rsidR="00E0122D" w:rsidRPr="008C0467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04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незаконное копирование данных в информационных системах;</w:t>
      </w:r>
    </w:p>
    <w:p w:rsidR="00E0122D" w:rsidRPr="008C0467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04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противозаконный сбор и использование информации;</w:t>
      </w:r>
    </w:p>
    <w:p w:rsidR="00E0122D" w:rsidRPr="004C6844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proofErr w:type="spellEnd"/>
      <w:proofErr w:type="gram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информационного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оружия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1AE2" w:rsidRDefault="00DC1AE2" w:rsidP="00273E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22D" w:rsidRPr="004C6844" w:rsidRDefault="00E0122D" w:rsidP="00273E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программным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угрозам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относятся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0122D" w:rsidRPr="008C0467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04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использование ошибок и «дыр» в ПО;</w:t>
      </w:r>
    </w:p>
    <w:p w:rsidR="00E0122D" w:rsidRPr="008C0467" w:rsidRDefault="00E0122D" w:rsidP="00273EE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04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компьютерные вирусы и вредоносные программы;</w:t>
      </w:r>
    </w:p>
    <w:p w:rsidR="00F86523" w:rsidRPr="008C0467" w:rsidRDefault="00F86523" w:rsidP="00273E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0122D" w:rsidRPr="004C6844" w:rsidRDefault="00E0122D" w:rsidP="00273E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физическим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угрозам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относятся</w:t>
      </w:r>
      <w:proofErr w:type="spellEnd"/>
      <w:r w:rsidRPr="004C68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0122D" w:rsidRPr="0008500F" w:rsidRDefault="00E0122D" w:rsidP="000850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50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уничтожение или разрушение средс</w:t>
      </w:r>
      <w:r w:rsidR="0032160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тв обработки информации и связи.</w:t>
      </w:r>
    </w:p>
    <w:p w:rsidR="0008500F" w:rsidRPr="0008500F" w:rsidRDefault="0008500F" w:rsidP="0008500F">
      <w:pPr>
        <w:spacing w:after="0" w:line="240" w:lineRule="auto"/>
        <w:ind w:left="40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0122D" w:rsidRPr="007E1B58" w:rsidRDefault="00E0122D" w:rsidP="007E1B58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Общие положения</w:t>
      </w:r>
    </w:p>
    <w:p w:rsidR="00E0122D" w:rsidRP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Безопасность объектов информатизации достигается </w:t>
      </w:r>
      <w:r w:rsidRPr="00205687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  <w:lang w:val="ru-RU"/>
        </w:rPr>
        <w:t>противодействием всем видам угроз</w:t>
      </w: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, внешним и внутренним, умышленным и непреднамеренным, минимизацией ущерба от возможной реализации угрозы безопасности персональных данных, </w:t>
      </w:r>
      <w:r w:rsidRPr="00205687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  <w:lang w:val="ru-RU"/>
        </w:rPr>
        <w:t>исключением</w:t>
      </w: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205687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  <w:lang w:val="ru-RU"/>
        </w:rPr>
        <w:t>несанкционированного</w:t>
      </w: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, в том числе случайного, </w:t>
      </w:r>
      <w:r w:rsidRPr="00205687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  <w:lang w:val="ru-RU"/>
        </w:rPr>
        <w:t>доступа к объектам защиты</w:t>
      </w: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. Персональные данные подлежат защите в контролируемой зоне и при передаче по каналам связи за ее границы.</w:t>
      </w:r>
    </w:p>
    <w:p w:rsidR="00E0122D" w:rsidRP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</w:p>
    <w:p w:rsidR="00E0122D" w:rsidRPr="007E1B58" w:rsidRDefault="00E0122D" w:rsidP="007E1B58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Область действия</w:t>
      </w:r>
    </w:p>
    <w:p w:rsidR="00E0122D" w:rsidRP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Требования Политики распространяются на всех сотрудников, а также прочих лиц, привлекаемых к исполнению работ</w:t>
      </w:r>
      <w:r w:rsidR="00451A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,</w:t>
      </w: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связанных с обработкой персональных данных.</w:t>
      </w:r>
    </w:p>
    <w:p w:rsidR="00E0122D" w:rsidRP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</w:p>
    <w:p w:rsidR="00E0122D" w:rsidRPr="007E1B58" w:rsidRDefault="00E0122D" w:rsidP="007E1B58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Система защиты персональных данных (</w:t>
      </w:r>
      <w:proofErr w:type="spellStart"/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СЗПДн</w:t>
      </w:r>
      <w:proofErr w:type="spellEnd"/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)</w:t>
      </w:r>
    </w:p>
    <w:p w:rsid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Система (подсистема) защиты персональных данных строится на основании регулярных внутренних проверок состава персональных данных (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), соответствия уровня защиты составу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, выявления угроз безопасности. Для достижения необходимого уровня безопасности выполняются плановые обучающие, административные и технические мероприятия. </w:t>
      </w:r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составе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СЗПДн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действуют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следующие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стандартные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подсистемы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</w:t>
      </w:r>
    </w:p>
    <w:p w:rsidR="00E0122D" w:rsidRPr="00BB1965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E0122D" w:rsidRPr="00E0122D" w:rsidRDefault="00E0122D" w:rsidP="00E0122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управления доступом, регистрации и учета;</w:t>
      </w:r>
    </w:p>
    <w:p w:rsidR="00E0122D" w:rsidRPr="00BB1965" w:rsidRDefault="00E0122D" w:rsidP="00E0122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обеспечения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целостности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доступности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;</w:t>
      </w:r>
    </w:p>
    <w:p w:rsidR="00E0122D" w:rsidRPr="00BB1965" w:rsidRDefault="00E0122D" w:rsidP="00E0122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антивирусной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защиты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;</w:t>
      </w:r>
    </w:p>
    <w:p w:rsidR="00E0122D" w:rsidRPr="00BB1965" w:rsidRDefault="00E0122D" w:rsidP="00E0122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межсетевого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экранирования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;</w:t>
      </w:r>
    </w:p>
    <w:p w:rsidR="00E0122D" w:rsidRPr="00BB1965" w:rsidRDefault="00E0122D" w:rsidP="00E0122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анализа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защищенности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;</w:t>
      </w:r>
    </w:p>
    <w:p w:rsidR="00E0122D" w:rsidRPr="00BB1965" w:rsidRDefault="00E0122D" w:rsidP="00E0122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обнаружения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вторжений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;</w:t>
      </w:r>
    </w:p>
    <w:p w:rsidR="00E0122D" w:rsidRDefault="00E0122D" w:rsidP="00E0122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криптографической</w:t>
      </w:r>
      <w:proofErr w:type="spellEnd"/>
      <w:proofErr w:type="gram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защиты</w:t>
      </w:r>
      <w:proofErr w:type="spellEnd"/>
      <w:r w:rsidRPr="00BB196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E0122D" w:rsidRPr="00BB1965" w:rsidRDefault="00E0122D" w:rsidP="00E0122D">
      <w:pPr>
        <w:spacing w:after="0" w:line="240" w:lineRule="auto"/>
        <w:ind w:left="720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E0122D" w:rsidRP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Функционал подсистем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СЗПДн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учитывает класс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ИСПДн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.</w:t>
      </w:r>
    </w:p>
    <w:p w:rsidR="00E0122D" w:rsidRP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</w:p>
    <w:p w:rsidR="00E0122D" w:rsidRPr="007E1B58" w:rsidRDefault="00E0122D" w:rsidP="007E1B58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Пользователи информационной системы персональных данных (</w:t>
      </w:r>
      <w:proofErr w:type="spellStart"/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ИСПДн</w:t>
      </w:r>
      <w:proofErr w:type="spellEnd"/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)</w:t>
      </w:r>
    </w:p>
    <w:p w:rsidR="00E0122D" w:rsidRP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На основании проводимой Политики произведена типизация пользователей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ИСПДн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, определен их уровень доступа и возможности по </w:t>
      </w: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lastRenderedPageBreak/>
        <w:t>обработке. Каждая группа пользователей, получает доступ и информированность в соответствие с компетентностью.</w:t>
      </w:r>
    </w:p>
    <w:p w:rsidR="00E0122D" w:rsidRPr="00E0122D" w:rsidRDefault="00E0122D" w:rsidP="00E0122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</w:p>
    <w:p w:rsidR="00E0122D" w:rsidRPr="007E1B58" w:rsidRDefault="00E0122D" w:rsidP="007E1B58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 xml:space="preserve">Требования к персоналу по обеспечению защиты </w:t>
      </w:r>
      <w:proofErr w:type="spellStart"/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ПДн</w:t>
      </w:r>
      <w:proofErr w:type="spellEnd"/>
    </w:p>
    <w:p w:rsidR="00E0122D" w:rsidRPr="00E0122D" w:rsidRDefault="00E0122D" w:rsidP="007C340E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Все сотрудники, являющиеся пользователями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ИСПДн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, знают и выполняют установленные правила доступа к защищаемым объектам, соблюдают режим безопасности.</w:t>
      </w:r>
    </w:p>
    <w:p w:rsidR="00E0122D" w:rsidRPr="00E0122D" w:rsidRDefault="00E0122D" w:rsidP="007C340E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При вступлении в должность нового сотрудника организовано его ознакомление с должностной инструкцией и необходимыми документами, регламентирующими требования по защите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. Проводится обучение навыкам санкционированного использования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ИСПДн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.</w:t>
      </w:r>
    </w:p>
    <w:p w:rsidR="00E0122D" w:rsidRPr="00E0122D" w:rsidRDefault="00E0122D" w:rsidP="007C340E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Сотрудникам запрещается разглашать защищаемую информацию, которая стала им известна при работе с информационными системами, третьим лицам. При работе с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обеспечивается перекрывание просмотра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третьими лицами.</w:t>
      </w:r>
    </w:p>
    <w:p w:rsidR="00E0122D" w:rsidRPr="00E0122D" w:rsidRDefault="00E0122D" w:rsidP="007C340E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Сотрудники обязаны без промедления сообщать обо всех наблюдаемых или подозрительных случаях работы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ИСПДн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, могущих повлечь за собой угрозы безопасности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. По выявленным событиям организуется немедленное реагирование на угрозы безопасности </w:t>
      </w:r>
      <w:proofErr w:type="spellStart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ПДн</w:t>
      </w:r>
      <w:proofErr w:type="spellEnd"/>
      <w:r w:rsidRPr="00E0122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.</w:t>
      </w:r>
    </w:p>
    <w:p w:rsidR="00451AE4" w:rsidRPr="007E1B58" w:rsidRDefault="00451AE4" w:rsidP="007C34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51AE4" w:rsidRPr="007E1B58" w:rsidRDefault="00451AE4" w:rsidP="007E1B58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Разработка мер защиты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На основании анализа рисков, а также фактического уровня информационной безопасности рекламного агентства и выбираются средства, обеспечивающие информационную безопасность компании.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Меры по обеспечению информационной безопасности на предприятии можно выделить: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управление персоналом;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осуществление физической защиты территории предприятия;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поддержание работоспособности системы защиты информации;</w:t>
      </w:r>
    </w:p>
    <w:p w:rsidR="00012153" w:rsidRDefault="00012153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На программно-техническом уровне реализуются следующие механизмы обеспечения безопасности: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управление доступом;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идентификация и аутентификация пользователей;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протоколирование и аудит;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удаление остаточной информации;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шифрование передаваемой информации;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• включение серверных помещений;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• применение сетевых фильтров и </w:t>
      </w:r>
      <w:proofErr w:type="spellStart"/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бесперебойников</w:t>
      </w:r>
      <w:proofErr w:type="spellEnd"/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электропитания.</w:t>
      </w:r>
    </w:p>
    <w:p w:rsidR="00012153" w:rsidRDefault="00012153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Соответственно в компании должны быть разработаны и введены в действие следующие локальные нормативные акты, регулирующие деятельность по обеспечению конфиденциальности и безопасности: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- Политика в области обработки и защиты персональных данных;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- Положение о коммерческой тайне;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- Положение об обработке и защите персональных данных без использования средств автоматизации;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- Перечень конфиденциальной информации, подлежащей защите;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- Положение о мерах по организации защиты информационных систем персональных данных на Предприятии;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- Политика по защите персональных данных;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- Положение об обработке и защите персональных данных Работников.</w:t>
      </w:r>
    </w:p>
    <w:p w:rsidR="00012153" w:rsidRDefault="00012153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Исходя из представленной выше информации, можно сделать вывод, что в компании должны быть проведены такие организационные мероприятия, как формулирование перечня мер по обеспечению безопасности и срочному восстановлению данных при сбоях системы; обучение сотрудников автоматизированной информационной системы рекламного агентства правилам и процедурам работы с конфиденциальной информацией; ограничение доступа посторонних лиц в помещение; ограничение круга лиц, имеющих доступ к важным данным в информационные системы рекламного агентства.</w:t>
      </w:r>
    </w:p>
    <w:p w:rsidR="00012153" w:rsidRDefault="00012153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Также должен быть проведен ряд административных мероприятий: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 поддержка правильной конфигурации ОС;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 применение инженерно-технических средств защиты информации (телекоммуникационный шкаф, межсетевой экран, дверь и запирающий её механизм минимум 3 класса защиты);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 контроль журналов входа (выхода) субъектов доступа в (из) систему, доступа программ к защищаемым данным;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 контроль целостности защищаемых данных;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 контроль смены паролей;</w:t>
      </w:r>
    </w:p>
    <w:p w:rsidR="008C0467" w:rsidRPr="008C0467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 применение средств антивирусной защиты (например, покупка и установка </w:t>
      </w:r>
      <w:proofErr w:type="spellStart"/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Kaspersky</w:t>
      </w:r>
      <w:proofErr w:type="spellEnd"/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Endpoint</w:t>
      </w:r>
      <w:proofErr w:type="spellEnd"/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Security</w:t>
      </w:r>
      <w:proofErr w:type="spellEnd"/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);</w:t>
      </w:r>
    </w:p>
    <w:p w:rsidR="00451AE4" w:rsidRDefault="008C0467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04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 проведение тестирования средств защиты информации.</w:t>
      </w:r>
    </w:p>
    <w:p w:rsidR="00DA7FC5" w:rsidRPr="008C0467" w:rsidRDefault="00DA7FC5" w:rsidP="008C0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451AE4" w:rsidRPr="007E1B58" w:rsidRDefault="00451AE4" w:rsidP="007E1B58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lang w:val="ru-RU"/>
        </w:rPr>
      </w:pPr>
      <w:r w:rsidRPr="007E1B58">
        <w:rPr>
          <w:rFonts w:ascii="Times New Roman" w:hAnsi="Times New Roman" w:cs="Times New Roman"/>
          <w:b/>
          <w:color w:val="auto"/>
          <w:szCs w:val="28"/>
          <w:lang w:val="ru-RU"/>
        </w:rPr>
        <w:t>Выводы</w:t>
      </w:r>
    </w:p>
    <w:p w:rsidR="00451AE4" w:rsidRPr="00451AE4" w:rsidRDefault="00451AE4" w:rsidP="007E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51A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Важно помнить, что,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</w:p>
    <w:p w:rsidR="00451AE4" w:rsidRPr="00451AE4" w:rsidRDefault="007E390D" w:rsidP="007E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51AE4" w:rsidRPr="00451A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</w:t>
      </w:r>
    </w:p>
    <w:p w:rsidR="00395430" w:rsidRPr="00091003" w:rsidRDefault="00395430" w:rsidP="007E39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5430" w:rsidRPr="00091003" w:rsidRDefault="00395430" w:rsidP="007E39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5430" w:rsidRPr="00091003" w:rsidRDefault="00395430" w:rsidP="003954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95430" w:rsidRPr="00091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altName w:val="Noto Sans Syriac Western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6FE7"/>
    <w:multiLevelType w:val="hybridMultilevel"/>
    <w:tmpl w:val="98DA5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81373D"/>
    <w:multiLevelType w:val="hybridMultilevel"/>
    <w:tmpl w:val="78C24C20"/>
    <w:lvl w:ilvl="0" w:tplc="DD64E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88528A"/>
    <w:multiLevelType w:val="multilevel"/>
    <w:tmpl w:val="706C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8C"/>
    <w:rsid w:val="00012153"/>
    <w:rsid w:val="00022437"/>
    <w:rsid w:val="00045239"/>
    <w:rsid w:val="00054D90"/>
    <w:rsid w:val="00062AEB"/>
    <w:rsid w:val="0008500F"/>
    <w:rsid w:val="00091003"/>
    <w:rsid w:val="000F37BB"/>
    <w:rsid w:val="001D1BB9"/>
    <w:rsid w:val="001D300F"/>
    <w:rsid w:val="00205687"/>
    <w:rsid w:val="00273EEA"/>
    <w:rsid w:val="00321607"/>
    <w:rsid w:val="00375EAC"/>
    <w:rsid w:val="00392A1E"/>
    <w:rsid w:val="00395430"/>
    <w:rsid w:val="0040212A"/>
    <w:rsid w:val="00451AE4"/>
    <w:rsid w:val="00474BF9"/>
    <w:rsid w:val="0048211A"/>
    <w:rsid w:val="005022BC"/>
    <w:rsid w:val="00520BE8"/>
    <w:rsid w:val="00524BD2"/>
    <w:rsid w:val="00595A39"/>
    <w:rsid w:val="005B00ED"/>
    <w:rsid w:val="005B1A17"/>
    <w:rsid w:val="00605A19"/>
    <w:rsid w:val="00637E3A"/>
    <w:rsid w:val="00672B34"/>
    <w:rsid w:val="00675EA2"/>
    <w:rsid w:val="006B6862"/>
    <w:rsid w:val="00762AA9"/>
    <w:rsid w:val="00783F3F"/>
    <w:rsid w:val="00791413"/>
    <w:rsid w:val="007A44AE"/>
    <w:rsid w:val="007C340E"/>
    <w:rsid w:val="007C7868"/>
    <w:rsid w:val="007E1B58"/>
    <w:rsid w:val="007E390D"/>
    <w:rsid w:val="00805B85"/>
    <w:rsid w:val="00813391"/>
    <w:rsid w:val="0081666C"/>
    <w:rsid w:val="00856AEE"/>
    <w:rsid w:val="0086198C"/>
    <w:rsid w:val="00872F96"/>
    <w:rsid w:val="00892399"/>
    <w:rsid w:val="008B44A4"/>
    <w:rsid w:val="008B63B9"/>
    <w:rsid w:val="008C0467"/>
    <w:rsid w:val="00972001"/>
    <w:rsid w:val="00993CCC"/>
    <w:rsid w:val="00A00CFB"/>
    <w:rsid w:val="00A24DBD"/>
    <w:rsid w:val="00AA6234"/>
    <w:rsid w:val="00AE725D"/>
    <w:rsid w:val="00AF7A6A"/>
    <w:rsid w:val="00B12A2A"/>
    <w:rsid w:val="00B76A91"/>
    <w:rsid w:val="00BE104D"/>
    <w:rsid w:val="00BF291C"/>
    <w:rsid w:val="00CC5EDE"/>
    <w:rsid w:val="00CD416F"/>
    <w:rsid w:val="00D2255C"/>
    <w:rsid w:val="00D22855"/>
    <w:rsid w:val="00D472B9"/>
    <w:rsid w:val="00DA7FC5"/>
    <w:rsid w:val="00DB64A0"/>
    <w:rsid w:val="00DC1AE2"/>
    <w:rsid w:val="00DC300C"/>
    <w:rsid w:val="00E0122D"/>
    <w:rsid w:val="00E275A9"/>
    <w:rsid w:val="00E47EE6"/>
    <w:rsid w:val="00E72D55"/>
    <w:rsid w:val="00EB0131"/>
    <w:rsid w:val="00F03580"/>
    <w:rsid w:val="00F1551C"/>
    <w:rsid w:val="00F65B37"/>
    <w:rsid w:val="00F74CD6"/>
    <w:rsid w:val="00F86523"/>
    <w:rsid w:val="00FA4276"/>
    <w:rsid w:val="00FC661A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5DEC"/>
  <w15:chartTrackingRefBased/>
  <w15:docId w15:val="{D98E5885-F4AC-4073-B863-28D47822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DB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A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DB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F6984-8E0C-4058-ABB1-2344F0305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2022-03-17T09:59:00Z</dcterms:created>
  <dcterms:modified xsi:type="dcterms:W3CDTF">2022-05-12T13:38:00Z</dcterms:modified>
</cp:coreProperties>
</file>