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8303D0" w14:textId="77777777" w:rsidR="008E53EA" w:rsidRPr="008E53EA" w:rsidRDefault="008E53EA" w:rsidP="008E53EA">
      <w:pPr>
        <w:rPr>
          <w:rStyle w:val="a4"/>
          <w:rFonts w:eastAsia="宋体" w:cs="Times New Roman"/>
          <w:kern w:val="36"/>
          <w:sz w:val="28"/>
          <w:szCs w:val="28"/>
        </w:rPr>
      </w:pPr>
      <w:r w:rsidRPr="008E53EA">
        <w:rPr>
          <w:rStyle w:val="a4"/>
          <w:rFonts w:eastAsia="宋体" w:cs="Times New Roman"/>
          <w:kern w:val="36"/>
          <w:sz w:val="28"/>
          <w:szCs w:val="28"/>
        </w:rPr>
        <w:t>Crosswalk Construction and Occupational Automation Risk Assignment</w:t>
      </w:r>
    </w:p>
    <w:p w14:paraId="60362C36" w14:textId="77777777" w:rsidR="008E53EA" w:rsidRPr="008E53EA" w:rsidRDefault="008E53EA" w:rsidP="008E53EA">
      <w:pPr>
        <w:rPr>
          <w:rStyle w:val="a4"/>
          <w:rFonts w:eastAsia="宋体" w:cs="Times New Roman"/>
          <w:b w:val="0"/>
          <w:bCs w:val="0"/>
          <w:kern w:val="36"/>
          <w:szCs w:val="24"/>
        </w:rPr>
      </w:pPr>
      <w:r w:rsidRPr="008E53EA">
        <w:rPr>
          <w:rStyle w:val="a4"/>
          <w:rFonts w:eastAsia="宋体" w:cs="Times New Roman"/>
          <w:b w:val="0"/>
          <w:bCs w:val="0"/>
          <w:kern w:val="36"/>
          <w:szCs w:val="24"/>
        </w:rPr>
        <w:t>A central variable in this paper is the occupation-level automation substitution probability. We obtain this measure from Wei, Li, and Ma (2025), who decompose all Chinese occupations into 161 distinct task bundles using data from China's Occupational Information Network and employ a random forest classifier to estimate the probability of each occupation being displaced by industrial robots. Because their probability estimates are indexed to China's occupational classification system (SOC-10, based on the Dictionary of Occupational Titles of the People's Republic of China), while our international labor datasets record occupations using the International Standard Classification of Occupations, 1988 revision (ISCO-88), a systematic crosswalk procedure is necessary to align the two coding schemes.</w:t>
      </w:r>
    </w:p>
    <w:p w14:paraId="194AF1F4" w14:textId="77777777" w:rsidR="008E53EA" w:rsidRPr="008E53EA" w:rsidRDefault="008E53EA" w:rsidP="008E53EA">
      <w:pPr>
        <w:rPr>
          <w:rStyle w:val="a4"/>
          <w:rFonts w:eastAsia="宋体" w:cs="Times New Roman"/>
          <w:b w:val="0"/>
          <w:bCs w:val="0"/>
          <w:kern w:val="36"/>
          <w:szCs w:val="24"/>
        </w:rPr>
      </w:pPr>
      <w:r w:rsidRPr="008E53EA">
        <w:rPr>
          <w:rStyle w:val="a4"/>
          <w:rFonts w:eastAsia="宋体" w:cs="Times New Roman"/>
          <w:b w:val="0"/>
          <w:bCs w:val="0"/>
          <w:kern w:val="36"/>
          <w:szCs w:val="24"/>
        </w:rPr>
        <w:t>We construct the crosswalk in two sequential steps. First, we map ISCO-</w:t>
      </w:r>
      <w:proofErr w:type="gramStart"/>
      <w:r w:rsidRPr="008E53EA">
        <w:rPr>
          <w:rStyle w:val="a4"/>
          <w:rFonts w:eastAsia="宋体" w:cs="Times New Roman"/>
          <w:b w:val="0"/>
          <w:bCs w:val="0"/>
          <w:kern w:val="36"/>
          <w:szCs w:val="24"/>
        </w:rPr>
        <w:t>88 unit</w:t>
      </w:r>
      <w:proofErr w:type="gramEnd"/>
      <w:r w:rsidRPr="008E53EA">
        <w:rPr>
          <w:rStyle w:val="a4"/>
          <w:rFonts w:eastAsia="宋体" w:cs="Times New Roman"/>
          <w:b w:val="0"/>
          <w:bCs w:val="0"/>
          <w:kern w:val="36"/>
          <w:szCs w:val="24"/>
        </w:rPr>
        <w:t xml:space="preserve"> groups to their ISCO-08 counterparts using the official correspondence table published by the ILO Bureau of Statistics (ILO, 2012), which provides a structured mapping between the two versions of the international classification. Second, we apply the ISCO-08 to SOC-10 crosswalk released by the U.S. Bureau of Labor Statistics on behalf of the Standard Occupational Classification Policy Committee, linking ISCO-08 codes to the SOC-10 system used as the reference framework by Wei et al. (2025).</w:t>
      </w:r>
    </w:p>
    <w:p w14:paraId="6D3F0D53" w14:textId="4EC4302D" w:rsidR="00EE5F35" w:rsidRPr="008E53EA" w:rsidRDefault="008E53EA" w:rsidP="008E53EA">
      <w:pPr>
        <w:rPr>
          <w:rFonts w:cs="Times New Roman"/>
          <w:szCs w:val="24"/>
        </w:rPr>
      </w:pPr>
      <w:r w:rsidRPr="008E53EA">
        <w:rPr>
          <w:rStyle w:val="a4"/>
          <w:rFonts w:eastAsia="宋体" w:cs="Times New Roman"/>
          <w:b w:val="0"/>
          <w:bCs w:val="0"/>
          <w:kern w:val="36"/>
          <w:szCs w:val="24"/>
        </w:rPr>
        <w:t>Both mapping steps are inherently non-injective: a single ISCO code may correspond to multiple SOC-10 categories and, in turn, to multiple Chinese occupational titles. We retain all feasible correspondences and compute a weighted average of the associated substitution probabilities—weighting by the occupational employment distribution—to derive a single automation risk score for each ISCO unit group. For occupations where the existing correspondence tables yield no direct match, we assign probabilities by semantic comparison of task content and skill requirements, pairing each unmatched ISCO title with the most functionally analogous category in the Chinese classification and adopting its probability accordingly. The resulting occupation-level automation risk scores are then merged with individual-level employment records to construct a measure of each worker's exposure to automation.</w:t>
      </w:r>
    </w:p>
    <w:p w14:paraId="4B905A00" w14:textId="74CEF39D" w:rsidR="00565BF6" w:rsidRPr="008E53EA" w:rsidRDefault="00565BF6" w:rsidP="00565BF6">
      <w:pPr>
        <w:widowControl/>
        <w:jc w:val="left"/>
        <w:rPr>
          <w:rFonts w:eastAsia="宋体" w:cs="Times New Roman"/>
          <w:kern w:val="0"/>
          <w:szCs w:val="24"/>
        </w:rPr>
      </w:pPr>
    </w:p>
    <w:p w14:paraId="34E77113" w14:textId="683F9B80" w:rsidR="00951810" w:rsidRPr="0035011C" w:rsidRDefault="0035011C" w:rsidP="0035011C">
      <w:pPr>
        <w:widowControl/>
        <w:jc w:val="left"/>
        <w:rPr>
          <w:rFonts w:ascii="微软雅黑" w:hAnsi="微软雅黑"/>
          <w:color w:val="666666"/>
          <w:sz w:val="18"/>
          <w:szCs w:val="18"/>
          <w:shd w:val="clear" w:color="auto" w:fill="FFFFFF"/>
        </w:rPr>
      </w:pPr>
      <w:r w:rsidRPr="0035011C">
        <w:rPr>
          <w:rFonts w:ascii="微软雅黑" w:hAnsi="微软雅黑"/>
          <w:color w:val="666666"/>
          <w:sz w:val="18"/>
          <w:szCs w:val="18"/>
          <w:shd w:val="clear" w:color="auto" w:fill="FFFFFF"/>
        </w:rPr>
        <w:t xml:space="preserve">Wei </w:t>
      </w:r>
      <w:proofErr w:type="spellStart"/>
      <w:r w:rsidRPr="0035011C">
        <w:rPr>
          <w:rFonts w:ascii="微软雅黑" w:hAnsi="微软雅黑"/>
          <w:color w:val="666666"/>
          <w:sz w:val="18"/>
          <w:szCs w:val="18"/>
          <w:shd w:val="clear" w:color="auto" w:fill="FFFFFF"/>
        </w:rPr>
        <w:t>Hongbing</w:t>
      </w:r>
      <w:proofErr w:type="spellEnd"/>
      <w:r w:rsidRPr="0035011C">
        <w:rPr>
          <w:rFonts w:ascii="微软雅黑" w:hAnsi="微软雅黑"/>
          <w:color w:val="666666"/>
          <w:sz w:val="18"/>
          <w:szCs w:val="18"/>
          <w:shd w:val="clear" w:color="auto" w:fill="FFFFFF"/>
        </w:rPr>
        <w:t xml:space="preserve">; Li He; Ma </w:t>
      </w:r>
      <w:proofErr w:type="gramStart"/>
      <w:r w:rsidRPr="0035011C">
        <w:rPr>
          <w:rFonts w:ascii="微软雅黑" w:hAnsi="微软雅黑"/>
          <w:color w:val="666666"/>
          <w:sz w:val="18"/>
          <w:szCs w:val="18"/>
          <w:shd w:val="clear" w:color="auto" w:fill="FFFFFF"/>
        </w:rPr>
        <w:t>Hong</w:t>
      </w:r>
      <w:r>
        <w:rPr>
          <w:rFonts w:ascii="微软雅黑" w:hAnsi="微软雅黑" w:hint="eastAsia"/>
          <w:color w:val="666666"/>
          <w:sz w:val="18"/>
          <w:szCs w:val="18"/>
          <w:shd w:val="clear" w:color="auto" w:fill="FFFFFF"/>
        </w:rPr>
        <w:t>.(</w:t>
      </w:r>
      <w:proofErr w:type="gramEnd"/>
      <w:r>
        <w:rPr>
          <w:rFonts w:ascii="微软雅黑" w:hAnsi="微软雅黑" w:hint="eastAsia"/>
          <w:color w:val="666666"/>
          <w:sz w:val="18"/>
          <w:szCs w:val="18"/>
          <w:shd w:val="clear" w:color="auto" w:fill="FFFFFF"/>
        </w:rPr>
        <w:t>2025).</w:t>
      </w:r>
      <w:r w:rsidRPr="0035011C">
        <w:t xml:space="preserve"> </w:t>
      </w:r>
      <w:r w:rsidRPr="0035011C">
        <w:rPr>
          <w:rFonts w:ascii="微软雅黑" w:hAnsi="微软雅黑"/>
          <w:color w:val="666666"/>
          <w:sz w:val="18"/>
          <w:szCs w:val="18"/>
          <w:shd w:val="clear" w:color="auto" w:fill="FFFFFF"/>
        </w:rPr>
        <w:t>Industrial Robotics and Employment Structure Change:</w:t>
      </w:r>
      <w:r>
        <w:rPr>
          <w:rFonts w:ascii="微软雅黑" w:hAnsi="微软雅黑" w:hint="eastAsia"/>
          <w:color w:val="666666"/>
          <w:sz w:val="18"/>
          <w:szCs w:val="18"/>
          <w:shd w:val="clear" w:color="auto" w:fill="FFFFFF"/>
        </w:rPr>
        <w:t xml:space="preserve"> </w:t>
      </w:r>
      <w:r w:rsidRPr="0035011C">
        <w:rPr>
          <w:rFonts w:ascii="微软雅黑" w:hAnsi="微软雅黑"/>
          <w:color w:val="666666"/>
          <w:sz w:val="18"/>
          <w:szCs w:val="18"/>
          <w:shd w:val="clear" w:color="auto" w:fill="FFFFFF"/>
        </w:rPr>
        <w:t>An Occupational and Task-Based Analysis</w:t>
      </w:r>
      <w:r>
        <w:rPr>
          <w:rFonts w:ascii="微软雅黑" w:hAnsi="微软雅黑" w:hint="eastAsia"/>
          <w:color w:val="666666"/>
          <w:sz w:val="18"/>
          <w:szCs w:val="18"/>
          <w:shd w:val="clear" w:color="auto" w:fill="FFFFFF"/>
        </w:rPr>
        <w:t>.</w:t>
      </w:r>
      <w:r w:rsidRPr="0035011C">
        <w:t xml:space="preserve"> </w:t>
      </w:r>
      <w:r w:rsidRPr="0035011C">
        <w:rPr>
          <w:rFonts w:ascii="微软雅黑" w:hAnsi="微软雅黑"/>
          <w:color w:val="666666"/>
          <w:sz w:val="18"/>
          <w:szCs w:val="18"/>
          <w:shd w:val="clear" w:color="auto" w:fill="FFFFFF"/>
        </w:rPr>
        <w:t>The Journal of World Economy</w:t>
      </w:r>
      <w:r>
        <w:rPr>
          <w:rFonts w:ascii="微软雅黑" w:hAnsi="微软雅黑" w:hint="eastAsia"/>
          <w:color w:val="666666"/>
          <w:sz w:val="18"/>
          <w:szCs w:val="18"/>
          <w:shd w:val="clear" w:color="auto" w:fill="FFFFFF"/>
        </w:rPr>
        <w:t>,48(4),144-169.https://doi-org.proxy1.library.jhu.edu/10.19985/j.cnki.cassjwe.2025.04.015.</w:t>
      </w:r>
    </w:p>
    <w:p w14:paraId="7900C9A0" w14:textId="77777777" w:rsidR="00951810" w:rsidRPr="008E53EA" w:rsidRDefault="00951810" w:rsidP="00565BF6">
      <w:pPr>
        <w:widowControl/>
        <w:jc w:val="left"/>
        <w:rPr>
          <w:rFonts w:eastAsia="宋体" w:cs="Times New Roman"/>
          <w:kern w:val="0"/>
          <w:szCs w:val="24"/>
        </w:rPr>
      </w:pPr>
    </w:p>
    <w:p w14:paraId="02C0BE98" w14:textId="77777777" w:rsidR="00951810" w:rsidRPr="008E53EA" w:rsidRDefault="00951810" w:rsidP="00565BF6">
      <w:pPr>
        <w:widowControl/>
        <w:jc w:val="left"/>
        <w:rPr>
          <w:rFonts w:eastAsia="宋体" w:cs="Times New Roman"/>
          <w:kern w:val="0"/>
          <w:szCs w:val="24"/>
        </w:rPr>
      </w:pPr>
    </w:p>
    <w:p w14:paraId="005CFE26" w14:textId="77777777" w:rsidR="00295BD8" w:rsidRDefault="00295BD8" w:rsidP="00295BD8">
      <w:pPr>
        <w:pStyle w:val="font-claude-response-body"/>
      </w:pPr>
      <w:r>
        <w:lastRenderedPageBreak/>
        <w:t>本文的核心变量之一是职业自动化替代概率。该数据来源于魏宏冰、李贺、马弘（2025）的研究成果。该文基于中国职业信息网，将中国所有职业细分为161种任务组合，并采用随机森林方法估计了各职业被工业机器人替代的概率。然而，由于该概率数据以中国职业分类大典（中职典）编码体系（SOC-10）为基础，而本文所使用的国际劳工数据库则采用国际标准职业分类（ISCO-88）体系，两套分类标准之间并不存在直接的一一对应关系，因此需要构建系统性的跨编码体系匹配方案。</w:t>
      </w:r>
    </w:p>
    <w:p w14:paraId="0A8EA31E" w14:textId="77777777" w:rsidR="00295BD8" w:rsidRDefault="00295BD8" w:rsidP="00295BD8">
      <w:pPr>
        <w:pStyle w:val="font-claude-response-body"/>
      </w:pPr>
      <w:r>
        <w:t>为此，本文分两步完成职业编码的跨体系对接。第一步，借助国际劳工组织（ILO）发布的官方对照表，将ISCO-88编码映射至ISCO-08编码。该对照表由ILO统计局编制，提供了两套国际分类标准之间的系统性对应关系（ILO，2012）。第二步，利用美国劳工统计局（BLS）发布的ISCO-08至美国标准职业分类（SOC-10）对照表，将ISCO-08编码进一步映射至SOC-10编码，从而与魏宏冰等（2025）所使用的中国职业分类编码实现接驳。</w:t>
      </w:r>
    </w:p>
    <w:p w14:paraId="1D1468EE" w14:textId="77777777" w:rsidR="00295BD8" w:rsidRDefault="00295BD8" w:rsidP="00295BD8">
      <w:pPr>
        <w:pStyle w:val="font-claude-response-body"/>
      </w:pPr>
      <w:r>
        <w:t>上述两步映射均存在一对多的情形，即同一ISCO编码可能对应多个SOC-10编码或多个中文职业类别。对此，本文保留所有可能的对应关系，并将各目标职业的替代概率以劳动者分布为权重进行加权平均，以此作为每个ISCO职业类别的替代概率估计值。对于部分在已有对照表中难以直接匹配的职业，本文依据职业的任务内容与技能特征进行语义比照，将其归入语义最相近的中文职业类别，并赋以相应的替代概率，以最大程度地减少信息损失。最终，本文将该职业层面的替代概率与劳动力调查数据中的个体职业信息合并，构建出个体层面的自动化暴露度量指标。</w:t>
      </w:r>
    </w:p>
    <w:p w14:paraId="70B3F601" w14:textId="77777777" w:rsidR="00951810" w:rsidRPr="00295BD8" w:rsidRDefault="00951810" w:rsidP="00565BF6">
      <w:pPr>
        <w:widowControl/>
        <w:jc w:val="left"/>
        <w:rPr>
          <w:rFonts w:eastAsia="宋体" w:cs="Times New Roman"/>
          <w:kern w:val="0"/>
          <w:szCs w:val="24"/>
        </w:rPr>
      </w:pPr>
    </w:p>
    <w:p w14:paraId="30DCB5F9" w14:textId="4CC8F8B8" w:rsidR="00565BF6" w:rsidRPr="00295BD8" w:rsidRDefault="00565BF6" w:rsidP="00565BF6">
      <w:pPr>
        <w:pStyle w:val="1"/>
        <w:rPr>
          <w:rFonts w:ascii="Times New Roman" w:hAnsi="Times New Roman" w:cs="Times New Roman"/>
          <w:b w:val="0"/>
          <w:bCs w:val="0"/>
          <w:sz w:val="28"/>
          <w:szCs w:val="28"/>
        </w:rPr>
      </w:pPr>
      <w:r w:rsidRPr="00295BD8">
        <w:rPr>
          <w:rStyle w:val="a4"/>
          <w:rFonts w:ascii="Times New Roman" w:hAnsi="Times New Roman" w:cs="Times New Roman"/>
          <w:b/>
          <w:bCs/>
          <w:sz w:val="28"/>
          <w:szCs w:val="28"/>
        </w:rPr>
        <w:t>稳健性检验（</w:t>
      </w:r>
      <w:r w:rsidR="00D57E22" w:rsidRPr="00295BD8">
        <w:rPr>
          <w:rStyle w:val="a4"/>
          <w:rFonts w:ascii="Times New Roman" w:hAnsi="Times New Roman" w:cs="Times New Roman"/>
          <w:b/>
          <w:bCs/>
          <w:sz w:val="28"/>
          <w:szCs w:val="28"/>
        </w:rPr>
        <w:t>forward</w:t>
      </w:r>
      <w:r w:rsidRPr="00295BD8">
        <w:rPr>
          <w:rStyle w:val="a4"/>
          <w:rFonts w:ascii="Times New Roman" w:hAnsi="Times New Roman" w:cs="Times New Roman"/>
          <w:b/>
          <w:bCs/>
          <w:sz w:val="28"/>
          <w:szCs w:val="28"/>
        </w:rPr>
        <w:t>）</w:t>
      </w:r>
    </w:p>
    <w:p w14:paraId="1E3DD2CC" w14:textId="77777777" w:rsidR="00565BF6" w:rsidRPr="00295BD8" w:rsidRDefault="00565BF6" w:rsidP="00295BD8">
      <w:r w:rsidRPr="00295BD8">
        <w:t>为验证</w:t>
      </w:r>
      <w:r w:rsidRPr="00295BD8">
        <w:t xml:space="preserve">“AI </w:t>
      </w:r>
      <w:r w:rsidRPr="00295BD8">
        <w:t>语义匹配</w:t>
      </w:r>
      <w:r w:rsidRPr="00295BD8">
        <w:t xml:space="preserve"> + </w:t>
      </w:r>
      <w:r w:rsidRPr="00295BD8">
        <w:t>概率继承</w:t>
      </w:r>
      <w:r w:rsidRPr="00295BD8">
        <w:t>”</w:t>
      </w:r>
      <w:r w:rsidRPr="00295BD8">
        <w:t>方法不会机械性地驱动结果，我进行了多项稳健性检验。这些检验从不同角度验证了研究结论对匹配规则、概率计算方式以及职业分类假设的稳健性。</w:t>
      </w:r>
    </w:p>
    <w:p w14:paraId="44CC9E92" w14:textId="77777777" w:rsidR="00565BF6" w:rsidRPr="00295BD8" w:rsidRDefault="00565BF6" w:rsidP="00295BD8">
      <w:r w:rsidRPr="00295BD8">
        <w:rPr>
          <w:rStyle w:val="a4"/>
          <w:rFonts w:cs="Times New Roman"/>
          <w:b w:val="0"/>
          <w:bCs w:val="0"/>
          <w:sz w:val="22"/>
        </w:rPr>
        <w:t xml:space="preserve">1. </w:t>
      </w:r>
      <w:r w:rsidRPr="00295BD8">
        <w:rPr>
          <w:rStyle w:val="a4"/>
          <w:rFonts w:cs="Times New Roman"/>
          <w:b w:val="0"/>
          <w:bCs w:val="0"/>
          <w:sz w:val="22"/>
        </w:rPr>
        <w:t>替代概率聚合方式</w:t>
      </w:r>
    </w:p>
    <w:p w14:paraId="78EC254C" w14:textId="77777777" w:rsidR="00565BF6" w:rsidRPr="00295BD8" w:rsidRDefault="00565BF6" w:rsidP="00295BD8">
      <w:r w:rsidRPr="00295BD8">
        <w:t>基准模型采用</w:t>
      </w:r>
      <w:r w:rsidRPr="00295BD8">
        <w:t>“</w:t>
      </w:r>
      <w:r w:rsidRPr="00295BD8">
        <w:t>组内均值</w:t>
      </w:r>
      <w:r w:rsidRPr="00295BD8">
        <w:t>”</w:t>
      </w:r>
      <w:r w:rsidRPr="00295BD8">
        <w:t>作为继承概率。为检验敏感性，我使用两种替代方式重新计算暴露度：</w:t>
      </w:r>
    </w:p>
    <w:p w14:paraId="165FC1C8" w14:textId="77777777" w:rsidR="00565BF6" w:rsidRPr="00295BD8" w:rsidRDefault="00565BF6" w:rsidP="00295BD8">
      <w:r w:rsidRPr="00295BD8">
        <w:rPr>
          <w:rStyle w:val="a4"/>
          <w:rFonts w:cs="Times New Roman"/>
          <w:b w:val="0"/>
          <w:bCs w:val="0"/>
          <w:sz w:val="22"/>
        </w:rPr>
        <w:lastRenderedPageBreak/>
        <w:t>组内最大值</w:t>
      </w:r>
    </w:p>
    <w:p w14:paraId="7299E228" w14:textId="77777777" w:rsidR="00565BF6" w:rsidRPr="00295BD8" w:rsidRDefault="00565BF6" w:rsidP="00295BD8">
      <w:r w:rsidRPr="00295BD8">
        <w:rPr>
          <w:rStyle w:val="a4"/>
          <w:rFonts w:cs="Times New Roman"/>
          <w:b w:val="0"/>
          <w:bCs w:val="0"/>
          <w:sz w:val="22"/>
        </w:rPr>
        <w:t>组内中位数</w:t>
      </w:r>
    </w:p>
    <w:p w14:paraId="148603D5" w14:textId="77777777" w:rsidR="00565BF6" w:rsidRPr="00295BD8" w:rsidRDefault="00565BF6" w:rsidP="00295BD8">
      <w:r w:rsidRPr="00295BD8">
        <w:t>结果变化极小，说明结论不依赖于具体的概率聚合方式。</w:t>
      </w:r>
    </w:p>
    <w:p w14:paraId="744DBA0C" w14:textId="77777777" w:rsidR="00565BF6" w:rsidRPr="00295BD8" w:rsidRDefault="00565BF6" w:rsidP="00295BD8">
      <w:r w:rsidRPr="00295BD8">
        <w:rPr>
          <w:rStyle w:val="a4"/>
          <w:rFonts w:cs="Times New Roman"/>
          <w:b w:val="0"/>
          <w:bCs w:val="0"/>
          <w:sz w:val="22"/>
        </w:rPr>
        <w:t xml:space="preserve">2. </w:t>
      </w:r>
      <w:r w:rsidRPr="00295BD8">
        <w:rPr>
          <w:rStyle w:val="a4"/>
          <w:rFonts w:cs="Times New Roman"/>
          <w:b w:val="0"/>
          <w:bCs w:val="0"/>
          <w:sz w:val="22"/>
        </w:rPr>
        <w:t>仅使用高置信度语义匹配</w:t>
      </w:r>
    </w:p>
    <w:p w14:paraId="64E75CFC" w14:textId="77777777" w:rsidR="00565BF6" w:rsidRPr="00295BD8" w:rsidRDefault="00565BF6" w:rsidP="00295BD8">
      <w:r w:rsidRPr="00295BD8">
        <w:t xml:space="preserve">AI </w:t>
      </w:r>
      <w:r w:rsidRPr="00295BD8">
        <w:t>模型为每个匹配提供语义置信度。我重新估计模型，仅保留：</w:t>
      </w:r>
    </w:p>
    <w:p w14:paraId="1AE72EDA" w14:textId="77777777" w:rsidR="00565BF6" w:rsidRPr="00295BD8" w:rsidRDefault="00565BF6" w:rsidP="00295BD8">
      <w:r w:rsidRPr="00295BD8">
        <w:t>高置信度匹配的职业</w:t>
      </w:r>
    </w:p>
    <w:p w14:paraId="31FD2BFA" w14:textId="77777777" w:rsidR="00565BF6" w:rsidRPr="00295BD8" w:rsidRDefault="00565BF6" w:rsidP="00295BD8">
      <w:r w:rsidRPr="00295BD8">
        <w:t>删除所有</w:t>
      </w:r>
      <w:r w:rsidRPr="00295BD8">
        <w:t>“</w:t>
      </w:r>
      <w:r w:rsidRPr="00295BD8">
        <w:t>其他</w:t>
      </w:r>
      <w:r w:rsidRPr="00295BD8">
        <w:t>××</w:t>
      </w:r>
      <w:r w:rsidRPr="00295BD8">
        <w:t>人员</w:t>
      </w:r>
      <w:r w:rsidRPr="00295BD8">
        <w:t>”</w:t>
      </w:r>
      <w:r w:rsidRPr="00295BD8">
        <w:t>等残余类别</w:t>
      </w:r>
    </w:p>
    <w:p w14:paraId="588CD3EF" w14:textId="77777777" w:rsidR="00565BF6" w:rsidRPr="00295BD8" w:rsidRDefault="00565BF6" w:rsidP="00295BD8">
      <w:r w:rsidRPr="00295BD8">
        <w:t>核心结果保持稳定，说明结论不受模糊职业类别影响。</w:t>
      </w:r>
    </w:p>
    <w:p w14:paraId="2DAB67EB" w14:textId="77777777" w:rsidR="00565BF6" w:rsidRPr="00295BD8" w:rsidRDefault="00565BF6" w:rsidP="00295BD8">
      <w:r w:rsidRPr="00295BD8">
        <w:rPr>
          <w:rStyle w:val="a4"/>
          <w:rFonts w:cs="Times New Roman"/>
          <w:b w:val="0"/>
          <w:bCs w:val="0"/>
          <w:sz w:val="22"/>
        </w:rPr>
        <w:t xml:space="preserve">3. </w:t>
      </w:r>
      <w:r w:rsidRPr="00295BD8">
        <w:rPr>
          <w:rStyle w:val="a4"/>
          <w:rFonts w:cs="Times New Roman"/>
          <w:b w:val="0"/>
          <w:bCs w:val="0"/>
          <w:sz w:val="22"/>
        </w:rPr>
        <w:t>排除管理类与监督类职业</w:t>
      </w:r>
    </w:p>
    <w:p w14:paraId="23BE7206" w14:textId="77777777" w:rsidR="00565BF6" w:rsidRPr="00295BD8" w:rsidRDefault="00565BF6" w:rsidP="00295BD8">
      <w:r w:rsidRPr="00295BD8">
        <w:t>管理类职业任务范围广，可能对应多个中文类别。为避免其影响，我排除：</w:t>
      </w:r>
    </w:p>
    <w:p w14:paraId="5C2906E0" w14:textId="77777777" w:rsidR="00565BF6" w:rsidRPr="00295BD8" w:rsidRDefault="00565BF6" w:rsidP="00295BD8">
      <w:r w:rsidRPr="00295BD8">
        <w:t>各类总经理</w:t>
      </w:r>
    </w:p>
    <w:p w14:paraId="2CF9B025" w14:textId="77777777" w:rsidR="00565BF6" w:rsidRPr="00295BD8" w:rsidRDefault="00565BF6" w:rsidP="00295BD8">
      <w:r w:rsidRPr="00295BD8">
        <w:t>部门经理</w:t>
      </w:r>
    </w:p>
    <w:p w14:paraId="01E73D15" w14:textId="77777777" w:rsidR="00565BF6" w:rsidRPr="00295BD8" w:rsidRDefault="00565BF6" w:rsidP="00295BD8">
      <w:r w:rsidRPr="00295BD8">
        <w:t>监督与检查类职业</w:t>
      </w:r>
    </w:p>
    <w:p w14:paraId="1F1F069A" w14:textId="77777777" w:rsidR="00565BF6" w:rsidRPr="00295BD8" w:rsidRDefault="00565BF6" w:rsidP="00295BD8">
      <w:r w:rsidRPr="00295BD8">
        <w:t>结果依然稳健，说明结论并非由管理类职业驱动。</w:t>
      </w:r>
    </w:p>
    <w:p w14:paraId="044D0FBA" w14:textId="77777777" w:rsidR="00565BF6" w:rsidRPr="00295BD8" w:rsidRDefault="00565BF6" w:rsidP="00295BD8">
      <w:r w:rsidRPr="00295BD8">
        <w:rPr>
          <w:rStyle w:val="a4"/>
          <w:rFonts w:cs="Times New Roman"/>
          <w:b w:val="0"/>
          <w:bCs w:val="0"/>
          <w:sz w:val="22"/>
        </w:rPr>
        <w:t xml:space="preserve">4. </w:t>
      </w:r>
      <w:r w:rsidRPr="00295BD8">
        <w:rPr>
          <w:rStyle w:val="a4"/>
          <w:rFonts w:cs="Times New Roman"/>
          <w:b w:val="0"/>
          <w:bCs w:val="0"/>
          <w:sz w:val="22"/>
        </w:rPr>
        <w:t>使用更粗的职业分类</w:t>
      </w:r>
    </w:p>
    <w:p w14:paraId="1B610B85" w14:textId="77777777" w:rsidR="00565BF6" w:rsidRPr="00295BD8" w:rsidRDefault="00565BF6" w:rsidP="00295BD8">
      <w:r w:rsidRPr="00295BD8">
        <w:lastRenderedPageBreak/>
        <w:t>为检验结果是否依赖于细粒度的</w:t>
      </w:r>
      <w:r w:rsidRPr="00295BD8">
        <w:t xml:space="preserve"> ISCO</w:t>
      </w:r>
      <w:r w:rsidRPr="00295BD8">
        <w:noBreakHyphen/>
        <w:t xml:space="preserve">88 </w:t>
      </w:r>
      <w:r w:rsidRPr="00295BD8">
        <w:t>分类，我将职业聚合到</w:t>
      </w:r>
      <w:r w:rsidRPr="00295BD8">
        <w:t xml:space="preserve"> </w:t>
      </w:r>
      <w:r w:rsidRPr="00295BD8">
        <w:rPr>
          <w:rStyle w:val="a4"/>
          <w:rFonts w:cs="Times New Roman"/>
          <w:b w:val="0"/>
          <w:bCs w:val="0"/>
          <w:sz w:val="22"/>
        </w:rPr>
        <w:t xml:space="preserve">2 </w:t>
      </w:r>
      <w:r w:rsidRPr="00295BD8">
        <w:rPr>
          <w:rStyle w:val="a4"/>
          <w:rFonts w:cs="Times New Roman"/>
          <w:b w:val="0"/>
          <w:bCs w:val="0"/>
          <w:sz w:val="22"/>
        </w:rPr>
        <w:t>位数大类</w:t>
      </w:r>
      <w:r w:rsidRPr="00295BD8">
        <w:t>，并重新计算暴露度。结果与基准一致，说明结论对职业粒度不敏感。</w:t>
      </w:r>
    </w:p>
    <w:p w14:paraId="7503A296" w14:textId="77777777" w:rsidR="00565BF6" w:rsidRPr="00295BD8" w:rsidRDefault="00565BF6" w:rsidP="00295BD8">
      <w:r w:rsidRPr="00295BD8">
        <w:rPr>
          <w:rStyle w:val="a4"/>
          <w:rFonts w:cs="Times New Roman"/>
          <w:b w:val="0"/>
          <w:bCs w:val="0"/>
          <w:sz w:val="22"/>
        </w:rPr>
        <w:t xml:space="preserve">5. </w:t>
      </w:r>
      <w:r w:rsidRPr="00295BD8">
        <w:rPr>
          <w:rStyle w:val="a4"/>
          <w:rFonts w:cs="Times New Roman"/>
          <w:b w:val="0"/>
          <w:bCs w:val="0"/>
          <w:sz w:val="22"/>
        </w:rPr>
        <w:t>随机化概率的安慰剂检验</w:t>
      </w:r>
    </w:p>
    <w:p w14:paraId="27815A51" w14:textId="77777777" w:rsidR="00565BF6" w:rsidRPr="00295BD8" w:rsidRDefault="00565BF6" w:rsidP="00295BD8">
      <w:r w:rsidRPr="00295BD8">
        <w:t>作为伪检验，我在保持职业结构不变的情况下，随机打乱暴露度概率。随机化后的暴露度与结果变量之间不再呈现显著关系，说明基准结果并非由虚假相关驱动。</w:t>
      </w:r>
    </w:p>
    <w:p w14:paraId="287298CA" w14:textId="77777777" w:rsidR="00565BF6" w:rsidRPr="00295BD8" w:rsidRDefault="00565BF6" w:rsidP="00295BD8">
      <w:r w:rsidRPr="00295BD8">
        <w:rPr>
          <w:rStyle w:val="a4"/>
          <w:rFonts w:cs="Times New Roman"/>
          <w:b w:val="0"/>
          <w:bCs w:val="0"/>
          <w:sz w:val="22"/>
        </w:rPr>
        <w:t xml:space="preserve">6. </w:t>
      </w:r>
      <w:r w:rsidRPr="00295BD8">
        <w:rPr>
          <w:rStyle w:val="a4"/>
          <w:rFonts w:cs="Times New Roman"/>
          <w:b w:val="0"/>
          <w:bCs w:val="0"/>
          <w:sz w:val="22"/>
        </w:rPr>
        <w:t>替代语义匹配模型</w:t>
      </w:r>
    </w:p>
    <w:p w14:paraId="4F5C3C2C" w14:textId="77777777" w:rsidR="00565BF6" w:rsidRPr="00295BD8" w:rsidRDefault="00565BF6" w:rsidP="00295BD8">
      <w:r w:rsidRPr="00295BD8">
        <w:t>为确保结果不依赖于特定</w:t>
      </w:r>
      <w:r w:rsidRPr="00295BD8">
        <w:t xml:space="preserve"> AI </w:t>
      </w:r>
      <w:r w:rsidRPr="00295BD8">
        <w:t>模型，我使用另一大型语言模型重新进行语义匹配。继承概率与暴露度指标与基准高度相关，说明结论具有模型稳健性。</w:t>
      </w:r>
    </w:p>
    <w:p w14:paraId="4DA04741" w14:textId="77777777" w:rsidR="00151B80" w:rsidRPr="008E53EA" w:rsidRDefault="00151B80">
      <w:pPr>
        <w:rPr>
          <w:rFonts w:cs="Times New Roman"/>
          <w:szCs w:val="24"/>
        </w:rPr>
      </w:pPr>
    </w:p>
    <w:sectPr w:rsidR="00151B80" w:rsidRPr="008E53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FF26FC"/>
    <w:multiLevelType w:val="multilevel"/>
    <w:tmpl w:val="AA867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954297"/>
    <w:multiLevelType w:val="multilevel"/>
    <w:tmpl w:val="CBE4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51630A"/>
    <w:multiLevelType w:val="multilevel"/>
    <w:tmpl w:val="98CE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641744"/>
    <w:multiLevelType w:val="multilevel"/>
    <w:tmpl w:val="7ECE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5128867">
    <w:abstractNumId w:val="1"/>
  </w:num>
  <w:num w:numId="2" w16cid:durableId="758021795">
    <w:abstractNumId w:val="2"/>
  </w:num>
  <w:num w:numId="3" w16cid:durableId="1521552556">
    <w:abstractNumId w:val="0"/>
  </w:num>
  <w:num w:numId="4" w16cid:durableId="18168734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MzNDc0szQzNjE0MzFQ0lEKTi0uzszPAykwrgUAKRMAjCwAAAA="/>
  </w:docVars>
  <w:rsids>
    <w:rsidRoot w:val="00565BF6"/>
    <w:rsid w:val="00151B80"/>
    <w:rsid w:val="00165A36"/>
    <w:rsid w:val="0023623B"/>
    <w:rsid w:val="0026236F"/>
    <w:rsid w:val="00295BD8"/>
    <w:rsid w:val="0035011C"/>
    <w:rsid w:val="0046077F"/>
    <w:rsid w:val="00565BF6"/>
    <w:rsid w:val="007218A0"/>
    <w:rsid w:val="008E53EA"/>
    <w:rsid w:val="00951810"/>
    <w:rsid w:val="00CE3336"/>
    <w:rsid w:val="00D57E22"/>
    <w:rsid w:val="00EE5F35"/>
    <w:rsid w:val="00F02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A9E0D2"/>
  <w15:chartTrackingRefBased/>
  <w15:docId w15:val="{DF59AB6E-361D-497D-9729-F8053BA3B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5F35"/>
    <w:pPr>
      <w:widowControl w:val="0"/>
      <w:spacing w:after="100" w:afterAutospacing="1"/>
      <w:jc w:val="both"/>
    </w:pPr>
    <w:rPr>
      <w:rFonts w:ascii="Times New Roman" w:eastAsia="微软雅黑" w:hAnsi="Times New Roman"/>
      <w:sz w:val="24"/>
    </w:rPr>
  </w:style>
  <w:style w:type="paragraph" w:styleId="1">
    <w:name w:val="heading 1"/>
    <w:basedOn w:val="a"/>
    <w:link w:val="10"/>
    <w:uiPriority w:val="9"/>
    <w:qFormat/>
    <w:rsid w:val="00565BF6"/>
    <w:pPr>
      <w:widowControl/>
      <w:spacing w:before="100" w:beforeAutospacing="1"/>
      <w:jc w:val="left"/>
      <w:outlineLvl w:val="0"/>
    </w:pPr>
    <w:rPr>
      <w:rFonts w:ascii="宋体" w:eastAsia="宋体" w:hAnsi="宋体" w:cs="宋体"/>
      <w:b/>
      <w:bCs/>
      <w:kern w:val="36"/>
      <w:sz w:val="48"/>
      <w:szCs w:val="48"/>
    </w:rPr>
  </w:style>
  <w:style w:type="paragraph" w:styleId="2">
    <w:name w:val="heading 2"/>
    <w:basedOn w:val="a"/>
    <w:link w:val="20"/>
    <w:uiPriority w:val="9"/>
    <w:qFormat/>
    <w:rsid w:val="00565BF6"/>
    <w:pPr>
      <w:widowControl/>
      <w:spacing w:before="100" w:before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565BF6"/>
    <w:pPr>
      <w:widowControl/>
      <w:spacing w:before="100" w:before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65BF6"/>
    <w:rPr>
      <w:rFonts w:ascii="宋体" w:eastAsia="宋体" w:hAnsi="宋体" w:cs="宋体"/>
      <w:b/>
      <w:bCs/>
      <w:kern w:val="36"/>
      <w:sz w:val="48"/>
      <w:szCs w:val="48"/>
    </w:rPr>
  </w:style>
  <w:style w:type="character" w:customStyle="1" w:styleId="20">
    <w:name w:val="标题 2 字符"/>
    <w:basedOn w:val="a0"/>
    <w:link w:val="2"/>
    <w:uiPriority w:val="9"/>
    <w:rsid w:val="00565BF6"/>
    <w:rPr>
      <w:rFonts w:ascii="宋体" w:eastAsia="宋体" w:hAnsi="宋体" w:cs="宋体"/>
      <w:b/>
      <w:bCs/>
      <w:kern w:val="0"/>
      <w:sz w:val="36"/>
      <w:szCs w:val="36"/>
    </w:rPr>
  </w:style>
  <w:style w:type="character" w:customStyle="1" w:styleId="30">
    <w:name w:val="标题 3 字符"/>
    <w:basedOn w:val="a0"/>
    <w:link w:val="3"/>
    <w:uiPriority w:val="9"/>
    <w:rsid w:val="00565BF6"/>
    <w:rPr>
      <w:rFonts w:ascii="宋体" w:eastAsia="宋体" w:hAnsi="宋体" w:cs="宋体"/>
      <w:b/>
      <w:bCs/>
      <w:kern w:val="0"/>
      <w:sz w:val="27"/>
      <w:szCs w:val="27"/>
    </w:rPr>
  </w:style>
  <w:style w:type="paragraph" w:styleId="a3">
    <w:name w:val="Normal (Web)"/>
    <w:basedOn w:val="a"/>
    <w:uiPriority w:val="99"/>
    <w:semiHidden/>
    <w:unhideWhenUsed/>
    <w:rsid w:val="00565BF6"/>
    <w:pPr>
      <w:widowControl/>
      <w:spacing w:before="100" w:beforeAutospacing="1"/>
      <w:jc w:val="left"/>
    </w:pPr>
    <w:rPr>
      <w:rFonts w:ascii="宋体" w:eastAsia="宋体" w:hAnsi="宋体" w:cs="宋体"/>
      <w:kern w:val="0"/>
      <w:szCs w:val="24"/>
    </w:rPr>
  </w:style>
  <w:style w:type="character" w:styleId="a4">
    <w:name w:val="Strong"/>
    <w:basedOn w:val="a0"/>
    <w:uiPriority w:val="22"/>
    <w:qFormat/>
    <w:rsid w:val="00565BF6"/>
    <w:rPr>
      <w:b/>
      <w:bCs/>
    </w:rPr>
  </w:style>
  <w:style w:type="paragraph" w:customStyle="1" w:styleId="font-claude-response-body">
    <w:name w:val="font-claude-response-body"/>
    <w:basedOn w:val="a"/>
    <w:rsid w:val="00295BD8"/>
    <w:pPr>
      <w:widowControl/>
      <w:spacing w:before="100" w:beforeAutospacing="1"/>
      <w:jc w:val="left"/>
    </w:pPr>
    <w:rPr>
      <w:rFonts w:ascii="宋体" w:eastAsia="宋体" w:hAnsi="宋体" w:cs="宋体"/>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8930698">
      <w:bodyDiv w:val="1"/>
      <w:marLeft w:val="0"/>
      <w:marRight w:val="0"/>
      <w:marTop w:val="0"/>
      <w:marBottom w:val="0"/>
      <w:divBdr>
        <w:top w:val="none" w:sz="0" w:space="0" w:color="auto"/>
        <w:left w:val="none" w:sz="0" w:space="0" w:color="auto"/>
        <w:bottom w:val="none" w:sz="0" w:space="0" w:color="auto"/>
        <w:right w:val="none" w:sz="0" w:space="0" w:color="auto"/>
      </w:divBdr>
    </w:div>
    <w:div w:id="1313868540">
      <w:bodyDiv w:val="1"/>
      <w:marLeft w:val="0"/>
      <w:marRight w:val="0"/>
      <w:marTop w:val="0"/>
      <w:marBottom w:val="0"/>
      <w:divBdr>
        <w:top w:val="none" w:sz="0" w:space="0" w:color="auto"/>
        <w:left w:val="none" w:sz="0" w:space="0" w:color="auto"/>
        <w:bottom w:val="none" w:sz="0" w:space="0" w:color="auto"/>
        <w:right w:val="none" w:sz="0" w:space="0" w:color="auto"/>
      </w:divBdr>
    </w:div>
    <w:div w:id="1712345734">
      <w:bodyDiv w:val="1"/>
      <w:marLeft w:val="0"/>
      <w:marRight w:val="0"/>
      <w:marTop w:val="0"/>
      <w:marBottom w:val="0"/>
      <w:divBdr>
        <w:top w:val="none" w:sz="0" w:space="0" w:color="auto"/>
        <w:left w:val="none" w:sz="0" w:space="0" w:color="auto"/>
        <w:bottom w:val="none" w:sz="0" w:space="0" w:color="auto"/>
        <w:right w:val="none" w:sz="0" w:space="0" w:color="auto"/>
      </w:divBdr>
    </w:div>
    <w:div w:id="195455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4</Pages>
  <Words>1247</Words>
  <Characters>2696</Characters>
  <Application>Microsoft Office Word</Application>
  <DocSecurity>0</DocSecurity>
  <Lines>74</Lines>
  <Paragraphs>44</Paragraphs>
  <ScaleCrop>false</ScaleCrop>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Kaiyi Deng</dc:creator>
  <cp:keywords/>
  <dc:description/>
  <cp:lastModifiedBy>Kaiyi Deng</cp:lastModifiedBy>
  <cp:revision>5</cp:revision>
  <dcterms:created xsi:type="dcterms:W3CDTF">2026-06-22T15:52:00Z</dcterms:created>
  <dcterms:modified xsi:type="dcterms:W3CDTF">2026-06-26T15:11:00Z</dcterms:modified>
</cp:coreProperties>
</file>