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42D600" w14:textId="77777777" w:rsidR="00457A9C" w:rsidRDefault="00457A9C" w:rsidP="00457A9C">
      <w:pPr>
        <w:widowControl w:val="0"/>
        <w:pBdr>
          <w:top w:val="nil"/>
          <w:left w:val="nil"/>
          <w:bottom w:val="nil"/>
          <w:right w:val="nil"/>
          <w:between w:val="nil"/>
        </w:pBdr>
        <w:spacing w:after="0"/>
        <w:rPr>
          <w:rFonts w:ascii="Arial" w:eastAsia="Arial" w:hAnsi="Arial" w:cs="Arial"/>
          <w:color w:val="000000"/>
        </w:rPr>
      </w:pPr>
    </w:p>
    <w:tbl>
      <w:tblPr>
        <w:tblW w:w="6662" w:type="dxa"/>
        <w:tblInd w:w="28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1275"/>
        <w:gridCol w:w="567"/>
        <w:gridCol w:w="567"/>
        <w:gridCol w:w="567"/>
        <w:gridCol w:w="567"/>
        <w:gridCol w:w="284"/>
        <w:gridCol w:w="567"/>
        <w:gridCol w:w="567"/>
        <w:gridCol w:w="567"/>
        <w:gridCol w:w="567"/>
        <w:gridCol w:w="567"/>
      </w:tblGrid>
      <w:tr w:rsidR="00457A9C" w14:paraId="499C55AD" w14:textId="77777777" w:rsidTr="00C03B91">
        <w:trPr>
          <w:trHeight w:val="557"/>
        </w:trPr>
        <w:tc>
          <w:tcPr>
            <w:tcW w:w="1275" w:type="dxa"/>
            <w:tcBorders>
              <w:bottom w:val="single" w:sz="4" w:space="0" w:color="808080"/>
            </w:tcBorders>
            <w:shd w:val="clear" w:color="auto" w:fill="D9D9D9"/>
            <w:vAlign w:val="center"/>
          </w:tcPr>
          <w:p w14:paraId="2018B0DE" w14:textId="77777777" w:rsidR="00457A9C" w:rsidRDefault="00457A9C" w:rsidP="00C03B91">
            <w:pPr>
              <w:spacing w:after="0" w:line="240" w:lineRule="auto"/>
              <w:jc w:val="center"/>
              <w:rPr>
                <w:b/>
                <w:sz w:val="24"/>
                <w:szCs w:val="24"/>
              </w:rPr>
            </w:pPr>
            <w:r>
              <w:rPr>
                <w:b/>
                <w:sz w:val="24"/>
                <w:szCs w:val="24"/>
              </w:rPr>
              <w:t>Código:</w:t>
            </w:r>
          </w:p>
        </w:tc>
        <w:tc>
          <w:tcPr>
            <w:tcW w:w="567" w:type="dxa"/>
            <w:tcBorders>
              <w:bottom w:val="single" w:sz="4" w:space="0" w:color="808080"/>
              <w:right w:val="single" w:sz="4" w:space="0" w:color="808080"/>
            </w:tcBorders>
            <w:shd w:val="clear" w:color="auto" w:fill="D9D9D9"/>
            <w:vAlign w:val="center"/>
          </w:tcPr>
          <w:p w14:paraId="6E45F9A8" w14:textId="77777777" w:rsidR="00457A9C" w:rsidRDefault="00457A9C" w:rsidP="00C03B91">
            <w:pPr>
              <w:spacing w:after="0" w:line="240" w:lineRule="auto"/>
              <w:jc w:val="center"/>
              <w:rPr>
                <w:b/>
                <w:sz w:val="36"/>
                <w:szCs w:val="36"/>
              </w:rPr>
            </w:pPr>
            <w:r>
              <w:rPr>
                <w:b/>
                <w:sz w:val="36"/>
                <w:szCs w:val="36"/>
              </w:rPr>
              <w:t>a</w:t>
            </w:r>
          </w:p>
        </w:tc>
        <w:tc>
          <w:tcPr>
            <w:tcW w:w="567" w:type="dxa"/>
            <w:tcBorders>
              <w:bottom w:val="single" w:sz="4" w:space="0" w:color="808080"/>
              <w:right w:val="single" w:sz="4" w:space="0" w:color="808080"/>
            </w:tcBorders>
            <w:shd w:val="clear" w:color="auto" w:fill="D9D9D9"/>
            <w:vAlign w:val="center"/>
          </w:tcPr>
          <w:p w14:paraId="0D87870A" w14:textId="77777777" w:rsidR="00457A9C" w:rsidRDefault="00457A9C" w:rsidP="00C03B91">
            <w:pPr>
              <w:spacing w:after="0" w:line="240" w:lineRule="auto"/>
              <w:jc w:val="center"/>
              <w:rPr>
                <w:b/>
                <w:sz w:val="36"/>
                <w:szCs w:val="36"/>
              </w:rPr>
            </w:pPr>
            <w:r>
              <w:rPr>
                <w:b/>
                <w:sz w:val="36"/>
                <w:szCs w:val="36"/>
              </w:rPr>
              <w:t>2</w:t>
            </w:r>
          </w:p>
        </w:tc>
        <w:tc>
          <w:tcPr>
            <w:tcW w:w="567" w:type="dxa"/>
            <w:tcBorders>
              <w:bottom w:val="single" w:sz="4" w:space="0" w:color="808080"/>
              <w:right w:val="single" w:sz="4" w:space="0" w:color="808080"/>
            </w:tcBorders>
            <w:shd w:val="clear" w:color="auto" w:fill="D9D9D9"/>
            <w:vAlign w:val="center"/>
          </w:tcPr>
          <w:p w14:paraId="2354386B" w14:textId="77777777" w:rsidR="00457A9C" w:rsidRDefault="00457A9C" w:rsidP="00C03B91">
            <w:pPr>
              <w:spacing w:after="0" w:line="240" w:lineRule="auto"/>
              <w:jc w:val="center"/>
              <w:rPr>
                <w:b/>
                <w:sz w:val="36"/>
                <w:szCs w:val="36"/>
              </w:rPr>
            </w:pPr>
            <w:r>
              <w:rPr>
                <w:b/>
                <w:sz w:val="36"/>
                <w:szCs w:val="36"/>
              </w:rPr>
              <w:t>0</w:t>
            </w:r>
          </w:p>
        </w:tc>
        <w:tc>
          <w:tcPr>
            <w:tcW w:w="567" w:type="dxa"/>
            <w:tcBorders>
              <w:bottom w:val="single" w:sz="4" w:space="0" w:color="808080"/>
              <w:right w:val="single" w:sz="4" w:space="0" w:color="808080"/>
            </w:tcBorders>
            <w:shd w:val="clear" w:color="auto" w:fill="D9D9D9"/>
            <w:vAlign w:val="center"/>
          </w:tcPr>
          <w:p w14:paraId="710513AB" w14:textId="77777777" w:rsidR="00457A9C" w:rsidRDefault="00457A9C" w:rsidP="00C03B91">
            <w:pPr>
              <w:spacing w:after="0" w:line="240" w:lineRule="auto"/>
              <w:jc w:val="center"/>
              <w:rPr>
                <w:b/>
                <w:sz w:val="36"/>
                <w:szCs w:val="36"/>
              </w:rPr>
            </w:pPr>
            <w:r>
              <w:rPr>
                <w:b/>
                <w:sz w:val="36"/>
                <w:szCs w:val="36"/>
              </w:rPr>
              <w:t>2</w:t>
            </w:r>
          </w:p>
        </w:tc>
        <w:tc>
          <w:tcPr>
            <w:tcW w:w="284" w:type="dxa"/>
            <w:tcBorders>
              <w:top w:val="nil"/>
              <w:left w:val="single" w:sz="4" w:space="0" w:color="808080"/>
              <w:bottom w:val="nil"/>
              <w:right w:val="single" w:sz="4" w:space="0" w:color="808080"/>
            </w:tcBorders>
            <w:shd w:val="clear" w:color="auto" w:fill="FFFFFF"/>
            <w:vAlign w:val="center"/>
          </w:tcPr>
          <w:p w14:paraId="6AD08D2A" w14:textId="77777777" w:rsidR="00457A9C" w:rsidRDefault="00457A9C" w:rsidP="00C03B91">
            <w:pPr>
              <w:spacing w:after="0" w:line="240" w:lineRule="auto"/>
              <w:jc w:val="center"/>
              <w:rPr>
                <w:b/>
                <w:sz w:val="24"/>
                <w:szCs w:val="24"/>
              </w:rPr>
            </w:pPr>
          </w:p>
        </w:tc>
        <w:tc>
          <w:tcPr>
            <w:tcW w:w="567" w:type="dxa"/>
            <w:tcBorders>
              <w:left w:val="single" w:sz="4" w:space="0" w:color="808080"/>
              <w:bottom w:val="single" w:sz="4" w:space="0" w:color="808080"/>
            </w:tcBorders>
            <w:shd w:val="clear" w:color="auto" w:fill="D9D9D9"/>
            <w:vAlign w:val="center"/>
          </w:tcPr>
          <w:p w14:paraId="5DC482CF" w14:textId="77777777" w:rsidR="00457A9C" w:rsidRDefault="00457A9C" w:rsidP="00C03B91">
            <w:pPr>
              <w:spacing w:after="0" w:line="240" w:lineRule="auto"/>
              <w:jc w:val="center"/>
              <w:rPr>
                <w:b/>
                <w:sz w:val="36"/>
                <w:szCs w:val="36"/>
              </w:rPr>
            </w:pPr>
            <w:r>
              <w:rPr>
                <w:b/>
                <w:sz w:val="36"/>
                <w:szCs w:val="36"/>
              </w:rPr>
              <w:t>1</w:t>
            </w:r>
          </w:p>
        </w:tc>
        <w:tc>
          <w:tcPr>
            <w:tcW w:w="567" w:type="dxa"/>
            <w:tcBorders>
              <w:left w:val="single" w:sz="4" w:space="0" w:color="808080"/>
              <w:bottom w:val="single" w:sz="4" w:space="0" w:color="808080"/>
            </w:tcBorders>
            <w:shd w:val="clear" w:color="auto" w:fill="D9D9D9"/>
            <w:vAlign w:val="center"/>
          </w:tcPr>
          <w:p w14:paraId="56DB3775" w14:textId="77777777" w:rsidR="00457A9C" w:rsidRDefault="00457A9C" w:rsidP="00C03B91">
            <w:pPr>
              <w:spacing w:after="0" w:line="240" w:lineRule="auto"/>
              <w:jc w:val="center"/>
              <w:rPr>
                <w:b/>
                <w:sz w:val="36"/>
                <w:szCs w:val="36"/>
              </w:rPr>
            </w:pPr>
            <w:r>
              <w:rPr>
                <w:b/>
                <w:sz w:val="36"/>
                <w:szCs w:val="36"/>
              </w:rPr>
              <w:t>1</w:t>
            </w:r>
          </w:p>
        </w:tc>
        <w:tc>
          <w:tcPr>
            <w:tcW w:w="567" w:type="dxa"/>
            <w:tcBorders>
              <w:left w:val="single" w:sz="4" w:space="0" w:color="808080"/>
              <w:bottom w:val="single" w:sz="4" w:space="0" w:color="808080"/>
            </w:tcBorders>
            <w:shd w:val="clear" w:color="auto" w:fill="D9D9D9"/>
            <w:vAlign w:val="center"/>
          </w:tcPr>
          <w:p w14:paraId="32EB71CD" w14:textId="77777777" w:rsidR="00457A9C" w:rsidRDefault="00457A9C" w:rsidP="00C03B91">
            <w:pPr>
              <w:spacing w:after="0" w:line="240" w:lineRule="auto"/>
              <w:jc w:val="center"/>
              <w:rPr>
                <w:b/>
                <w:sz w:val="36"/>
                <w:szCs w:val="36"/>
              </w:rPr>
            </w:pPr>
            <w:r>
              <w:rPr>
                <w:b/>
                <w:sz w:val="36"/>
                <w:szCs w:val="36"/>
              </w:rPr>
              <w:t>3</w:t>
            </w:r>
          </w:p>
        </w:tc>
        <w:tc>
          <w:tcPr>
            <w:tcW w:w="567" w:type="dxa"/>
            <w:tcBorders>
              <w:left w:val="single" w:sz="4" w:space="0" w:color="808080"/>
              <w:bottom w:val="single" w:sz="4" w:space="0" w:color="808080"/>
            </w:tcBorders>
            <w:shd w:val="clear" w:color="auto" w:fill="D9D9D9"/>
            <w:vAlign w:val="center"/>
          </w:tcPr>
          <w:p w14:paraId="0D798757" w14:textId="77777777" w:rsidR="00457A9C" w:rsidRDefault="00457A9C" w:rsidP="00C03B91">
            <w:pPr>
              <w:spacing w:after="0" w:line="240" w:lineRule="auto"/>
              <w:jc w:val="center"/>
              <w:rPr>
                <w:b/>
                <w:sz w:val="36"/>
                <w:szCs w:val="36"/>
              </w:rPr>
            </w:pPr>
            <w:r>
              <w:rPr>
                <w:b/>
                <w:sz w:val="36"/>
                <w:szCs w:val="36"/>
              </w:rPr>
              <w:t>7</w:t>
            </w:r>
          </w:p>
        </w:tc>
        <w:tc>
          <w:tcPr>
            <w:tcW w:w="567" w:type="dxa"/>
            <w:tcBorders>
              <w:left w:val="single" w:sz="4" w:space="0" w:color="808080"/>
              <w:bottom w:val="single" w:sz="4" w:space="0" w:color="808080"/>
            </w:tcBorders>
            <w:shd w:val="clear" w:color="auto" w:fill="D9D9D9"/>
            <w:vAlign w:val="center"/>
          </w:tcPr>
          <w:p w14:paraId="0A49BB1F" w14:textId="77777777" w:rsidR="00457A9C" w:rsidRDefault="00457A9C" w:rsidP="00C03B91">
            <w:pPr>
              <w:spacing w:after="0" w:line="240" w:lineRule="auto"/>
              <w:jc w:val="center"/>
              <w:rPr>
                <w:b/>
                <w:sz w:val="36"/>
                <w:szCs w:val="36"/>
              </w:rPr>
            </w:pPr>
            <w:r>
              <w:rPr>
                <w:b/>
                <w:sz w:val="36"/>
                <w:szCs w:val="36"/>
              </w:rPr>
              <w:t>0</w:t>
            </w:r>
          </w:p>
        </w:tc>
      </w:tr>
      <w:tr w:rsidR="00457A9C" w14:paraId="58AB58EE" w14:textId="77777777" w:rsidTr="00C03B91">
        <w:trPr>
          <w:trHeight w:val="190"/>
        </w:trPr>
        <w:tc>
          <w:tcPr>
            <w:tcW w:w="6662" w:type="dxa"/>
            <w:gridSpan w:val="11"/>
            <w:tcBorders>
              <w:top w:val="nil"/>
              <w:left w:val="nil"/>
              <w:bottom w:val="nil"/>
              <w:right w:val="nil"/>
            </w:tcBorders>
            <w:vAlign w:val="center"/>
          </w:tcPr>
          <w:p w14:paraId="0D8F9748" w14:textId="77777777" w:rsidR="00457A9C" w:rsidRDefault="00457A9C" w:rsidP="00C03B91">
            <w:pPr>
              <w:spacing w:after="0" w:line="240" w:lineRule="auto"/>
              <w:jc w:val="right"/>
              <w:rPr>
                <w:b/>
                <w:sz w:val="24"/>
                <w:szCs w:val="24"/>
              </w:rPr>
            </w:pPr>
          </w:p>
        </w:tc>
      </w:tr>
    </w:tbl>
    <w:p w14:paraId="407F9002" w14:textId="77777777" w:rsidR="00457A9C" w:rsidRDefault="00457A9C" w:rsidP="00457A9C">
      <w:pPr>
        <w:pStyle w:val="Ttulo"/>
        <w:rPr>
          <w:b/>
          <w:color w:val="000000"/>
          <w:sz w:val="32"/>
          <w:szCs w:val="32"/>
        </w:rPr>
      </w:pPr>
    </w:p>
    <w:p w14:paraId="78C465A1" w14:textId="77777777" w:rsidR="00457A9C" w:rsidRDefault="00457A9C" w:rsidP="00457A9C">
      <w:pPr>
        <w:pStyle w:val="Ttulo"/>
        <w:rPr>
          <w:b/>
          <w:color w:val="000000"/>
          <w:sz w:val="32"/>
          <w:szCs w:val="32"/>
        </w:rPr>
      </w:pPr>
    </w:p>
    <w:p w14:paraId="217BC794" w14:textId="77777777" w:rsidR="00457A9C" w:rsidRDefault="00457A9C" w:rsidP="00457A9C">
      <w:pPr>
        <w:pStyle w:val="Ttulo"/>
        <w:rPr>
          <w:b/>
          <w:color w:val="000000"/>
          <w:sz w:val="32"/>
          <w:szCs w:val="32"/>
        </w:rPr>
      </w:pPr>
      <w:r>
        <w:rPr>
          <w:b/>
          <w:color w:val="000000"/>
          <w:sz w:val="32"/>
          <w:szCs w:val="32"/>
        </w:rPr>
        <w:t>PONTIFICIA UNIVERSIDAD CATÓLICA DEL PERÚ</w:t>
      </w:r>
    </w:p>
    <w:p w14:paraId="24A4366F" w14:textId="00D7219C" w:rsidR="00457A9C" w:rsidRDefault="00457A9C" w:rsidP="00457A9C">
      <w:pPr>
        <w:pStyle w:val="Ttulo"/>
        <w:rPr>
          <w:color w:val="000000"/>
          <w:sz w:val="24"/>
          <w:szCs w:val="24"/>
        </w:rPr>
      </w:pPr>
    </w:p>
    <w:p w14:paraId="4AC9069B" w14:textId="77777777" w:rsidR="00457A9C" w:rsidRDefault="00457A9C" w:rsidP="00457A9C">
      <w:pPr>
        <w:jc w:val="center"/>
        <w:rPr>
          <w:rFonts w:ascii="Times New Roman" w:eastAsia="Times New Roman" w:hAnsi="Times New Roman"/>
          <w:sz w:val="50"/>
          <w:szCs w:val="50"/>
        </w:rPr>
      </w:pPr>
    </w:p>
    <w:p w14:paraId="1D0F50B0" w14:textId="77777777" w:rsidR="00457A9C" w:rsidRDefault="00457A9C" w:rsidP="00457A9C">
      <w:pPr>
        <w:jc w:val="center"/>
        <w:rPr>
          <w:rFonts w:ascii="Times New Roman" w:eastAsia="Times New Roman" w:hAnsi="Times New Roman"/>
          <w:sz w:val="50"/>
          <w:szCs w:val="50"/>
        </w:rPr>
      </w:pPr>
      <w:r>
        <w:rPr>
          <w:rFonts w:ascii="Times New Roman" w:eastAsia="Times New Roman" w:hAnsi="Times New Roman"/>
          <w:sz w:val="50"/>
          <w:szCs w:val="50"/>
        </w:rPr>
        <w:t>TRABAJO INDIVIDUAL</w:t>
      </w:r>
    </w:p>
    <w:p w14:paraId="6F972462" w14:textId="77777777" w:rsidR="00457A9C" w:rsidRDefault="00457A9C" w:rsidP="00457A9C">
      <w:pPr>
        <w:rPr>
          <w:rFonts w:ascii="Times New Roman" w:eastAsia="Times New Roman" w:hAnsi="Times New Roman"/>
        </w:rPr>
      </w:pPr>
    </w:p>
    <w:p w14:paraId="145BC980" w14:textId="77777777" w:rsidR="00457A9C" w:rsidRDefault="00457A9C" w:rsidP="00457A9C">
      <w:pPr>
        <w:rPr>
          <w:rFonts w:ascii="Times New Roman" w:eastAsia="Times New Roman" w:hAnsi="Times New Roman"/>
        </w:rPr>
      </w:pPr>
    </w:p>
    <w:p w14:paraId="204DFDC2" w14:textId="019EB8F5" w:rsidR="00457A9C" w:rsidRDefault="00457A9C" w:rsidP="00457A9C">
      <w:pPr>
        <w:rPr>
          <w:rFonts w:ascii="Times New Roman" w:eastAsia="Times New Roman" w:hAnsi="Times New Roman"/>
          <w:b/>
          <w:smallCaps/>
          <w:sz w:val="28"/>
          <w:szCs w:val="28"/>
        </w:rPr>
      </w:pPr>
      <w:r>
        <w:rPr>
          <w:rFonts w:ascii="Times New Roman" w:eastAsia="Times New Roman" w:hAnsi="Times New Roman"/>
          <w:sz w:val="28"/>
          <w:szCs w:val="28"/>
        </w:rPr>
        <w:t>Título:</w:t>
      </w:r>
      <w:r>
        <w:rPr>
          <w:rFonts w:ascii="Times New Roman" w:eastAsia="Times New Roman" w:hAnsi="Times New Roman"/>
          <w:b/>
          <w:sz w:val="28"/>
          <w:szCs w:val="28"/>
        </w:rPr>
        <w:t xml:space="preserve"> PERÚ</w:t>
      </w:r>
      <w:r>
        <w:rPr>
          <w:rFonts w:ascii="Times New Roman" w:eastAsia="Times New Roman" w:hAnsi="Times New Roman"/>
          <w:b/>
          <w:sz w:val="28"/>
          <w:szCs w:val="28"/>
        </w:rPr>
        <w:t xml:space="preserve">: </w:t>
      </w:r>
      <w:r w:rsidR="00685A72">
        <w:rPr>
          <w:rFonts w:ascii="Times New Roman" w:eastAsia="Times New Roman" w:hAnsi="Times New Roman"/>
          <w:b/>
          <w:sz w:val="28"/>
          <w:szCs w:val="28"/>
        </w:rPr>
        <w:t xml:space="preserve">CAUSAS DEL </w:t>
      </w:r>
      <w:r>
        <w:rPr>
          <w:rFonts w:ascii="Times New Roman" w:eastAsia="Times New Roman" w:hAnsi="Times New Roman"/>
          <w:b/>
          <w:sz w:val="28"/>
          <w:szCs w:val="28"/>
        </w:rPr>
        <w:t>EMBARAZO EN NIÑAS Y ADOLESCENTES</w:t>
      </w:r>
    </w:p>
    <w:p w14:paraId="6B0CAF2D" w14:textId="77777777" w:rsidR="00457A9C" w:rsidRDefault="00457A9C" w:rsidP="00457A9C">
      <w:pPr>
        <w:rPr>
          <w:rFonts w:ascii="Times New Roman" w:eastAsia="Times New Roman" w:hAnsi="Times New Roman"/>
          <w:b/>
          <w:sz w:val="28"/>
          <w:szCs w:val="28"/>
        </w:rPr>
      </w:pPr>
    </w:p>
    <w:p w14:paraId="60A937EC" w14:textId="77777777" w:rsidR="00457A9C" w:rsidRDefault="00457A9C" w:rsidP="00457A9C">
      <w:pPr>
        <w:rPr>
          <w:rFonts w:ascii="Times New Roman" w:eastAsia="Times New Roman" w:hAnsi="Times New Roman"/>
          <w:b/>
          <w:smallCaps/>
          <w:sz w:val="28"/>
          <w:szCs w:val="28"/>
        </w:rPr>
      </w:pPr>
    </w:p>
    <w:p w14:paraId="56D34C33" w14:textId="77777777" w:rsidR="00457A9C" w:rsidRDefault="00457A9C" w:rsidP="00457A9C">
      <w:pPr>
        <w:rPr>
          <w:rFonts w:ascii="Times New Roman" w:eastAsia="Times New Roman" w:hAnsi="Times New Roman"/>
          <w:b/>
          <w:sz w:val="28"/>
          <w:szCs w:val="28"/>
        </w:rPr>
      </w:pPr>
    </w:p>
    <w:p w14:paraId="031F16D9" w14:textId="77777777" w:rsidR="00457A9C" w:rsidRDefault="00457A9C" w:rsidP="00457A9C">
      <w:pPr>
        <w:rPr>
          <w:rFonts w:ascii="Times New Roman" w:eastAsia="Times New Roman" w:hAnsi="Times New Roman"/>
          <w:b/>
          <w:sz w:val="28"/>
          <w:szCs w:val="28"/>
        </w:rPr>
      </w:pPr>
    </w:p>
    <w:p w14:paraId="5ABC3FE6" w14:textId="77777777" w:rsidR="00457A9C" w:rsidRPr="00457A9C" w:rsidRDefault="00457A9C" w:rsidP="00457A9C">
      <w:pPr>
        <w:rPr>
          <w:rFonts w:ascii="Times New Roman" w:eastAsia="Times New Roman" w:hAnsi="Times New Roman"/>
          <w:b/>
          <w:sz w:val="28"/>
          <w:szCs w:val="28"/>
        </w:rPr>
      </w:pPr>
      <w:r>
        <w:rPr>
          <w:rFonts w:ascii="Times New Roman" w:eastAsia="Times New Roman" w:hAnsi="Times New Roman"/>
          <w:sz w:val="28"/>
          <w:szCs w:val="28"/>
        </w:rPr>
        <w:t>Nombre:</w:t>
      </w:r>
      <w:r>
        <w:rPr>
          <w:rFonts w:ascii="Times New Roman" w:eastAsia="Times New Roman" w:hAnsi="Times New Roman"/>
          <w:b/>
          <w:sz w:val="28"/>
          <w:szCs w:val="28"/>
        </w:rPr>
        <w:t xml:space="preserve"> </w:t>
      </w:r>
      <w:r>
        <w:rPr>
          <w:rFonts w:ascii="Times New Roman" w:eastAsia="Times New Roman" w:hAnsi="Times New Roman"/>
          <w:b/>
          <w:sz w:val="28"/>
          <w:szCs w:val="28"/>
        </w:rPr>
        <w:t>Elizabeth Contreras Peña</w:t>
      </w:r>
    </w:p>
    <w:p w14:paraId="02EC35D3" w14:textId="77777777" w:rsidR="00457A9C" w:rsidRDefault="00457A9C" w:rsidP="00457A9C">
      <w:pPr>
        <w:rPr>
          <w:rFonts w:ascii="Times New Roman" w:eastAsia="Times New Roman" w:hAnsi="Times New Roman"/>
          <w:b/>
          <w:sz w:val="28"/>
          <w:szCs w:val="28"/>
        </w:rPr>
      </w:pPr>
      <w:r>
        <w:rPr>
          <w:rFonts w:ascii="Times New Roman" w:eastAsia="Times New Roman" w:hAnsi="Times New Roman"/>
          <w:sz w:val="28"/>
          <w:szCs w:val="28"/>
        </w:rPr>
        <w:t xml:space="preserve">Tipo de evaluación: </w:t>
      </w:r>
      <w:r>
        <w:rPr>
          <w:rFonts w:ascii="Times New Roman" w:eastAsia="Times New Roman" w:hAnsi="Times New Roman"/>
          <w:b/>
          <w:sz w:val="28"/>
          <w:szCs w:val="28"/>
        </w:rPr>
        <w:t>Trabajo Final</w:t>
      </w:r>
    </w:p>
    <w:p w14:paraId="3AD98CE9" w14:textId="77777777" w:rsidR="00457A9C" w:rsidRDefault="00457A9C" w:rsidP="00457A9C">
      <w:r>
        <w:rPr>
          <w:rFonts w:ascii="Times New Roman" w:eastAsia="Times New Roman" w:hAnsi="Times New Roman"/>
          <w:sz w:val="28"/>
          <w:szCs w:val="28"/>
        </w:rPr>
        <w:t>Curso:</w:t>
      </w:r>
      <w:r>
        <w:rPr>
          <w:rFonts w:ascii="Times New Roman" w:eastAsia="Times New Roman" w:hAnsi="Times New Roman"/>
          <w:sz w:val="28"/>
          <w:szCs w:val="28"/>
        </w:rPr>
        <w:t xml:space="preserve"> </w:t>
      </w:r>
      <w:r w:rsidRPr="00457A9C">
        <w:rPr>
          <w:rFonts w:ascii="Times New Roman" w:eastAsia="Times New Roman" w:hAnsi="Times New Roman"/>
          <w:b/>
          <w:sz w:val="28"/>
          <w:szCs w:val="28"/>
        </w:rPr>
        <w:t>Estadística para el Análisis Político 2</w:t>
      </w:r>
    </w:p>
    <w:p w14:paraId="46FF9565" w14:textId="77777777" w:rsidR="00457A9C" w:rsidRDefault="00457A9C" w:rsidP="00457A9C">
      <w:r>
        <w:rPr>
          <w:rFonts w:ascii="Times New Roman" w:eastAsia="Times New Roman" w:hAnsi="Times New Roman"/>
          <w:sz w:val="28"/>
          <w:szCs w:val="28"/>
        </w:rPr>
        <w:t>Profesor(a):</w:t>
      </w:r>
      <w:r>
        <w:rPr>
          <w:rFonts w:ascii="Times New Roman" w:eastAsia="Times New Roman" w:hAnsi="Times New Roman"/>
          <w:b/>
          <w:sz w:val="28"/>
          <w:szCs w:val="28"/>
        </w:rPr>
        <w:t xml:space="preserve"> </w:t>
      </w:r>
      <w:r>
        <w:rPr>
          <w:rFonts w:ascii="Times New Roman" w:eastAsia="Times New Roman" w:hAnsi="Times New Roman"/>
          <w:b/>
          <w:sz w:val="28"/>
          <w:szCs w:val="28"/>
        </w:rPr>
        <w:t>José Manuel Magallanes</w:t>
      </w:r>
    </w:p>
    <w:p w14:paraId="561330DC" w14:textId="77777777" w:rsidR="00457A9C" w:rsidRDefault="00457A9C" w:rsidP="00457A9C">
      <w:pPr>
        <w:rPr>
          <w:rFonts w:ascii="Times New Roman" w:eastAsia="Times New Roman" w:hAnsi="Times New Roman"/>
          <w:sz w:val="28"/>
          <w:szCs w:val="28"/>
        </w:rPr>
      </w:pPr>
    </w:p>
    <w:p w14:paraId="39465AB6" w14:textId="77777777" w:rsidR="00457A9C" w:rsidRDefault="00457A9C" w:rsidP="00457A9C">
      <w:pPr>
        <w:rPr>
          <w:rFonts w:ascii="Times New Roman" w:eastAsia="Times New Roman" w:hAnsi="Times New Roman"/>
          <w:sz w:val="28"/>
          <w:szCs w:val="28"/>
        </w:rPr>
      </w:pPr>
    </w:p>
    <w:p w14:paraId="5B12DC72" w14:textId="77777777" w:rsidR="00457A9C" w:rsidRDefault="00457A9C" w:rsidP="00457A9C">
      <w:pPr>
        <w:rPr>
          <w:rFonts w:ascii="Times New Roman" w:eastAsia="Times New Roman" w:hAnsi="Times New Roman"/>
          <w:sz w:val="28"/>
          <w:szCs w:val="28"/>
        </w:rPr>
      </w:pPr>
    </w:p>
    <w:p w14:paraId="35D2ACFC" w14:textId="069C37B1" w:rsidR="00AF10A7" w:rsidRPr="00AF10A7" w:rsidRDefault="00AF10A7" w:rsidP="00AF10A7">
      <w:pPr>
        <w:spacing w:line="360" w:lineRule="auto"/>
        <w:jc w:val="both"/>
        <w:rPr>
          <w:rFonts w:ascii="Times New Roman" w:eastAsia="Times New Roman" w:hAnsi="Times New Roman"/>
          <w:sz w:val="24"/>
          <w:szCs w:val="24"/>
          <w:lang w:val="es-US" w:eastAsia="es-US"/>
        </w:rPr>
      </w:pPr>
      <w:r w:rsidRPr="00AF10A7">
        <w:rPr>
          <w:rFonts w:ascii="Times New Roman" w:eastAsia="Times New Roman" w:hAnsi="Times New Roman"/>
          <w:sz w:val="24"/>
          <w:szCs w:val="24"/>
          <w:lang w:val="es-US" w:eastAsia="es-US"/>
        </w:rPr>
        <w:lastRenderedPageBreak/>
        <w:t>El embarazo infantil y adolescente en Perú constituye un problema de salud pública profundamente relacionado con las estructuras sociales, económicas y culturales del país. Esta problemática afecta principalmente a las regiones de la Sierra y la Selva, donde las condiciones de pobreza, la desigualdad de género y las barreras culturales perpetúan ciclos de exclusión y vulnerabilidad. En este ensayo, se abordarán las principales variables que inciden en este fenómeno, como el nivel educativo, la lengua materna, la región de residencia, la etnia, y los hallazgos obtenidos a partir de un análisis factorial, destacando las interacciones y los resultados más significativos para comprender las raíces estructurales del problema.</w:t>
      </w:r>
      <w:bookmarkStart w:id="0" w:name="_GoBack"/>
      <w:bookmarkEnd w:id="0"/>
    </w:p>
    <w:p w14:paraId="6E431483" w14:textId="77777777" w:rsidR="00AF10A7" w:rsidRPr="00AF10A7" w:rsidRDefault="00AF10A7" w:rsidP="00AF10A7">
      <w:pPr>
        <w:spacing w:line="360" w:lineRule="auto"/>
        <w:jc w:val="both"/>
        <w:rPr>
          <w:rFonts w:ascii="Times New Roman" w:eastAsia="Times New Roman" w:hAnsi="Times New Roman"/>
          <w:sz w:val="24"/>
          <w:szCs w:val="24"/>
          <w:lang w:val="es-US" w:eastAsia="es-US"/>
        </w:rPr>
      </w:pPr>
      <w:r w:rsidRPr="00AF10A7">
        <w:rPr>
          <w:rFonts w:ascii="Times New Roman" w:eastAsia="Times New Roman" w:hAnsi="Times New Roman"/>
          <w:sz w:val="24"/>
          <w:szCs w:val="24"/>
          <w:lang w:val="es-US" w:eastAsia="es-US"/>
        </w:rPr>
        <w:t>Una de las variables más determinantes en la incidencia del embarazo adolescente es el nivel educativo, representado por la variable S108N. Existe una correlación clara y negativa entre el nivel educativo y el embarazo adolescente: las adolescentes con un nivel educativo más bajo son más propensas a enfrentarse a embarazos tempranos. Este fenómeno se explica por diversos mecanismos. Primero, las adolescentes que permanecen en el sistema educativo tienen mayor acceso a información sobre salud sexual y reproductiva, además de recursos y redes de apoyo que les ayudan a prevenir embarazos no planificados. En segundo lugar, la educación tiende a retrasar la edad del matrimonio o de las uniones tempranas, ofreciendo una alternativa a los roles de género tradicionales que prevalecen en muchas comunidades rurales. Sin embargo, las regiones de la Selva y la Sierra presentan desafíos específicos en términos de infraestructura educativa, limitando el acceso a las niñas y adolescentes. Por ejemplo, muchas familias priorizan el trabajo doméstico o agrícola sobre la educación formal de las niñas, perpetuando la desigualdad de oportunidades. De este modo, programas de becas escolares y una mayor inversión en infraestructura educativa pueden desempeñar un papel crucial en la reducción de la incidencia de embarazos adolescentes, particularmente en zonas rurales.</w:t>
      </w:r>
    </w:p>
    <w:p w14:paraId="1E76E50C" w14:textId="77777777" w:rsidR="00AF10A7" w:rsidRPr="00AF10A7" w:rsidRDefault="00AF10A7" w:rsidP="00AF10A7">
      <w:pPr>
        <w:spacing w:line="360" w:lineRule="auto"/>
        <w:jc w:val="both"/>
        <w:rPr>
          <w:rFonts w:ascii="Times New Roman" w:eastAsia="Times New Roman" w:hAnsi="Times New Roman"/>
          <w:sz w:val="24"/>
          <w:szCs w:val="24"/>
          <w:lang w:val="es-US" w:eastAsia="es-US"/>
        </w:rPr>
      </w:pPr>
    </w:p>
    <w:p w14:paraId="238D953A" w14:textId="64EA815C" w:rsidR="00AF10A7" w:rsidRPr="00AF10A7" w:rsidRDefault="00AF10A7" w:rsidP="00AF10A7">
      <w:pPr>
        <w:spacing w:line="360" w:lineRule="auto"/>
        <w:jc w:val="both"/>
        <w:rPr>
          <w:rFonts w:ascii="Times New Roman" w:eastAsia="Times New Roman" w:hAnsi="Times New Roman"/>
          <w:sz w:val="24"/>
          <w:szCs w:val="24"/>
          <w:lang w:val="es-US" w:eastAsia="es-US"/>
        </w:rPr>
      </w:pPr>
      <w:r w:rsidRPr="00AF10A7">
        <w:rPr>
          <w:rFonts w:ascii="Times New Roman" w:eastAsia="Times New Roman" w:hAnsi="Times New Roman"/>
          <w:sz w:val="24"/>
          <w:szCs w:val="24"/>
          <w:lang w:val="es-US" w:eastAsia="es-US"/>
        </w:rPr>
        <w:t xml:space="preserve">La lengua materna, representada por la variable S119, es otro factor crítico que influye en la incidencia del embarazo adolescente. En Perú, la diversidad lingüística refleja la riqueza cultural del país, pero también plantea barreras significativas para las comunidades indígenas. Las adolescentes cuya lengua materna es una lengua originaria, como el quechua, el awajún o el asháninka, enfrentan desafíos adicionales en su acceso a la educación y a los servicios de salud. Muchas veces, los materiales educativos no están diseñados para estudiantes bilingües o </w:t>
      </w:r>
      <w:r w:rsidRPr="00AF10A7">
        <w:rPr>
          <w:rFonts w:ascii="Times New Roman" w:eastAsia="Times New Roman" w:hAnsi="Times New Roman"/>
          <w:sz w:val="24"/>
          <w:szCs w:val="24"/>
          <w:lang w:val="es-US" w:eastAsia="es-US"/>
        </w:rPr>
        <w:lastRenderedPageBreak/>
        <w:t>monolingües en lenguas indígenas, lo que incrementa las tasas de deserción escolar en estas poblaciones. A nivel de salud, las barreras lingüísticas dificultan el acceso a información crucial y servicios preventivos, exponiendo a estas adolescentes a mayores riesgos de embarazo no deseado. Este fenómeno evidencia la necesidad de políticas educativas y de salud que consideren la inclusión lingüística y cultural, con el objetivo de reducir las desigualdades estructurales que enfre</w:t>
      </w:r>
      <w:r>
        <w:rPr>
          <w:rFonts w:ascii="Times New Roman" w:eastAsia="Times New Roman" w:hAnsi="Times New Roman"/>
          <w:sz w:val="24"/>
          <w:szCs w:val="24"/>
          <w:lang w:val="es-US" w:eastAsia="es-US"/>
        </w:rPr>
        <w:t>ntan las comunidades indígenas.</w:t>
      </w:r>
    </w:p>
    <w:p w14:paraId="3DBE7CF1" w14:textId="004C26BE" w:rsidR="00AF10A7" w:rsidRPr="00AF10A7" w:rsidRDefault="00AF10A7" w:rsidP="00AF10A7">
      <w:pPr>
        <w:spacing w:line="360" w:lineRule="auto"/>
        <w:jc w:val="both"/>
        <w:rPr>
          <w:rFonts w:ascii="Times New Roman" w:eastAsia="Times New Roman" w:hAnsi="Times New Roman"/>
          <w:sz w:val="24"/>
          <w:szCs w:val="24"/>
          <w:lang w:val="es-US" w:eastAsia="es-US"/>
        </w:rPr>
      </w:pPr>
      <w:r w:rsidRPr="00AF10A7">
        <w:rPr>
          <w:rFonts w:ascii="Times New Roman" w:eastAsia="Times New Roman" w:hAnsi="Times New Roman"/>
          <w:sz w:val="24"/>
          <w:szCs w:val="24"/>
          <w:lang w:val="es-US" w:eastAsia="es-US"/>
        </w:rPr>
        <w:t>La región de residencia, reflejada en la variable SREGION, es otro factor clave para entender las disparidades en la incidencia del embarazo adolescente. Las regiones de la Sierra y la Selva, caracterizadas por una pobreza estructural y un acceso desigual a servicios básicos, muestran tasas significativamente más altas en comparación con Lima Metropolitana y otras áreas urbanas de la Costa. En estas regiones rurales, las normas culturales muchas veces toleran o incluso fomentan las uniones tempranas, incrementando el riesgo de embarazos adolescentes. Además, la falta de acceso a servicios de salud sexual y reproductiva limita las opciones de prevención disponibles para las adolescentes. Este contexto subraya la importancia de diseñar políticas públicas regionales específicas que aborden las condiciones particulares de cada área, priorizando la inversión en servicios básicos y promoviendo cambios culturales que cuestionen las prá</w:t>
      </w:r>
      <w:r>
        <w:rPr>
          <w:rFonts w:ascii="Times New Roman" w:eastAsia="Times New Roman" w:hAnsi="Times New Roman"/>
          <w:sz w:val="24"/>
          <w:szCs w:val="24"/>
          <w:lang w:val="es-US" w:eastAsia="es-US"/>
        </w:rPr>
        <w:t>cticas de género tradicionales.</w:t>
      </w:r>
    </w:p>
    <w:p w14:paraId="60322A6E" w14:textId="45A580E7" w:rsidR="00AF10A7" w:rsidRPr="00AF10A7" w:rsidRDefault="00AF10A7" w:rsidP="00AF10A7">
      <w:pPr>
        <w:spacing w:line="360" w:lineRule="auto"/>
        <w:jc w:val="both"/>
        <w:rPr>
          <w:rFonts w:ascii="Times New Roman" w:eastAsia="Times New Roman" w:hAnsi="Times New Roman"/>
          <w:sz w:val="24"/>
          <w:szCs w:val="24"/>
          <w:lang w:val="es-US" w:eastAsia="es-US"/>
        </w:rPr>
      </w:pPr>
      <w:r w:rsidRPr="00AF10A7">
        <w:rPr>
          <w:rFonts w:ascii="Times New Roman" w:eastAsia="Times New Roman" w:hAnsi="Times New Roman"/>
          <w:sz w:val="24"/>
          <w:szCs w:val="24"/>
          <w:lang w:val="es-US" w:eastAsia="es-US"/>
        </w:rPr>
        <w:t>La variable etnia, introducida en este análisis, profundiza aún más en las desigualdades estructurales que afectan a las adolescentes indígenas. Las comunidades indígenas no solo enfrentan barreras lingüísticas, sino también discriminación y exclusión histórica que perpetúan su vulnerabilidad. Según los resultados del análisis, las adolescentes indígenas tienen una mayor probabilidad de experimentar un embarazo temprano en comparación con sus pares no indígenas. Esto se debe, en parte, a que las adolescentes indígenas tienen menor acceso a educación y a servicios de salud adecuados, pero también a la influencia de normas culturales que refuerzan roles tradicionales de género desde edades tempranas. Los esfuerzos para reducir las tasas de embarazo adolescente en estas comunidades deben incluir estrategias específicas, como la capacitación de personal educativo y de salud en enfoques interculturales, así como el fortalecimiento de programas comunitarios que promuevan la equidad de género y el empo</w:t>
      </w:r>
      <w:r>
        <w:rPr>
          <w:rFonts w:ascii="Times New Roman" w:eastAsia="Times New Roman" w:hAnsi="Times New Roman"/>
          <w:sz w:val="24"/>
          <w:szCs w:val="24"/>
          <w:lang w:val="es-US" w:eastAsia="es-US"/>
        </w:rPr>
        <w:t>deramiento de las adolescentes.</w:t>
      </w:r>
    </w:p>
    <w:p w14:paraId="38B6440A" w14:textId="66A5F216" w:rsidR="00AF10A7" w:rsidRPr="00AF10A7" w:rsidRDefault="00AF10A7" w:rsidP="00AF10A7">
      <w:pPr>
        <w:spacing w:line="360" w:lineRule="auto"/>
        <w:jc w:val="both"/>
        <w:rPr>
          <w:rFonts w:ascii="Times New Roman" w:eastAsia="Times New Roman" w:hAnsi="Times New Roman"/>
          <w:sz w:val="24"/>
          <w:szCs w:val="24"/>
          <w:lang w:val="es-US" w:eastAsia="es-US"/>
        </w:rPr>
      </w:pPr>
      <w:r w:rsidRPr="00AF10A7">
        <w:rPr>
          <w:rFonts w:ascii="Times New Roman" w:eastAsia="Times New Roman" w:hAnsi="Times New Roman"/>
          <w:sz w:val="24"/>
          <w:szCs w:val="24"/>
          <w:lang w:val="es-US" w:eastAsia="es-US"/>
        </w:rPr>
        <w:lastRenderedPageBreak/>
        <w:t>Además de las variables individuales, se realizó un análisis factorial para identificar los patrones subyacentes que explican la incidencia del embarazo adolescente en Perú. Este análisis reveló que las interacciones entre factores estructurales, como la pobreza, la educación, el acceso a servicios de salud y las normas culturales, son determinantes críticos. Por ejemplo, el análisis mostró que la pobreza, aunque transversal a todas las variables, amplifica de manera desproporcionada los efectos negativos de otras condiciones, como la falta de acceso a la educación y las barreras lingüísticas. Este hallazgo refuerza la necesidad de un enfoque integral que aborde las múltiples dimensiones de la exclusión y la vuln</w:t>
      </w:r>
      <w:r>
        <w:rPr>
          <w:rFonts w:ascii="Times New Roman" w:eastAsia="Times New Roman" w:hAnsi="Times New Roman"/>
          <w:sz w:val="24"/>
          <w:szCs w:val="24"/>
          <w:lang w:val="es-US" w:eastAsia="es-US"/>
        </w:rPr>
        <w:t>erabilidad de las adolescentes.</w:t>
      </w:r>
    </w:p>
    <w:p w14:paraId="435CF9FE" w14:textId="77777777" w:rsidR="00AF10A7" w:rsidRPr="00AF10A7" w:rsidRDefault="00AF10A7" w:rsidP="00AF10A7">
      <w:pPr>
        <w:spacing w:line="360" w:lineRule="auto"/>
        <w:jc w:val="both"/>
        <w:rPr>
          <w:rFonts w:ascii="Times New Roman" w:eastAsia="Times New Roman" w:hAnsi="Times New Roman"/>
          <w:sz w:val="24"/>
          <w:szCs w:val="24"/>
          <w:lang w:val="es-US" w:eastAsia="es-US"/>
        </w:rPr>
      </w:pPr>
      <w:r w:rsidRPr="00AF10A7">
        <w:rPr>
          <w:rFonts w:ascii="Times New Roman" w:eastAsia="Times New Roman" w:hAnsi="Times New Roman"/>
          <w:sz w:val="24"/>
          <w:szCs w:val="24"/>
          <w:lang w:val="es-US" w:eastAsia="es-US"/>
        </w:rPr>
        <w:t>Asimismo, el análisis factorial identificó la violencia sexual como una causa subyacente significativa del embarazo infantil en Perú, especialmente en comunidades rurales. Aunque esta variable no se mide directamente, su impacto se evidenció en los datos cualitativos. Muchas niñas y adolescentes que experimentan violencia sexual no tienen acceso a sistemas de protección ni a servicios de justicia, lo que perpetúa el ciclo de vulnerabilidad y exclusión. De manera alarmante, una proporción significativa de los embarazos en niñas menores de 15 años es producto de violaciones. Este hallazgo subraya la necesidad de fortalecer los sistemas de protección y justicia, garantizando el acceso a servicios de apoyo en comunidades rurales y promoviendo campañas de sensibilización para romper la cultura de silencio e impunidad.</w:t>
      </w:r>
    </w:p>
    <w:p w14:paraId="60EF4E40" w14:textId="77777777" w:rsidR="00AF10A7" w:rsidRPr="00AF10A7" w:rsidRDefault="00AF10A7" w:rsidP="00AF10A7">
      <w:pPr>
        <w:spacing w:line="360" w:lineRule="auto"/>
        <w:jc w:val="both"/>
        <w:rPr>
          <w:rFonts w:ascii="Times New Roman" w:eastAsia="Times New Roman" w:hAnsi="Times New Roman"/>
          <w:sz w:val="24"/>
          <w:szCs w:val="24"/>
          <w:lang w:val="es-US" w:eastAsia="es-US"/>
        </w:rPr>
      </w:pPr>
    </w:p>
    <w:p w14:paraId="32F765B7" w14:textId="5799EA4E" w:rsidR="007B462F" w:rsidRDefault="00AF10A7" w:rsidP="00AF10A7">
      <w:pPr>
        <w:spacing w:line="360" w:lineRule="auto"/>
        <w:jc w:val="both"/>
        <w:rPr>
          <w:rFonts w:ascii="Times New Roman" w:eastAsia="Times New Roman" w:hAnsi="Times New Roman"/>
          <w:sz w:val="28"/>
          <w:szCs w:val="28"/>
        </w:rPr>
      </w:pPr>
      <w:r w:rsidRPr="00AF10A7">
        <w:rPr>
          <w:rFonts w:ascii="Times New Roman" w:eastAsia="Times New Roman" w:hAnsi="Times New Roman"/>
          <w:sz w:val="24"/>
          <w:szCs w:val="24"/>
          <w:lang w:val="es-US" w:eastAsia="es-US"/>
        </w:rPr>
        <w:t>En conclusión, el embarazo infantil y adolescente en Perú es un fenómeno multifacético que refleja profundas desigualdades estructurales. Factores como el nivel educativo, la lengua materna, la región de residencia, la etnia y la pobreza interactúan de manera compleja para crear un entorno donde las adolescentes enfrentan una vulnerabilidad desproporcionada. Los hallazgos del análisis factorial refuerzan la importancia de abordar estas interacciones de manera integral, priorizando políticas públicas inclusivas y basadas en evidencia. Invertir en educación inclusiva, fortalecer los sistemas de salud sexual y reproductiva, y proteger a las niñas contra la violencia de género son estrategias clave para reducir las tasas de embarazo adolescente y garantizar un futuro más equitativo para todas las adolescentes del país. Solo mediante un esfuerzo concertado que integre estos enfoques será posible transformar las realidades de las adolescentes peruanas y garantizarles mayores oportunidades para desarrollar su potencial</w:t>
      </w:r>
    </w:p>
    <w:p w14:paraId="5805E988" w14:textId="77777777" w:rsidR="007B462F" w:rsidRDefault="007B462F" w:rsidP="00457A9C">
      <w:pPr>
        <w:rPr>
          <w:rFonts w:ascii="Times New Roman" w:eastAsia="Times New Roman" w:hAnsi="Times New Roman"/>
          <w:sz w:val="28"/>
          <w:szCs w:val="28"/>
        </w:rPr>
      </w:pPr>
    </w:p>
    <w:p w14:paraId="75DCEE41" w14:textId="77777777" w:rsidR="007B462F" w:rsidRDefault="007B462F" w:rsidP="00457A9C">
      <w:pPr>
        <w:rPr>
          <w:rFonts w:ascii="Times New Roman" w:eastAsia="Times New Roman" w:hAnsi="Times New Roman"/>
          <w:b/>
          <w:sz w:val="28"/>
          <w:szCs w:val="28"/>
        </w:rPr>
      </w:pPr>
      <w:r w:rsidRPr="007B462F">
        <w:rPr>
          <w:rFonts w:ascii="Times New Roman" w:eastAsia="Times New Roman" w:hAnsi="Times New Roman"/>
          <w:b/>
          <w:sz w:val="28"/>
          <w:szCs w:val="28"/>
        </w:rPr>
        <w:t xml:space="preserve">BIBLIOGRAFÍA </w:t>
      </w:r>
    </w:p>
    <w:p w14:paraId="1D81ABBA" w14:textId="25712A1E" w:rsidR="00C2433B" w:rsidRDefault="00C2433B" w:rsidP="00C2433B">
      <w:pPr>
        <w:pStyle w:val="NormalWeb"/>
      </w:pPr>
      <w:r>
        <w:t xml:space="preserve">Fondo de Población de las Naciones Unidas (UNFPA). </w:t>
      </w:r>
      <w:r w:rsidRPr="00C2433B">
        <w:rPr>
          <w:lang w:val="en-US"/>
        </w:rPr>
        <w:t xml:space="preserve">(2018). </w:t>
      </w:r>
      <w:r w:rsidRPr="00C2433B">
        <w:rPr>
          <w:rStyle w:val="nfasis"/>
          <w:lang w:val="en-US"/>
        </w:rPr>
        <w:t>International technical guidance on sexuality education: An evidence-informed approach</w:t>
      </w:r>
      <w:r w:rsidRPr="00C2433B">
        <w:rPr>
          <w:lang w:val="en-US"/>
        </w:rPr>
        <w:t xml:space="preserve"> (Volumen I, pp. 84–103). </w:t>
      </w:r>
      <w:r>
        <w:t xml:space="preserve">Nueva York. Recuperado el </w:t>
      </w:r>
      <w:r>
        <w:t>10 de octubre de 2024</w:t>
      </w:r>
      <w:r>
        <w:t xml:space="preserve"> de </w:t>
      </w:r>
      <w:hyperlink r:id="rId4" w:history="1">
        <w:r w:rsidRPr="00D83A79">
          <w:rPr>
            <w:rStyle w:val="Hipervnculo"/>
          </w:rPr>
          <w:t>https://www.unfpa.org/sites/default/files/pub-pdf/ITGSE.pdf</w:t>
        </w:r>
      </w:hyperlink>
    </w:p>
    <w:p w14:paraId="01697F78" w14:textId="65BDE117" w:rsidR="008C2BA6" w:rsidRDefault="00685A72" w:rsidP="00C2433B">
      <w:pPr>
        <w:pStyle w:val="NormalWeb"/>
      </w:pPr>
      <w:r>
        <w:t>La República. (202</w:t>
      </w:r>
      <w:r w:rsidR="008C2BA6">
        <w:t xml:space="preserve">4). </w:t>
      </w:r>
      <w:r w:rsidR="008C2BA6">
        <w:rPr>
          <w:rStyle w:val="nfasis"/>
        </w:rPr>
        <w:t>Violencia contra la mujer: 54 mil casos de violencia sexual contra menores; 67% de agresores son familiares</w:t>
      </w:r>
      <w:r w:rsidR="008C2BA6">
        <w:t xml:space="preserve"> [Artículo]. Recuperado de </w:t>
      </w:r>
      <w:hyperlink r:id="rId5" w:anchor="google_vignette" w:tgtFrame="_new" w:history="1">
        <w:r w:rsidR="008C2BA6">
          <w:rPr>
            <w:rStyle w:val="Hipervnculo"/>
          </w:rPr>
          <w:t>https://larepublica.pe/sociedad/2022/11/04/violencia-contra-la-mujer-54-mil-casos-de-violencia-sexual-contra-menores-67-de-agresores-son-familiares-unicef-cem-ministerio-de-la-mujer#google_vignette</w:t>
        </w:r>
      </w:hyperlink>
    </w:p>
    <w:p w14:paraId="4B7E3099" w14:textId="5E480DD4" w:rsidR="003917E8" w:rsidRDefault="003917E8" w:rsidP="00C2433B">
      <w:pPr>
        <w:pStyle w:val="NormalWeb"/>
      </w:pPr>
      <w:r>
        <w:t>Ministe</w:t>
      </w:r>
      <w:r>
        <w:t>rio de Educación del Perú. (2012</w:t>
      </w:r>
      <w:r>
        <w:t xml:space="preserve">). </w:t>
      </w:r>
      <w:r>
        <w:rPr>
          <w:rStyle w:val="nfasis"/>
        </w:rPr>
        <w:t>Barreras lingüísticas en la educación</w:t>
      </w:r>
      <w:r>
        <w:t xml:space="preserve">. Recuperado de </w:t>
      </w:r>
      <w:hyperlink r:id="rId6" w:tgtFrame="_new" w:history="1">
        <w:r>
          <w:rPr>
            <w:rStyle w:val="Hipervnculo"/>
          </w:rPr>
          <w:t>https://repositorio.minedu.gob.pe/bitstream/handle/20.500.12799/1517/Barreras%20linguisticas%20en%20la%20educacion.pdf?sequence=1&amp;isAllowed=y</w:t>
        </w:r>
      </w:hyperlink>
    </w:p>
    <w:p w14:paraId="11CCEF0C" w14:textId="5B971836" w:rsidR="00C2433B" w:rsidRDefault="00C2433B" w:rsidP="00C2433B">
      <w:pPr>
        <w:pStyle w:val="NormalWeb"/>
      </w:pPr>
      <w:r>
        <w:t xml:space="preserve">Organización de las Naciones Unidas (ONU). (2020). </w:t>
      </w:r>
      <w:r>
        <w:rPr>
          <w:rStyle w:val="nfasis"/>
        </w:rPr>
        <w:t>Violencia contra las mujeres</w:t>
      </w:r>
      <w:r>
        <w:t xml:space="preserve"> [Reporte]. Recuperado el </w:t>
      </w:r>
      <w:r>
        <w:t>8</w:t>
      </w:r>
      <w:r>
        <w:t xml:space="preserve"> de octubre de 2024</w:t>
      </w:r>
      <w:r>
        <w:t xml:space="preserve"> de </w:t>
      </w:r>
      <w:hyperlink r:id="rId7" w:history="1">
        <w:r w:rsidRPr="00D83A79">
          <w:rPr>
            <w:rStyle w:val="Hipervnculo"/>
          </w:rPr>
          <w:t>https://interactive.unwomen.org/multimedia/infographic/violenceagainstwomen/es/index.html#sexual-3</w:t>
        </w:r>
      </w:hyperlink>
    </w:p>
    <w:p w14:paraId="031222C5" w14:textId="77186FFE" w:rsidR="007B462F" w:rsidRDefault="00C2433B" w:rsidP="00C2433B">
      <w:pPr>
        <w:pStyle w:val="NormalWeb"/>
      </w:pPr>
      <w:r>
        <w:t xml:space="preserve">Universidad San Gregorio de Porto Viejo (USGP). (2018). Sexualidad responsable vs tabúes sociales. </w:t>
      </w:r>
      <w:r>
        <w:rPr>
          <w:rStyle w:val="nfasis"/>
        </w:rPr>
        <w:t>Revista San Gregorio</w:t>
      </w:r>
      <w:r>
        <w:t xml:space="preserve">, (29), 74–87. Recuperado </w:t>
      </w:r>
      <w:r>
        <w:t xml:space="preserve">30 </w:t>
      </w:r>
      <w:r>
        <w:t xml:space="preserve">de octubre de 2024 </w:t>
      </w:r>
      <w:hyperlink r:id="rId8" w:history="1">
        <w:r w:rsidRPr="00D83A79">
          <w:rPr>
            <w:rStyle w:val="Hipervnculo"/>
          </w:rPr>
          <w:t>https://dialnet.unirioja.es/servlet/articulo?codigo=6591750</w:t>
        </w:r>
      </w:hyperlink>
    </w:p>
    <w:p w14:paraId="07F45D7A" w14:textId="77777777" w:rsidR="00C2433B" w:rsidRPr="00C2433B" w:rsidRDefault="00C2433B" w:rsidP="00C2433B">
      <w:pPr>
        <w:pStyle w:val="NormalWeb"/>
        <w:rPr>
          <w:highlight w:val="white"/>
        </w:rPr>
      </w:pPr>
    </w:p>
    <w:p w14:paraId="68A7B95E" w14:textId="412A3119" w:rsidR="00FC1208" w:rsidRDefault="00AF10A7"/>
    <w:sectPr w:rsidR="00FC1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9C"/>
    <w:rsid w:val="003917E8"/>
    <w:rsid w:val="003E12BE"/>
    <w:rsid w:val="00457A9C"/>
    <w:rsid w:val="00685A72"/>
    <w:rsid w:val="007B462F"/>
    <w:rsid w:val="008C2BA6"/>
    <w:rsid w:val="00A54143"/>
    <w:rsid w:val="00AF10A7"/>
    <w:rsid w:val="00C2433B"/>
    <w:rsid w:val="00E04FC5"/>
    <w:rsid w:val="00F02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4418"/>
  <w15:chartTrackingRefBased/>
  <w15:docId w15:val="{0632FE60-DA9B-4818-948B-E0D9C261D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spacing w:after="200" w:line="276" w:lineRule="auto"/>
    </w:pPr>
    <w:rPr>
      <w:rFonts w:ascii="Calibri" w:eastAsia="Calibri" w:hAnsi="Calibri" w:cs="Times New Roman"/>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457A9C"/>
    <w:pPr>
      <w:spacing w:after="0" w:line="360" w:lineRule="auto"/>
      <w:jc w:val="center"/>
    </w:pPr>
    <w:rPr>
      <w:rFonts w:ascii="Times New Roman" w:eastAsia="Times New Roman" w:hAnsi="Times New Roman"/>
      <w:spacing w:val="24"/>
      <w:sz w:val="28"/>
      <w:szCs w:val="20"/>
      <w:lang w:val="es-ES_tradnl" w:eastAsia="es-ES"/>
    </w:rPr>
  </w:style>
  <w:style w:type="character" w:customStyle="1" w:styleId="TtuloCar">
    <w:name w:val="Título Car"/>
    <w:basedOn w:val="Fuentedeprrafopredeter"/>
    <w:link w:val="Ttulo"/>
    <w:uiPriority w:val="10"/>
    <w:rsid w:val="00457A9C"/>
    <w:rPr>
      <w:rFonts w:ascii="Times New Roman" w:eastAsia="Times New Roman" w:hAnsi="Times New Roman" w:cs="Times New Roman"/>
      <w:spacing w:val="24"/>
      <w:sz w:val="28"/>
      <w:szCs w:val="20"/>
      <w:lang w:val="es-ES_tradnl" w:eastAsia="es-ES"/>
    </w:rPr>
  </w:style>
  <w:style w:type="paragraph" w:styleId="NormalWeb">
    <w:name w:val="Normal (Web)"/>
    <w:basedOn w:val="Normal"/>
    <w:uiPriority w:val="99"/>
    <w:unhideWhenUsed/>
    <w:rsid w:val="00457A9C"/>
    <w:pPr>
      <w:spacing w:before="100" w:beforeAutospacing="1" w:after="100" w:afterAutospacing="1" w:line="240" w:lineRule="auto"/>
    </w:pPr>
    <w:rPr>
      <w:rFonts w:ascii="Times New Roman" w:eastAsia="Times New Roman" w:hAnsi="Times New Roman"/>
      <w:sz w:val="24"/>
      <w:szCs w:val="24"/>
      <w:lang w:val="es-US" w:eastAsia="es-US"/>
    </w:rPr>
  </w:style>
  <w:style w:type="character" w:styleId="Textoennegrita">
    <w:name w:val="Strong"/>
    <w:basedOn w:val="Fuentedeprrafopredeter"/>
    <w:uiPriority w:val="22"/>
    <w:qFormat/>
    <w:rsid w:val="00457A9C"/>
    <w:rPr>
      <w:b/>
      <w:bCs/>
    </w:rPr>
  </w:style>
  <w:style w:type="character" w:styleId="Refdecomentario">
    <w:name w:val="annotation reference"/>
    <w:basedOn w:val="Fuentedeprrafopredeter"/>
    <w:uiPriority w:val="99"/>
    <w:semiHidden/>
    <w:unhideWhenUsed/>
    <w:rsid w:val="007B462F"/>
    <w:rPr>
      <w:sz w:val="16"/>
      <w:szCs w:val="16"/>
    </w:rPr>
  </w:style>
  <w:style w:type="paragraph" w:styleId="Textocomentario">
    <w:name w:val="annotation text"/>
    <w:basedOn w:val="Normal"/>
    <w:link w:val="TextocomentarioCar"/>
    <w:uiPriority w:val="99"/>
    <w:semiHidden/>
    <w:unhideWhenUsed/>
    <w:rsid w:val="007B462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462F"/>
    <w:rPr>
      <w:rFonts w:ascii="Calibri" w:eastAsia="Calibri" w:hAnsi="Calibri" w:cs="Times New Roman"/>
      <w:sz w:val="20"/>
      <w:szCs w:val="20"/>
      <w:lang w:val="es-PE"/>
    </w:rPr>
  </w:style>
  <w:style w:type="paragraph" w:styleId="Textodeglobo">
    <w:name w:val="Balloon Text"/>
    <w:basedOn w:val="Normal"/>
    <w:link w:val="TextodegloboCar"/>
    <w:uiPriority w:val="99"/>
    <w:semiHidden/>
    <w:unhideWhenUsed/>
    <w:rsid w:val="007B46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62F"/>
    <w:rPr>
      <w:rFonts w:ascii="Segoe UI" w:eastAsia="Calibri" w:hAnsi="Segoe UI" w:cs="Segoe UI"/>
      <w:sz w:val="18"/>
      <w:szCs w:val="18"/>
      <w:lang w:val="es-PE"/>
    </w:rPr>
  </w:style>
  <w:style w:type="paragraph" w:styleId="Asuntodelcomentario">
    <w:name w:val="annotation subject"/>
    <w:basedOn w:val="Textocomentario"/>
    <w:next w:val="Textocomentario"/>
    <w:link w:val="AsuntodelcomentarioCar"/>
    <w:uiPriority w:val="99"/>
    <w:semiHidden/>
    <w:unhideWhenUsed/>
    <w:rsid w:val="00A54143"/>
    <w:rPr>
      <w:b/>
      <w:bCs/>
    </w:rPr>
  </w:style>
  <w:style w:type="character" w:customStyle="1" w:styleId="AsuntodelcomentarioCar">
    <w:name w:val="Asunto del comentario Car"/>
    <w:basedOn w:val="TextocomentarioCar"/>
    <w:link w:val="Asuntodelcomentario"/>
    <w:uiPriority w:val="99"/>
    <w:semiHidden/>
    <w:rsid w:val="00A54143"/>
    <w:rPr>
      <w:rFonts w:ascii="Calibri" w:eastAsia="Calibri" w:hAnsi="Calibri" w:cs="Times New Roman"/>
      <w:b/>
      <w:bCs/>
      <w:sz w:val="20"/>
      <w:szCs w:val="20"/>
      <w:lang w:val="es-PE"/>
    </w:rPr>
  </w:style>
  <w:style w:type="character" w:styleId="nfasis">
    <w:name w:val="Emphasis"/>
    <w:basedOn w:val="Fuentedeprrafopredeter"/>
    <w:uiPriority w:val="20"/>
    <w:qFormat/>
    <w:rsid w:val="00C2433B"/>
    <w:rPr>
      <w:i/>
      <w:iCs/>
    </w:rPr>
  </w:style>
  <w:style w:type="character" w:styleId="Hipervnculo">
    <w:name w:val="Hyperlink"/>
    <w:basedOn w:val="Fuentedeprrafopredeter"/>
    <w:uiPriority w:val="99"/>
    <w:unhideWhenUsed/>
    <w:rsid w:val="00C243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544398">
      <w:bodyDiv w:val="1"/>
      <w:marLeft w:val="0"/>
      <w:marRight w:val="0"/>
      <w:marTop w:val="0"/>
      <w:marBottom w:val="0"/>
      <w:divBdr>
        <w:top w:val="none" w:sz="0" w:space="0" w:color="auto"/>
        <w:left w:val="none" w:sz="0" w:space="0" w:color="auto"/>
        <w:bottom w:val="none" w:sz="0" w:space="0" w:color="auto"/>
        <w:right w:val="none" w:sz="0" w:space="0" w:color="auto"/>
      </w:divBdr>
    </w:div>
    <w:div w:id="1543712856">
      <w:bodyDiv w:val="1"/>
      <w:marLeft w:val="0"/>
      <w:marRight w:val="0"/>
      <w:marTop w:val="0"/>
      <w:marBottom w:val="0"/>
      <w:divBdr>
        <w:top w:val="none" w:sz="0" w:space="0" w:color="auto"/>
        <w:left w:val="none" w:sz="0" w:space="0" w:color="auto"/>
        <w:bottom w:val="none" w:sz="0" w:space="0" w:color="auto"/>
        <w:right w:val="none" w:sz="0" w:space="0" w:color="auto"/>
      </w:divBdr>
    </w:div>
    <w:div w:id="20431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lnet.unirioja.es/servlet/articulo?codigo=6591750" TargetMode="External"/><Relationship Id="rId3" Type="http://schemas.openxmlformats.org/officeDocument/2006/relationships/webSettings" Target="webSettings.xml"/><Relationship Id="rId7" Type="http://schemas.openxmlformats.org/officeDocument/2006/relationships/hyperlink" Target="https://interactive.unwomen.org/multimedia/infographic/violenceagainstwomen/es/index.html#sexual-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positorio.minedu.gob.pe/bitstream/handle/20.500.12799/1517/Barreras%20linguisticas%20en%20la%20educacion.pdf?sequence=1&amp;isAllowed=y" TargetMode="External"/><Relationship Id="rId5" Type="http://schemas.openxmlformats.org/officeDocument/2006/relationships/hyperlink" Target="https://larepublica.pe/sociedad/2022/11/04/violencia-contra-la-mujer-54-mil-casos-de-violencia-sexual-contra-menores-67-de-agresores-son-familiares-unicef-cem-ministerio-de-la-mujer" TargetMode="External"/><Relationship Id="rId10" Type="http://schemas.openxmlformats.org/officeDocument/2006/relationships/theme" Target="theme/theme1.xml"/><Relationship Id="rId4" Type="http://schemas.openxmlformats.org/officeDocument/2006/relationships/hyperlink" Target="https://www.unfpa.org/sites/default/files/pub-pdf/ITGSE.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1557</Words>
  <Characters>8566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dc:creator>
  <cp:keywords/>
  <dc:description/>
  <cp:lastModifiedBy>Camila</cp:lastModifiedBy>
  <cp:revision>3</cp:revision>
  <dcterms:created xsi:type="dcterms:W3CDTF">2024-12-04T06:07:00Z</dcterms:created>
  <dcterms:modified xsi:type="dcterms:W3CDTF">2024-12-04T06:46:00Z</dcterms:modified>
</cp:coreProperties>
</file>