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left" w:pos="0"/>
        </w:tabs>
        <w:spacing w:after="240" w:before="360" w:line="240" w:lineRule="auto"/>
        <w:ind w:right="-540"/>
        <w:contextualSpacing w:val="0"/>
        <w:jc w:val="center"/>
      </w:pPr>
      <w:r w:rsidDel="00000000" w:rsidR="00000000" w:rsidRPr="00000000">
        <w:rPr>
          <w:rFonts w:ascii="Arial Black" w:cs="Arial Black" w:eastAsia="Arial Black" w:hAnsi="Arial Black"/>
          <w:b w:val="0"/>
          <w:color w:val="000000"/>
          <w:sz w:val="96"/>
          <w:szCs w:val="96"/>
          <w:rtl w:val="0"/>
        </w:rPr>
        <w:t xml:space="preserve">Proposta de mudança de escopo Projeto SUSEG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ind w:firstLine="432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40" w:lineRule="auto"/>
        <w:ind w:left="0" w:firstLine="0"/>
        <w:contextualSpacing w:val="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Funcionalidade adicional do sistema para Sprint 2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4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0"/>
        <w:gridCol w:w="1223"/>
        <w:gridCol w:w="1843"/>
        <w:tblGridChange w:id="0">
          <w:tblGrid>
            <w:gridCol w:w="6380"/>
            <w:gridCol w:w="1223"/>
            <w:gridCol w:w="1843"/>
          </w:tblGrid>
        </w:tblGridChange>
      </w:tblGrid>
      <w:tr>
        <w:trPr>
          <w:trHeight w:val="300" w:hRule="atLeast"/>
        </w:trPr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Atividades que englobam esta funcionalidade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Pontos Estimados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Tempo Estimado (Horas)</w:t>
            </w:r>
          </w:p>
        </w:tc>
      </w:tr>
      <w:tr>
        <w:trPr>
          <w:trHeight w:val="300" w:hRule="atLeast"/>
        </w:trPr>
        <w:tc>
          <w:tcPr>
            <w:shd w:fill="95b3d7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Novo Req. Permitir mais de 1 veículo quando titular for PJ.</w:t>
            </w:r>
          </w:p>
        </w:tc>
        <w:tc>
          <w:tcPr>
            <w:shd w:fill="95b3d7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95b3d7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3,36</w:t>
            </w:r>
          </w:p>
        </w:tc>
      </w:tr>
      <w:tr>
        <w:trPr>
          <w:trHeight w:val="300" w:hRule="atLeast"/>
        </w:trPr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UC003 - Informar os dados do veículo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Alterar a ordem das abas da interface (especificação e implementação)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6,72</w:t>
            </w:r>
          </w:p>
        </w:tc>
      </w:tr>
      <w:tr>
        <w:trPr>
          <w:trHeight w:val="300" w:hRule="atLeast"/>
        </w:trPr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Alterar base de dados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3,36</w:t>
            </w:r>
          </w:p>
        </w:tc>
      </w:tr>
      <w:tr>
        <w:trPr>
          <w:trHeight w:val="300" w:hRule="atLeast"/>
        </w:trPr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UC007 - Calcular cotação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Considerar mais de 1 veículo no cálculo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3,36</w:t>
            </w:r>
          </w:p>
        </w:tc>
      </w:tr>
      <w:tr>
        <w:trPr>
          <w:trHeight w:val="300" w:hRule="atLeast"/>
        </w:trPr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Apresentar os veículos nos detalhes do cálculo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3,36</w:t>
            </w:r>
          </w:p>
        </w:tc>
      </w:tr>
      <w:tr>
        <w:trPr>
          <w:trHeight w:val="300" w:hRule="atLeast"/>
        </w:trPr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Total de Pontos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dbe5f1"/>
            <w:tcMar>
              <w:left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20,16</w:t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before="240" w:line="240" w:lineRule="auto"/>
        <w:ind w:left="0" w:firstLine="0"/>
        <w:contextualSpacing w:val="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Funcionalidades da Sprint 1, não concluídas, que serão realizadas na Sprint 2: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RF004 - Selecionar as cláusulas e RF005 - Incluir cláusulas na cotação  - 80% concluído 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RN002 - P/ cada ponto classe de bônus - 5% do valor do prêmio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before="240" w:line="240" w:lineRule="auto"/>
        <w:ind w:left="0" w:firstLine="0"/>
        <w:contextualSpacing w:val="1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Funcionalidades retiradas do escopo para a Sprint 2: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RF019 - Informar se local pernoite é coberto, se possui portão e segurança.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RF021 - Informar se local diárias é coberto, se possui portão e segurança.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RF018 - O sistema deve permitir gerar relatório de classe de bônus por região e faixa etária.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RF024 - O sistema deve permitir renovar a apólice de um seguro.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RN021 - A renovação de apólice deve facilitar o preenchimento dos dados do segurado e seu veículo, porém os valores devem ser recalculados.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RF022 - O sistema deve permitir que o corretor defina o seu percentual de comissão padrão.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RF017 - O sistema deve permitir gerar relatórios dos seguros que estão próximos da data de vencimento e enviar para o e-mail do corretor. (No caso o sistema não enviará relatório apenas será gerado e apresentado na tela).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As justificativas referentes às alterações apresentadas neste documento devem-se a necessidade apresentada pelo cliente, e também a falta de tempo para concluir as atividades estimadas. </w:t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  <w:font w:name="Arial Black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0" w:line="276" w:lineRule="auto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 w:val="0"/>
      <w:tblW w:w="9855.0" w:type="dxa"/>
      <w:jc w:val="left"/>
      <w:tblInd w:w="-223.0" w:type="dxa"/>
      <w:tblLayout w:type="fixed"/>
      <w:tblLook w:val="0000"/>
    </w:tblPr>
    <w:tblGrid>
      <w:gridCol w:w="3510"/>
      <w:gridCol w:w="2835"/>
      <w:gridCol w:w="3510"/>
      <w:tblGridChange w:id="0">
        <w:tblGrid>
          <w:gridCol w:w="3510"/>
          <w:gridCol w:w="2835"/>
          <w:gridCol w:w="3510"/>
        </w:tblGrid>
      </w:tblGridChange>
    </w:tblGrid>
    <w:tr>
      <w:trPr>
        <w:trHeight w:val="360" w:hRule="atLeast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720" w:before="60" w:line="24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720" w:before="6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18"/>
              <w:szCs w:val="18"/>
              <w:rtl w:val="0"/>
            </w:rPr>
            <w:t xml:space="preserve">Pág.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16"/>
              <w:szCs w:val="16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3294"/>
            </w:tabs>
            <w:spacing w:after="720" w:before="60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18"/>
              <w:szCs w:val="18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72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="276" w:lineRule="auto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149.0" w:type="dxa"/>
      <w:jc w:val="left"/>
      <w:tblInd w:w="-223.0" w:type="dxa"/>
      <w:tblLayout w:type="fixed"/>
      <w:tblLook w:val="0000"/>
    </w:tblPr>
    <w:tblGrid>
      <w:gridCol w:w="9149"/>
      <w:tblGridChange w:id="0">
        <w:tblGrid>
          <w:gridCol w:w="9149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widowControl w:val="0"/>
            <w:spacing w:after="0" w:before="720" w:line="276" w:lineRule="auto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  <w:tbl>
          <w:tblPr>
            <w:tblStyle w:val="Table3"/>
            <w:bidi w:val="0"/>
            <w:tblW w:w="10037.0" w:type="dxa"/>
            <w:jc w:val="left"/>
            <w:tblInd w:w="-115.0" w:type="dxa"/>
            <w:tblLayout w:type="fixed"/>
            <w:tblLook w:val="0000"/>
          </w:tblPr>
          <w:tblGrid>
            <w:gridCol w:w="10037"/>
            <w:tblGridChange w:id="0">
              <w:tblGrid>
                <w:gridCol w:w="10037"/>
              </w:tblGrid>
            </w:tblGridChange>
          </w:tblGrid>
          <w:tr>
            <w:trPr>
              <w:trHeight w:val="620" w:hRule="atLeast"/>
            </w:trPr>
            <w:tc>
              <w:tcPr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>
                <w:pPr>
                  <w:widowControl w:val="0"/>
                  <w:spacing w:after="0" w:before="720" w:line="276" w:lineRule="auto"/>
                  <w:contextualSpacing w:val="0"/>
                  <w:jc w:val="left"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"/>
                  <w:bidi w:val="0"/>
                  <w:tblW w:w="8974.0" w:type="dxa"/>
                  <w:jc w:val="left"/>
                  <w:tblInd w:w="-115.0" w:type="dxa"/>
                  <w:tblLayout w:type="fixed"/>
                  <w:tblLook w:val="0000"/>
                </w:tblPr>
                <w:tblGrid>
                  <w:gridCol w:w="2144"/>
                  <w:gridCol w:w="6830"/>
                  <w:tblGridChange w:id="0">
                    <w:tblGrid>
                      <w:gridCol w:w="2144"/>
                      <w:gridCol w:w="6830"/>
                    </w:tblGrid>
                  </w:tblGridChange>
                </w:tblGrid>
                <w:tr>
                  <w:trPr>
                    <w:trHeight w:val="520" w:hRule="atLeast"/>
                  </w:trPr>
                  <w:tc>
                    <w:tcPr/>
                    <w:p w:rsidR="00000000" w:rsidDel="00000000" w:rsidP="00000000" w:rsidRDefault="00000000" w:rsidRPr="00000000">
                      <w:pPr>
                        <w:tabs>
                          <w:tab w:val="center" w:pos="4153"/>
                          <w:tab w:val="right" w:pos="8306"/>
                        </w:tabs>
                        <w:spacing w:after="60" w:before="720" w:line="240" w:lineRule="auto"/>
                        <w:ind w:left="-180" w:right="-68" w:firstLine="0"/>
                        <w:contextualSpacing w:val="0"/>
                        <w:jc w:val="both"/>
                      </w:pPr>
                      <w:r w:rsidDel="00000000" w:rsidR="00000000" w:rsidRPr="00000000">
                        <w:drawing>
                          <wp:inline distB="0" distT="0" distL="114300" distR="114300">
                            <wp:extent cx="1253490" cy="542925"/>
                            <wp:effectExtent b="0" l="0" r="0" t="0"/>
                            <wp:docPr id="1" name="image0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01.png"/>
                                    <pic:cNvPicPr preferRelativeResize="0"/>
                                  </pic:nvPicPr>
                                  <pic:blipFill>
                                    <a:blip r:embed="rId1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3490" cy="5429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vAlign w:val="center"/>
                    </w:tcPr>
                    <w:p w:rsidR="00000000" w:rsidDel="00000000" w:rsidP="00000000" w:rsidRDefault="00000000" w:rsidRPr="00000000">
                      <w:pPr>
                        <w:spacing w:after="60" w:before="720" w:line="360" w:lineRule="auto"/>
                        <w:contextualSpacing w:val="0"/>
                        <w:jc w:val="center"/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1"/>
                          <w:color w:val="000000"/>
                          <w:sz w:val="18"/>
                          <w:szCs w:val="18"/>
                          <w:rtl w:val="0"/>
                        </w:rPr>
                        <w:t xml:space="preserve">UNIVERSIDADE DO ESTADO DE SANTA CATARINA – UDESC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>
                      <w:pPr>
                        <w:spacing w:after="60" w:before="60" w:line="360" w:lineRule="auto"/>
                        <w:contextualSpacing w:val="0"/>
                        <w:jc w:val="center"/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1"/>
                          <w:color w:val="000000"/>
                          <w:sz w:val="18"/>
                          <w:szCs w:val="18"/>
                          <w:rtl w:val="0"/>
                        </w:rPr>
                        <w:t xml:space="preserve">CENTRO DE EDUCAÇÃO SUPERIOR DO ALTO VALE DO ITAJAÍ – CEAVI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>
                      <w:pPr>
                        <w:tabs>
                          <w:tab w:val="center" w:pos="4153"/>
                          <w:tab w:val="right" w:pos="8306"/>
                        </w:tabs>
                        <w:spacing w:after="60" w:before="60" w:line="360" w:lineRule="auto"/>
                        <w:contextualSpacing w:val="0"/>
                        <w:jc w:val="center"/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1"/>
                          <w:color w:val="000000"/>
                          <w:sz w:val="18"/>
                          <w:szCs w:val="18"/>
                          <w:rtl w:val="0"/>
                        </w:rPr>
                        <w:t xml:space="preserve">ESPECIALIZAÇÃO EM ENGENHARIA DE SOFTWARE - PGES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>
                <w:pPr>
                  <w:tabs>
                    <w:tab w:val="right" w:pos="8931"/>
                  </w:tabs>
                  <w:spacing w:after="60" w:before="60" w:line="240" w:lineRule="auto"/>
                  <w:contextualSpacing w:val="0"/>
                  <w:jc w:val="both"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>
          <w:pPr>
            <w:spacing w:after="60" w:before="6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0" w:before="0" w:line="24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60" w:before="6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jc w:val="both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