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Task 4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BioBert recognises "diseases" and "drugs" with greater precision and accuracy at the semantic level of human judgement.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In en_ner_bc5cdr_md, the most common "disease" entity occurs 24,630 times as "pain", p.o. occurs 11,607 times as the most common "drug", and so on.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This confidence level of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en_ner_bc5cdr_md is low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.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The most common "disease" entity as "pain" occurs 24,630 times, p.o as the most common "drug" occurs 11,607 times, etc. However, in BioBert, the number of extractions for the entit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ies are more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accurate.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BioBERT is more effective in entity recognition tasks in extensive biomedical texts compared to en_ner_bc5cdr_md. This is attributed to the fact that BioBERT is pre-trained on a large-scale biomedical text corpus, providing it with a broader understanding of the biomedical domain. On the other hand, en_ner_bc5cdr_md is only pre-trained on the BC5CDR dataset, limiting its exposure to a more narrow range of biomedical text data.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7A05A"/>
    <w:rsid w:val="7FF7A05A"/>
    <w:rsid w:val="9DFFD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2024-01-14T07:11:00Z</dcterms:created>
  <dc:creator>仙男味的猪</dc:creator>
  <cp:lastModifiedBy>仙男味的猪</cp:lastModifiedBy>
  <dcterms:modified xsi:type="dcterms:W3CDTF">2024-01-14T18:53:42Z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B175A77341C620EB39A8A26544DF1D00_41</vt:lpwstr>
  </property>
</Properties>
</file>