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80" w:before="900"/>
        <w:jc w:val="center"/>
      </w:pPr>
      <w:r>
        <w:rPr>
          <w:rFonts w:ascii="Arial" w:cs="Arial" w:eastAsia="Arial" w:hAnsi="Arial"/>
          <w:b/>
          <w:bCs/>
          <w:color w:val="0F172A"/>
          <w:sz w:val="52"/>
          <w:szCs w:val="52"/>
        </w:rPr>
        <w:t xml:space="preserve">QMS-MANAJA</w:t>
      </w:r>
    </w:p>
    <w:p>
      <w:pPr>
        <w:pStyle w:val="Subtitle"/>
        <w:spacing w:after="360"/>
        <w:jc w:val="center"/>
      </w:pPr>
      <w:r>
        <w:rPr>
          <w:rFonts w:ascii="Arial" w:cs="Arial" w:eastAsia="Arial" w:hAnsi="Arial"/>
          <w:color w:val="1D4ED8"/>
          <w:sz w:val="34"/>
          <w:szCs w:val="34"/>
        </w:rPr>
        <w:t xml:space="preserve">Tenancy and Feature Packaging Strategy</w:t>
      </w:r>
    </w:p>
    <w:p>
      <w:pPr>
        <w:pStyle w:val="CoverMeta"/>
        <w:spacing w:after="120"/>
        <w:jc w:val="center"/>
      </w:pPr>
      <w:r>
        <w:rPr>
          <w:rFonts w:ascii="Arial" w:cs="Arial" w:eastAsia="Arial" w:hAnsi="Arial"/>
          <w:color w:val="1F2937"/>
        </w:rPr>
        <w:t xml:space="preserve">Commissioner Brief</w:t>
      </w:r>
    </w:p>
    <w:p>
      <w:pPr>
        <w:pStyle w:val="CoverMeta"/>
        <w:spacing w:after="700"/>
        <w:jc w:val="center"/>
      </w:pPr>
      <w:r>
        <w:rPr>
          <w:rFonts w:ascii="Arial" w:cs="Arial" w:eastAsia="Arial" w:hAnsi="Arial"/>
          <w:color w:val="1F2937"/>
        </w:rPr>
        <w:t xml:space="preserve">Prepared for commercial planning and product strategy discussion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60"/>
          <w:left w:type="dxa" w:w="220"/>
          <w:bottom w:type="dxa" w:w="160"/>
          <w:right w:type="dxa" w:w="220"/>
        </w:tblCellMar>
      </w:tblPr>
      <w:tblGrid>
        <w:gridCol w:w="9360"/>
      </w:tblGrid>
      <w:tr>
        <w:tc>
          <w:tcPr>
            <w:tcW w:type="dxa" w:w="9360"/>
            <w:tcBorders>
              <w:top w:val="single" w:color="047857" w:sz="1"/>
              <w:left w:val="single" w:color="047857" w:sz="8"/>
              <w:bottom w:val="single" w:color="047857" w:sz="1"/>
              <w:right w:val="single" w:color="047857" w:sz="1"/>
            </w:tcBorders>
            <w:shd w:fill="D1FAE5" w:val="clear"/>
          </w:tcPr>
          <w:p>
            <w:pPr>
              <w:pStyle w:val="Body"/>
              <w:spacing w:after="60"/>
            </w:pPr>
            <w:r>
              <w:rPr>
                <w:rFonts w:ascii="Arial" w:cs="Arial" w:eastAsia="Arial" w:hAnsi="Arial"/>
                <w:b/>
                <w:bCs/>
                <w:color w:val="0F172A"/>
              </w:rPr>
              <w:t xml:space="preserve">Recommended position</w:t>
            </w:r>
          </w:p>
          <w:p>
            <w:pPr>
              <w:pStyle w:val="Body"/>
              <w:spacing w:after="0"/>
            </w:pPr>
            <w:r>
              <w:rPr>
                <w:rFonts w:ascii="Arial" w:cs="Arial" w:eastAsia="Arial" w:hAnsi="Arial"/>
                <w:color w:val="1F2937"/>
              </w:rPr>
              <w:t xml:space="preserve">Use a single shared codebase with tenant-isolated data, sell QMS-MANAJA through three clear tiers, and reserve high-value operational capabilities for optional add-ons.</w:t>
            </w:r>
          </w:p>
        </w:tc>
      </w:tr>
    </w:tbl>
    <w:p>
      <w:r>
        <w:br/>
      </w:r>
    </w:p>
    <w:p>
      <w:r>
        <w:br/>
      </w:r>
    </w:p>
    <w:p>
      <w:r>
        <w:br/>
      </w:r>
    </w:p>
    <w:p>
      <w:r>
        <w:br/>
      </w:r>
    </w:p>
    <w:p>
      <w:r>
        <w:br/>
      </w:r>
    </w:p>
    <w:p>
      <w:pPr>
        <w:pStyle w:val="Small"/>
        <w:spacing w:after="140"/>
        <w:jc w:val="center"/>
      </w:pPr>
      <w:r>
        <w:rPr>
          <w:rFonts w:ascii="Arial" w:cs="Arial" w:eastAsia="Arial" w:hAnsi="Arial"/>
          <w:color w:val="1F2937"/>
        </w:rPr>
        <w:t xml:space="preserve">Prepared from: Tenancy and Feature Packaging Strategy.md</w:t>
      </w:r>
    </w:p>
    <w:p>
      <w:pPr>
        <w:pageBreakBefore/>
      </w:pPr>
      <w:r>
        <w:rPr>
          <w:rFonts w:ascii="Arial" w:cs="Arial" w:eastAsia="Arial" w:hAnsi="Arial"/>
          <w:b/>
          <w:bCs/>
          <w:color w:val="0F172A"/>
          <w:sz w:val="30"/>
          <w:szCs w:val="30"/>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rPr>
          <w:rFonts w:ascii="Arial" w:cs="Arial" w:eastAsia="Arial" w:hAnsi="Arial"/>
          <w:color w:val="1F2937"/>
        </w:rPr>
        <w:t xml:space="preserve">Executive Summary</w:t>
      </w:r>
    </w:p>
    <w:p>
      <w:pPr>
        <w:pStyle w:val="Body"/>
        <w:spacing w:after="140"/>
      </w:pPr>
      <w:r>
        <w:rPr>
          <w:rFonts w:ascii="Arial" w:cs="Arial" w:eastAsia="Arial" w:hAnsi="Arial"/>
          <w:color w:val="1F2937"/>
        </w:rPr>
        <w:t xml:space="preserve">QMS-MANAJA has moved beyond a simple SOP repository. The current platform already forms the foundation of a full operational Quality Management System: controlled documents, formal review and approval, change control, audit trails, digital signatures, training foundations, equipment tracking, dashboards, and mobile-friendly access.</w:t>
      </w:r>
    </w:p>
    <w:p>
      <w:pPr>
        <w:pStyle w:val="Body"/>
        <w:spacing w:after="140"/>
      </w:pPr>
      <w:r>
        <w:rPr>
          <w:rFonts w:ascii="Arial" w:cs="Arial" w:eastAsia="Arial" w:hAnsi="Arial"/>
          <w:color w:val="1F2937"/>
        </w:rPr>
        <w:t xml:space="preserve">The commercial opportunity is to present the platform as a controlled compliance operating system rather than as software for storing documents. The recommended model protects the product's core value while allowing the business to sell advanced capabilities to larger or more complex clients.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60"/>
          <w:left w:type="dxa" w:w="220"/>
          <w:bottom w:type="dxa" w:w="160"/>
          <w:right w:type="dxa" w:w="220"/>
        </w:tblCellMar>
      </w:tblPr>
      <w:tblGrid>
        <w:gridCol w:w="9360"/>
      </w:tblGrid>
      <w:tr>
        <w:tc>
          <w:tcPr>
            <w:tcW w:type="dxa" w:w="9360"/>
            <w:tcBorders>
              <w:top w:val="single" w:color="1D4ED8" w:sz="1"/>
              <w:left w:val="single" w:color="1D4ED8" w:sz="8"/>
              <w:bottom w:val="single" w:color="1D4ED8" w:sz="1"/>
              <w:right w:val="single" w:color="1D4ED8" w:sz="1"/>
            </w:tcBorders>
            <w:shd w:fill="DBEAFE" w:val="clear"/>
          </w:tcPr>
          <w:p>
            <w:pPr>
              <w:pStyle w:val="Body"/>
              <w:spacing w:after="60"/>
            </w:pPr>
            <w:r>
              <w:rPr>
                <w:rFonts w:ascii="Arial" w:cs="Arial" w:eastAsia="Arial" w:hAnsi="Arial"/>
                <w:b/>
                <w:bCs/>
                <w:color w:val="0F172A"/>
              </w:rPr>
              <w:t xml:space="preserve">Core recommendation</w:t>
            </w:r>
          </w:p>
          <w:p>
            <w:pPr>
              <w:pStyle w:val="Body"/>
              <w:spacing w:after="0"/>
            </w:pPr>
            <w:r>
              <w:rPr>
                <w:rFonts w:ascii="Arial" w:cs="Arial" w:eastAsia="Arial" w:hAnsi="Arial"/>
                <w:color w:val="1F2937"/>
              </w:rPr>
              <w:t xml:space="preserve">Make document control, approvals, numbering, the Master Index, audit trail, and basic change control part of the entry package. Premium should add depth, automation, operational reach, integrations, reporting, and governance.</w:t>
            </w:r>
          </w:p>
        </w:tc>
      </w:tr>
    </w:tbl>
    <w:p>
      <w:pPr>
        <w:pStyle w:val="Heading1"/>
      </w:pPr>
      <w:r>
        <w:rPr>
          <w:rFonts w:ascii="Arial" w:cs="Arial" w:eastAsia="Arial" w:hAnsi="Arial"/>
          <w:color w:val="1F2937"/>
        </w:rPr>
        <w:t xml:space="preserve">What Has Already Been Built</w:t>
      </w:r>
    </w:p>
    <w:p>
      <w:pPr>
        <w:pStyle w:val="Body"/>
        <w:spacing w:after="140"/>
      </w:pPr>
      <w:r>
        <w:rPr>
          <w:rFonts w:ascii="Arial" w:cs="Arial" w:eastAsia="Arial" w:hAnsi="Arial"/>
          <w:color w:val="1F2937"/>
        </w:rPr>
        <w:t xml:space="preserve">The value of QMS-MANAJA is not that users can upload SOPs. The value is that the system is beginning to enforce how regulated work should move: documents are numbered, reviewed, approved, changed, trained on, tracked, and audited.</w:t>
      </w:r>
    </w:p>
    <w:p>
      <w:pPr>
        <w:pStyle w:val="Body"/>
        <w:numPr>
          <w:ilvl w:val="0"/>
          <w:numId w:val="2"/>
        </w:numPr>
        <w:spacing w:after="70"/>
      </w:pPr>
      <w:r>
        <w:rPr>
          <w:rFonts w:ascii="Arial" w:cs="Arial" w:eastAsia="Arial" w:hAnsi="Arial"/>
          <w:color w:val="1F2937"/>
        </w:rPr>
        <w:t xml:space="preserve">Controlled SOP library</w:t>
      </w:r>
    </w:p>
    <w:p>
      <w:pPr>
        <w:pStyle w:val="Body"/>
        <w:numPr>
          <w:ilvl w:val="0"/>
          <w:numId w:val="2"/>
        </w:numPr>
        <w:spacing w:after="70"/>
      </w:pPr>
      <w:r>
        <w:rPr>
          <w:rFonts w:ascii="Arial" w:cs="Arial" w:eastAsia="Arial" w:hAnsi="Arial"/>
          <w:color w:val="1F2937"/>
        </w:rPr>
        <w:t xml:space="preserve">SOP approval workflow</w:t>
      </w:r>
    </w:p>
    <w:p>
      <w:pPr>
        <w:pStyle w:val="Body"/>
        <w:numPr>
          <w:ilvl w:val="0"/>
          <w:numId w:val="2"/>
        </w:numPr>
        <w:spacing w:after="70"/>
      </w:pPr>
      <w:r>
        <w:rPr>
          <w:rFonts w:ascii="Arial" w:cs="Arial" w:eastAsia="Arial" w:hAnsi="Arial"/>
          <w:color w:val="1F2937"/>
        </w:rPr>
        <w:t xml:space="preserve">HOD and QA review process</w:t>
      </w:r>
    </w:p>
    <w:p>
      <w:pPr>
        <w:pStyle w:val="Body"/>
        <w:numPr>
          <w:ilvl w:val="0"/>
          <w:numId w:val="2"/>
        </w:numPr>
        <w:spacing w:after="70"/>
      </w:pPr>
      <w:r>
        <w:rPr>
          <w:rFonts w:ascii="Arial" w:cs="Arial" w:eastAsia="Arial" w:hAnsi="Arial"/>
          <w:color w:val="1F2937"/>
        </w:rPr>
        <w:t xml:space="preserve">Master Index</w:t>
      </w:r>
    </w:p>
    <w:p>
      <w:pPr>
        <w:pStyle w:val="Body"/>
        <w:numPr>
          <w:ilvl w:val="0"/>
          <w:numId w:val="2"/>
        </w:numPr>
        <w:spacing w:after="70"/>
      </w:pPr>
      <w:r>
        <w:rPr>
          <w:rFonts w:ascii="Arial" w:cs="Arial" w:eastAsia="Arial" w:hAnsi="Arial"/>
          <w:color w:val="1F2937"/>
        </w:rPr>
        <w:t xml:space="preserve">Structured Level II SOP numbering</w:t>
      </w:r>
    </w:p>
    <w:p>
      <w:pPr>
        <w:pStyle w:val="Body"/>
        <w:numPr>
          <w:ilvl w:val="0"/>
          <w:numId w:val="2"/>
        </w:numPr>
        <w:spacing w:after="70"/>
      </w:pPr>
      <w:r>
        <w:rPr>
          <w:rFonts w:ascii="Arial" w:cs="Arial" w:eastAsia="Arial" w:hAnsi="Arial"/>
          <w:color w:val="1F2937"/>
        </w:rPr>
        <w:t xml:space="preserve">Department codes</w:t>
      </w:r>
    </w:p>
    <w:p>
      <w:pPr>
        <w:pStyle w:val="Body"/>
        <w:numPr>
          <w:ilvl w:val="0"/>
          <w:numId w:val="2"/>
        </w:numPr>
        <w:spacing w:after="70"/>
      </w:pPr>
      <w:r>
        <w:rPr>
          <w:rFonts w:ascii="Arial" w:cs="Arial" w:eastAsia="Arial" w:hAnsi="Arial"/>
          <w:color w:val="1F2937"/>
        </w:rPr>
        <w:t xml:space="preserve">Change control lifecycle</w:t>
      </w:r>
    </w:p>
    <w:p>
      <w:pPr>
        <w:pStyle w:val="Body"/>
        <w:numPr>
          <w:ilvl w:val="0"/>
          <w:numId w:val="2"/>
        </w:numPr>
        <w:spacing w:after="70"/>
      </w:pPr>
      <w:r>
        <w:rPr>
          <w:rFonts w:ascii="Arial" w:cs="Arial" w:eastAsia="Arial" w:hAnsi="Arial"/>
          <w:color w:val="1F2937"/>
        </w:rPr>
        <w:t xml:space="preserve">Multi-document change control direction</w:t>
      </w:r>
    </w:p>
    <w:p>
      <w:pPr>
        <w:pStyle w:val="Body"/>
        <w:numPr>
          <w:ilvl w:val="0"/>
          <w:numId w:val="2"/>
        </w:numPr>
        <w:spacing w:after="70"/>
      </w:pPr>
      <w:r>
        <w:rPr>
          <w:rFonts w:ascii="Arial" w:cs="Arial" w:eastAsia="Arial" w:hAnsi="Arial"/>
          <w:color w:val="1F2937"/>
        </w:rPr>
        <w:t xml:space="preserve">Audit trail</w:t>
      </w:r>
    </w:p>
    <w:p>
      <w:pPr>
        <w:pStyle w:val="Body"/>
        <w:numPr>
          <w:ilvl w:val="0"/>
          <w:numId w:val="2"/>
        </w:numPr>
        <w:spacing w:after="70"/>
      </w:pPr>
      <w:r>
        <w:rPr>
          <w:rFonts w:ascii="Arial" w:cs="Arial" w:eastAsia="Arial" w:hAnsi="Arial"/>
          <w:color w:val="1F2937"/>
        </w:rPr>
        <w:t xml:space="preserve">Digital signatures</w:t>
      </w:r>
    </w:p>
    <w:p>
      <w:pPr>
        <w:pStyle w:val="Body"/>
        <w:numPr>
          <w:ilvl w:val="0"/>
          <w:numId w:val="2"/>
        </w:numPr>
        <w:spacing w:after="70"/>
      </w:pPr>
      <w:r>
        <w:rPr>
          <w:rFonts w:ascii="Arial" w:cs="Arial" w:eastAsia="Arial" w:hAnsi="Arial"/>
          <w:color w:val="1F2937"/>
        </w:rPr>
        <w:t xml:space="preserve">User roles and department scoping</w:t>
      </w:r>
    </w:p>
    <w:p>
      <w:pPr>
        <w:pStyle w:val="Body"/>
        <w:numPr>
          <w:ilvl w:val="0"/>
          <w:numId w:val="2"/>
        </w:numPr>
        <w:spacing w:after="70"/>
      </w:pPr>
      <w:r>
        <w:rPr>
          <w:rFonts w:ascii="Arial" w:cs="Arial" w:eastAsia="Arial" w:hAnsi="Arial"/>
          <w:color w:val="1F2937"/>
        </w:rPr>
        <w:t xml:space="preserve">Dashboard KPIs</w:t>
      </w:r>
    </w:p>
    <w:p>
      <w:pPr>
        <w:pStyle w:val="Body"/>
        <w:numPr>
          <w:ilvl w:val="0"/>
          <w:numId w:val="2"/>
        </w:numPr>
        <w:spacing w:after="70"/>
      </w:pPr>
      <w:r>
        <w:rPr>
          <w:rFonts w:ascii="Arial" w:cs="Arial" w:eastAsia="Arial" w:hAnsi="Arial"/>
          <w:color w:val="1F2937"/>
        </w:rPr>
        <w:t xml:space="preserve">Training tracking foundations</w:t>
      </w:r>
    </w:p>
    <w:p>
      <w:pPr>
        <w:pStyle w:val="Body"/>
        <w:numPr>
          <w:ilvl w:val="0"/>
          <w:numId w:val="2"/>
        </w:numPr>
        <w:spacing w:after="70"/>
      </w:pPr>
      <w:r>
        <w:rPr>
          <w:rFonts w:ascii="Arial" w:cs="Arial" w:eastAsia="Arial" w:hAnsi="Arial"/>
          <w:color w:val="1F2937"/>
        </w:rPr>
        <w:t xml:space="preserve">Equipment and preventive maintenance tracking</w:t>
      </w:r>
    </w:p>
    <w:p>
      <w:pPr>
        <w:pStyle w:val="Body"/>
        <w:numPr>
          <w:ilvl w:val="0"/>
          <w:numId w:val="2"/>
        </w:numPr>
        <w:spacing w:after="70"/>
      </w:pPr>
      <w:r>
        <w:rPr>
          <w:rFonts w:ascii="Arial" w:cs="Arial" w:eastAsia="Arial" w:hAnsi="Arial"/>
          <w:color w:val="1F2937"/>
        </w:rPr>
        <w:t xml:space="preserve">Request hub and forms direction</w:t>
      </w:r>
    </w:p>
    <w:p>
      <w:pPr>
        <w:pStyle w:val="Body"/>
        <w:numPr>
          <w:ilvl w:val="0"/>
          <w:numId w:val="2"/>
        </w:numPr>
        <w:spacing w:after="70"/>
      </w:pPr>
      <w:r>
        <w:rPr>
          <w:rFonts w:ascii="Arial" w:cs="Arial" w:eastAsia="Arial" w:hAnsi="Arial"/>
          <w:color w:val="1F2937"/>
        </w:rPr>
        <w:t xml:space="preserve">PWA/mobile-friendly access</w:t>
      </w:r>
    </w:p>
    <w:p>
      <w:pPr>
        <w:pStyle w:val="Body"/>
        <w:numPr>
          <w:ilvl w:val="0"/>
          <w:numId w:val="2"/>
        </w:numPr>
        <w:spacing w:after="70"/>
      </w:pPr>
      <w:r>
        <w:rPr>
          <w:rFonts w:ascii="Arial" w:cs="Arial" w:eastAsia="Arial" w:hAnsi="Arial"/>
          <w:color w:val="1F2937"/>
        </w:rPr>
        <w:t xml:space="preserve">Notifications and Pulse items</w:t>
      </w:r>
    </w:p>
    <w:p>
      <w:pPr>
        <w:pStyle w:val="Heading1"/>
      </w:pPr>
      <w:r>
        <w:rPr>
          <w:rFonts w:ascii="Arial" w:cs="Arial" w:eastAsia="Arial" w:hAnsi="Arial"/>
          <w:color w:val="1F2937"/>
        </w:rPr>
        <w:t xml:space="preserve">Tenancy Recommendation</w:t>
      </w:r>
    </w:p>
    <w:p>
      <w:pPr>
        <w:pStyle w:val="Body"/>
        <w:spacing w:after="140"/>
      </w:pPr>
      <w:r>
        <w:rPr>
          <w:rFonts w:ascii="Arial" w:cs="Arial" w:eastAsia="Arial" w:hAnsi="Arial"/>
          <w:color w:val="1F2937"/>
        </w:rPr>
        <w:t xml:space="preserve">The recommended approach is a single codebase with tenant-isolated data. Each subscribing organization should become a tenant. A tenant represents one company, site group, or regulated operating unit, with its own configuration, users, departments, numbering rules, records, workflows, and feature entitlements.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40"/>
          <w:bottom w:type="dxa" w:w="120"/>
          <w:right w:type="dxa" w:w="140"/>
        </w:tblCellMar>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Layer</w:t>
            </w:r>
          </w:p>
        </w:tc>
        <w:tc>
          <w:tcPr>
            <w:tcW w:type="dxa" w:w="636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Recommended Structure</w:t>
            </w:r>
          </w:p>
        </w:tc>
      </w:tr>
      <w:tr>
        <w:tc>
          <w:tcPr>
            <w:tcW w:type="dxa" w:w="30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Tenant identity layer</w:t>
            </w:r>
          </w:p>
        </w:tc>
        <w:tc>
          <w:tcPr>
            <w:tcW w:type="dxa" w:w="636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tenants</w:t>
            </w:r>
          </w:p>
          <w:p>
            <w:pPr>
              <w:pStyle w:val="Body"/>
              <w:numPr>
                <w:ilvl w:val="0"/>
                <w:numId w:val="3"/>
              </w:numPr>
              <w:spacing w:after="70"/>
            </w:pPr>
            <w:r>
              <w:rPr>
                <w:rFonts w:ascii="Arial" w:cs="Arial" w:eastAsia="Arial" w:hAnsi="Arial"/>
                <w:color w:val="1F2937"/>
              </w:rPr>
              <w:t xml:space="preserve">tenant_memberships</w:t>
            </w:r>
          </w:p>
          <w:p>
            <w:pPr>
              <w:pStyle w:val="Body"/>
              <w:numPr>
                <w:ilvl w:val="0"/>
                <w:numId w:val="3"/>
              </w:numPr>
              <w:spacing w:after="70"/>
            </w:pPr>
            <w:r>
              <w:rPr>
                <w:rFonts w:ascii="Arial" w:cs="Arial" w:eastAsia="Arial" w:hAnsi="Arial"/>
                <w:color w:val="1F2937"/>
              </w:rPr>
              <w:t xml:space="preserve">tenant_settings</w:t>
            </w:r>
          </w:p>
          <w:p>
            <w:pPr>
              <w:pStyle w:val="Body"/>
              <w:numPr>
                <w:ilvl w:val="0"/>
                <w:numId w:val="3"/>
              </w:numPr>
              <w:spacing w:after="70"/>
            </w:pPr>
            <w:r>
              <w:rPr>
                <w:rFonts w:ascii="Arial" w:cs="Arial" w:eastAsia="Arial" w:hAnsi="Arial"/>
                <w:color w:val="1F2937"/>
              </w:rPr>
              <w:t xml:space="preserve">tenant_feature_entitlements</w:t>
            </w:r>
          </w:p>
        </w:tc>
      </w:tr>
      <w:tr>
        <w:tc>
          <w:tcPr>
            <w:tcW w:type="dxa" w:w="30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Operational tables scoped by tenant_id</w:t>
            </w:r>
          </w:p>
        </w:tc>
        <w:tc>
          <w:tcPr>
            <w:tcW w:type="dxa" w:w="636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profiles</w:t>
            </w:r>
          </w:p>
          <w:p>
            <w:pPr>
              <w:pStyle w:val="Body"/>
              <w:numPr>
                <w:ilvl w:val="0"/>
                <w:numId w:val="3"/>
              </w:numPr>
              <w:spacing w:after="70"/>
            </w:pPr>
            <w:r>
              <w:rPr>
                <w:rFonts w:ascii="Arial" w:cs="Arial" w:eastAsia="Arial" w:hAnsi="Arial"/>
                <w:color w:val="1F2937"/>
              </w:rPr>
              <w:t xml:space="preserve">departments</w:t>
            </w:r>
          </w:p>
          <w:p>
            <w:pPr>
              <w:pStyle w:val="Body"/>
              <w:numPr>
                <w:ilvl w:val="0"/>
                <w:numId w:val="3"/>
              </w:numPr>
              <w:spacing w:after="70"/>
            </w:pPr>
            <w:r>
              <w:rPr>
                <w:rFonts w:ascii="Arial" w:cs="Arial" w:eastAsia="Arial" w:hAnsi="Arial"/>
                <w:color w:val="1F2937"/>
              </w:rPr>
              <w:t xml:space="preserve">sops</w:t>
            </w:r>
          </w:p>
          <w:p>
            <w:pPr>
              <w:pStyle w:val="Body"/>
              <w:numPr>
                <w:ilvl w:val="0"/>
                <w:numId w:val="3"/>
              </w:numPr>
              <w:spacing w:after="70"/>
            </w:pPr>
            <w:r>
              <w:rPr>
                <w:rFonts w:ascii="Arial" w:cs="Arial" w:eastAsia="Arial" w:hAnsi="Arial"/>
                <w:color w:val="1F2937"/>
              </w:rPr>
              <w:t xml:space="preserve">sop_versions</w:t>
            </w:r>
          </w:p>
          <w:p>
            <w:pPr>
              <w:pStyle w:val="Body"/>
              <w:numPr>
                <w:ilvl w:val="0"/>
                <w:numId w:val="3"/>
              </w:numPr>
              <w:spacing w:after="70"/>
            </w:pPr>
            <w:r>
              <w:rPr>
                <w:rFonts w:ascii="Arial" w:cs="Arial" w:eastAsia="Arial" w:hAnsi="Arial"/>
                <w:color w:val="1F2937"/>
              </w:rPr>
              <w:t xml:space="preserve">sop_approval_requests</w:t>
            </w:r>
          </w:p>
          <w:p>
            <w:pPr>
              <w:pStyle w:val="Body"/>
              <w:numPr>
                <w:ilvl w:val="0"/>
                <w:numId w:val="3"/>
              </w:numPr>
              <w:spacing w:after="70"/>
            </w:pPr>
            <w:r>
              <w:rPr>
                <w:rFonts w:ascii="Arial" w:cs="Arial" w:eastAsia="Arial" w:hAnsi="Arial"/>
                <w:color w:val="1F2937"/>
              </w:rPr>
              <w:t xml:space="preserve">change_controls</w:t>
            </w:r>
          </w:p>
          <w:p>
            <w:pPr>
              <w:pStyle w:val="Body"/>
              <w:numPr>
                <w:ilvl w:val="0"/>
                <w:numId w:val="3"/>
              </w:numPr>
              <w:spacing w:after="70"/>
            </w:pPr>
            <w:r>
              <w:rPr>
                <w:rFonts w:ascii="Arial" w:cs="Arial" w:eastAsia="Arial" w:hAnsi="Arial"/>
                <w:color w:val="1F2937"/>
              </w:rPr>
              <w:t xml:space="preserve">change_control_documents</w:t>
            </w:r>
          </w:p>
          <w:p>
            <w:pPr>
              <w:pStyle w:val="Body"/>
              <w:numPr>
                <w:ilvl w:val="0"/>
                <w:numId w:val="3"/>
              </w:numPr>
              <w:spacing w:after="70"/>
            </w:pPr>
            <w:r>
              <w:rPr>
                <w:rFonts w:ascii="Arial" w:cs="Arial" w:eastAsia="Arial" w:hAnsi="Arial"/>
                <w:color w:val="1F2937"/>
              </w:rPr>
              <w:t xml:space="preserve">document_numbering_settings</w:t>
            </w:r>
          </w:p>
          <w:p>
            <w:pPr>
              <w:pStyle w:val="Body"/>
              <w:numPr>
                <w:ilvl w:val="0"/>
                <w:numId w:val="3"/>
              </w:numPr>
              <w:spacing w:after="70"/>
            </w:pPr>
            <w:r>
              <w:rPr>
                <w:rFonts w:ascii="Arial" w:cs="Arial" w:eastAsia="Arial" w:hAnsi="Arial"/>
                <w:color w:val="1F2937"/>
              </w:rPr>
              <w:t xml:space="preserve">document_number_sequences</w:t>
            </w:r>
          </w:p>
          <w:p>
            <w:pPr>
              <w:pStyle w:val="Body"/>
              <w:numPr>
                <w:ilvl w:val="0"/>
                <w:numId w:val="3"/>
              </w:numPr>
              <w:spacing w:after="70"/>
            </w:pPr>
            <w:r>
              <w:rPr>
                <w:rFonts w:ascii="Arial" w:cs="Arial" w:eastAsia="Arial" w:hAnsi="Arial"/>
                <w:color w:val="1F2937"/>
              </w:rPr>
              <w:t xml:space="preserve">equipment</w:t>
            </w:r>
          </w:p>
          <w:p>
            <w:pPr>
              <w:pStyle w:val="Body"/>
              <w:numPr>
                <w:ilvl w:val="0"/>
                <w:numId w:val="3"/>
              </w:numPr>
              <w:spacing w:after="70"/>
            </w:pPr>
            <w:r>
              <w:rPr>
                <w:rFonts w:ascii="Arial" w:cs="Arial" w:eastAsia="Arial" w:hAnsi="Arial"/>
                <w:color w:val="1F2937"/>
              </w:rPr>
              <w:t xml:space="preserve">pm_tasks</w:t>
            </w:r>
          </w:p>
          <w:p>
            <w:pPr>
              <w:pStyle w:val="Body"/>
              <w:numPr>
                <w:ilvl w:val="0"/>
                <w:numId w:val="3"/>
              </w:numPr>
              <w:spacing w:after="70"/>
            </w:pPr>
            <w:r>
              <w:rPr>
                <w:rFonts w:ascii="Arial" w:cs="Arial" w:eastAsia="Arial" w:hAnsi="Arial"/>
                <w:color w:val="1F2937"/>
              </w:rPr>
              <w:t xml:space="preserve">training_modules</w:t>
            </w:r>
          </w:p>
          <w:p>
            <w:pPr>
              <w:pStyle w:val="Body"/>
              <w:numPr>
                <w:ilvl w:val="0"/>
                <w:numId w:val="3"/>
              </w:numPr>
              <w:spacing w:after="70"/>
            </w:pPr>
            <w:r>
              <w:rPr>
                <w:rFonts w:ascii="Arial" w:cs="Arial" w:eastAsia="Arial" w:hAnsi="Arial"/>
                <w:color w:val="1F2937"/>
              </w:rPr>
              <w:t xml:space="preserve">training_assignments</w:t>
            </w:r>
          </w:p>
          <w:p>
            <w:pPr>
              <w:pStyle w:val="Body"/>
              <w:numPr>
                <w:ilvl w:val="0"/>
                <w:numId w:val="3"/>
              </w:numPr>
              <w:spacing w:after="70"/>
            </w:pPr>
            <w:r>
              <w:rPr>
                <w:rFonts w:ascii="Arial" w:cs="Arial" w:eastAsia="Arial" w:hAnsi="Arial"/>
                <w:color w:val="1F2937"/>
              </w:rPr>
              <w:t xml:space="preserve">training_attempts</w:t>
            </w:r>
          </w:p>
          <w:p>
            <w:pPr>
              <w:pStyle w:val="Body"/>
              <w:numPr>
                <w:ilvl w:val="0"/>
                <w:numId w:val="3"/>
              </w:numPr>
              <w:spacing w:after="70"/>
            </w:pPr>
            <w:r>
              <w:rPr>
                <w:rFonts w:ascii="Arial" w:cs="Arial" w:eastAsia="Arial" w:hAnsi="Arial"/>
                <w:color w:val="1F2937"/>
              </w:rPr>
              <w:t xml:space="preserve">request_forms</w:t>
            </w:r>
          </w:p>
          <w:p>
            <w:pPr>
              <w:pStyle w:val="Body"/>
              <w:numPr>
                <w:ilvl w:val="0"/>
                <w:numId w:val="3"/>
              </w:numPr>
              <w:spacing w:after="70"/>
            </w:pPr>
            <w:r>
              <w:rPr>
                <w:rFonts w:ascii="Arial" w:cs="Arial" w:eastAsia="Arial" w:hAnsi="Arial"/>
                <w:color w:val="1F2937"/>
              </w:rPr>
              <w:t xml:space="preserve">request_form_submissions</w:t>
            </w:r>
          </w:p>
          <w:p>
            <w:pPr>
              <w:pStyle w:val="Body"/>
              <w:numPr>
                <w:ilvl w:val="0"/>
                <w:numId w:val="3"/>
              </w:numPr>
              <w:spacing w:after="70"/>
            </w:pPr>
            <w:r>
              <w:rPr>
                <w:rFonts w:ascii="Arial" w:cs="Arial" w:eastAsia="Arial" w:hAnsi="Arial"/>
                <w:color w:val="1F2937"/>
              </w:rPr>
              <w:t xml:space="preserve">pulse_items</w:t>
            </w:r>
          </w:p>
          <w:p>
            <w:pPr>
              <w:pStyle w:val="Body"/>
              <w:numPr>
                <w:ilvl w:val="0"/>
                <w:numId w:val="3"/>
              </w:numPr>
              <w:spacing w:after="70"/>
            </w:pPr>
            <w:r>
              <w:rPr>
                <w:rFonts w:ascii="Arial" w:cs="Arial" w:eastAsia="Arial" w:hAnsi="Arial"/>
                <w:color w:val="1F2937"/>
              </w:rPr>
              <w:t xml:space="preserve">audit_log</w:t>
            </w:r>
          </w:p>
        </w:tc>
      </w:tr>
    </w:tbl>
    <w:p>
      <w:pPr>
        <w:pStyle w:val="Heading2"/>
      </w:pPr>
      <w:r>
        <w:rPr>
          <w:rFonts w:ascii="Arial" w:cs="Arial" w:eastAsia="Arial" w:hAnsi="Arial"/>
          <w:color w:val="1F2937"/>
        </w:rPr>
        <w:t xml:space="preserve">Why Shared Infrastructure First</w:t>
      </w:r>
    </w:p>
    <w:p>
      <w:pPr>
        <w:pStyle w:val="Body"/>
        <w:spacing w:after="140"/>
      </w:pPr>
      <w:r>
        <w:rPr>
          <w:rFonts w:ascii="Arial" w:cs="Arial" w:eastAsia="Arial" w:hAnsi="Arial"/>
          <w:color w:val="1F2937"/>
        </w:rPr>
        <w:t xml:space="preserve">A shared infrastructure model is the best starting point because it keeps operations efficient and allows the team to move quickly without fragmenting deployments.</w:t>
      </w:r>
    </w:p>
    <w:p>
      <w:pPr>
        <w:pStyle w:val="Body"/>
        <w:numPr>
          <w:ilvl w:val="0"/>
          <w:numId w:val="2"/>
        </w:numPr>
        <w:spacing w:after="70"/>
      </w:pPr>
      <w:r>
        <w:rPr>
          <w:rFonts w:ascii="Arial" w:cs="Arial" w:eastAsia="Arial" w:hAnsi="Arial"/>
          <w:color w:val="1F2937"/>
        </w:rPr>
        <w:t xml:space="preserve">One codebase to deploy</w:t>
      </w:r>
    </w:p>
    <w:p>
      <w:pPr>
        <w:pStyle w:val="Body"/>
        <w:numPr>
          <w:ilvl w:val="0"/>
          <w:numId w:val="2"/>
        </w:numPr>
        <w:spacing w:after="70"/>
      </w:pPr>
      <w:r>
        <w:rPr>
          <w:rFonts w:ascii="Arial" w:cs="Arial" w:eastAsia="Arial" w:hAnsi="Arial"/>
          <w:color w:val="1F2937"/>
        </w:rPr>
        <w:t xml:space="preserve">One product roadmap</w:t>
      </w:r>
    </w:p>
    <w:p>
      <w:pPr>
        <w:pStyle w:val="Body"/>
        <w:numPr>
          <w:ilvl w:val="0"/>
          <w:numId w:val="2"/>
        </w:numPr>
        <w:spacing w:after="70"/>
      </w:pPr>
      <w:r>
        <w:rPr>
          <w:rFonts w:ascii="Arial" w:cs="Arial" w:eastAsia="Arial" w:hAnsi="Arial"/>
          <w:color w:val="1F2937"/>
        </w:rPr>
        <w:t xml:space="preserve">One security model</w:t>
      </w:r>
    </w:p>
    <w:p>
      <w:pPr>
        <w:pStyle w:val="Body"/>
        <w:numPr>
          <w:ilvl w:val="0"/>
          <w:numId w:val="2"/>
        </w:numPr>
        <w:spacing w:after="70"/>
      </w:pPr>
      <w:r>
        <w:rPr>
          <w:rFonts w:ascii="Arial" w:cs="Arial" w:eastAsia="Arial" w:hAnsi="Arial"/>
          <w:color w:val="1F2937"/>
        </w:rPr>
        <w:t xml:space="preserve">One billing model</w:t>
      </w:r>
    </w:p>
    <w:p>
      <w:pPr>
        <w:pStyle w:val="Body"/>
        <w:numPr>
          <w:ilvl w:val="0"/>
          <w:numId w:val="2"/>
        </w:numPr>
        <w:spacing w:after="70"/>
      </w:pPr>
      <w:r>
        <w:rPr>
          <w:rFonts w:ascii="Arial" w:cs="Arial" w:eastAsia="Arial" w:hAnsi="Arial"/>
          <w:color w:val="1F2937"/>
        </w:rPr>
        <w:t xml:space="preserve">Easier support and onboarding</w:t>
      </w:r>
    </w:p>
    <w:p>
      <w:pPr>
        <w:pStyle w:val="Body"/>
        <w:numPr>
          <w:ilvl w:val="0"/>
          <w:numId w:val="2"/>
        </w:numPr>
        <w:spacing w:after="70"/>
      </w:pPr>
      <w:r>
        <w:rPr>
          <w:rFonts w:ascii="Arial" w:cs="Arial" w:eastAsia="Arial" w:hAnsi="Arial"/>
          <w:color w:val="1F2937"/>
        </w:rPr>
        <w:t xml:space="preserve">Faster rollout of features</w:t>
      </w:r>
    </w:p>
    <w:p>
      <w:pPr>
        <w:pStyle w:val="Body"/>
        <w:spacing w:after="140"/>
      </w:pPr>
      <w:r>
        <w:rPr>
          <w:rFonts w:ascii="Arial" w:cs="Arial" w:eastAsia="Arial" w:hAnsi="Arial"/>
          <w:color w:val="1F2937"/>
        </w:rPr>
        <w:t xml:space="preserve">For high-value enterprise clients, the same codebase can later support dedicated deployments if required by contract, data residency, or internal IT policy.</w:t>
      </w:r>
    </w:p>
    <w:p>
      <w:pPr>
        <w:pStyle w:val="Heading2"/>
      </w:pPr>
      <w:r>
        <w:rPr>
          <w:rFonts w:ascii="Arial" w:cs="Arial" w:eastAsia="Arial" w:hAnsi="Arial"/>
          <w:color w:val="1F2937"/>
        </w:rPr>
        <w:t xml:space="preserve">Tenant Isolation Rules</w:t>
      </w:r>
    </w:p>
    <w:p>
      <w:pPr>
        <w:pStyle w:val="Body"/>
        <w:spacing w:after="140"/>
      </w:pPr>
      <w:r>
        <w:rPr>
          <w:rFonts w:ascii="Arial" w:cs="Arial" w:eastAsia="Arial" w:hAnsi="Arial"/>
          <w:color w:val="1F2937"/>
        </w:rPr>
        <w:t xml:space="preserve">Tenant isolation must be enforced at the data and server layers, not only through UI hiding.</w:t>
      </w:r>
    </w:p>
    <w:p>
      <w:pPr>
        <w:pStyle w:val="Body"/>
        <w:numPr>
          <w:ilvl w:val="0"/>
          <w:numId w:val="2"/>
        </w:numPr>
        <w:spacing w:after="70"/>
      </w:pPr>
      <w:r>
        <w:rPr>
          <w:rFonts w:ascii="Arial" w:cs="Arial" w:eastAsia="Arial" w:hAnsi="Arial"/>
          <w:color w:val="1F2937"/>
        </w:rPr>
        <w:t xml:space="preserve">Database row-level security must scope data by tenant_id.</w:t>
      </w:r>
    </w:p>
    <w:p>
      <w:pPr>
        <w:pStyle w:val="Body"/>
        <w:numPr>
          <w:ilvl w:val="0"/>
          <w:numId w:val="2"/>
        </w:numPr>
        <w:spacing w:after="70"/>
      </w:pPr>
      <w:r>
        <w:rPr>
          <w:rFonts w:ascii="Arial" w:cs="Arial" w:eastAsia="Arial" w:hAnsi="Arial"/>
          <w:color w:val="1F2937"/>
        </w:rPr>
        <w:t xml:space="preserve">Server actions must validate the authenticated user's tenant.</w:t>
      </w:r>
    </w:p>
    <w:p>
      <w:pPr>
        <w:pStyle w:val="Body"/>
        <w:numPr>
          <w:ilvl w:val="0"/>
          <w:numId w:val="2"/>
        </w:numPr>
        <w:spacing w:after="70"/>
      </w:pPr>
      <w:r>
        <w:rPr>
          <w:rFonts w:ascii="Arial" w:cs="Arial" w:eastAsia="Arial" w:hAnsi="Arial"/>
          <w:color w:val="1F2937"/>
        </w:rPr>
        <w:t xml:space="preserve">Storage paths should include tenant identifiers.</w:t>
      </w:r>
    </w:p>
    <w:p>
      <w:pPr>
        <w:pStyle w:val="Body"/>
        <w:numPr>
          <w:ilvl w:val="0"/>
          <w:numId w:val="2"/>
        </w:numPr>
        <w:spacing w:after="70"/>
      </w:pPr>
      <w:r>
        <w:rPr>
          <w:rFonts w:ascii="Arial" w:cs="Arial" w:eastAsia="Arial" w:hAnsi="Arial"/>
          <w:color w:val="1F2937"/>
        </w:rPr>
        <w:t xml:space="preserve">Audit logs must record tenant context.</w:t>
      </w:r>
    </w:p>
    <w:p>
      <w:pPr>
        <w:pStyle w:val="Body"/>
        <w:numPr>
          <w:ilvl w:val="0"/>
          <w:numId w:val="2"/>
        </w:numPr>
        <w:spacing w:after="70"/>
      </w:pPr>
      <w:r>
        <w:rPr>
          <w:rFonts w:ascii="Arial" w:cs="Arial" w:eastAsia="Arial" w:hAnsi="Arial"/>
          <w:color w:val="1F2937"/>
        </w:rPr>
        <w:t xml:space="preserve">Feature access must be checked before protected actions run.</w:t>
      </w:r>
    </w:p>
    <w:p>
      <w:pPr>
        <w:pStyle w:val="Heading1"/>
      </w:pPr>
      <w:r>
        <w:rPr>
          <w:rFonts w:ascii="Arial" w:cs="Arial" w:eastAsia="Arial" w:hAnsi="Arial"/>
          <w:color w:val="1F2937"/>
        </w:rPr>
        <w:t xml:space="preserve">Tenant Configuration</w:t>
      </w:r>
    </w:p>
    <w:p>
      <w:pPr>
        <w:pStyle w:val="Body"/>
        <w:spacing w:after="140"/>
      </w:pPr>
      <w:r>
        <w:rPr>
          <w:rFonts w:ascii="Arial" w:cs="Arial" w:eastAsia="Arial" w:hAnsi="Arial"/>
          <w:color w:val="1F2937"/>
        </w:rPr>
        <w:t xml:space="preserve">Each tenant should be able to configure key operational settings without code changes. The department code work already moves the product in the right direction: department names remain human-readable, while codes become controlled document identity 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40"/>
          <w:bottom w:type="dxa" w:w="120"/>
          <w:right w:type="dxa" w:w="140"/>
        </w:tblCellMar>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Configuration Area</w:t>
            </w:r>
          </w:p>
        </w:tc>
        <w:tc>
          <w:tcPr>
            <w:tcW w:type="dxa" w:w="636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Recommended Settings</w:t>
            </w:r>
          </w:p>
        </w:tc>
      </w:tr>
      <w:tr>
        <w:tc>
          <w:tcPr>
            <w:tcW w:type="dxa" w:w="30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Identity and branding</w:t>
            </w:r>
          </w:p>
        </w:tc>
        <w:tc>
          <w:tcPr>
            <w:tcW w:type="dxa" w:w="636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Organization name</w:t>
            </w:r>
          </w:p>
          <w:p>
            <w:pPr>
              <w:pStyle w:val="Body"/>
              <w:numPr>
                <w:ilvl w:val="0"/>
                <w:numId w:val="3"/>
              </w:numPr>
              <w:spacing w:after="70"/>
            </w:pPr>
            <w:r>
              <w:rPr>
                <w:rFonts w:ascii="Arial" w:cs="Arial" w:eastAsia="Arial" w:hAnsi="Arial"/>
                <w:color w:val="1F2937"/>
              </w:rPr>
              <w:t xml:space="preserve">Logo and brand color</w:t>
            </w:r>
          </w:p>
          <w:p>
            <w:pPr>
              <w:pStyle w:val="Body"/>
              <w:numPr>
                <w:ilvl w:val="0"/>
                <w:numId w:val="3"/>
              </w:numPr>
              <w:spacing w:after="70"/>
            </w:pPr>
            <w:r>
              <w:rPr>
                <w:rFonts w:ascii="Arial" w:cs="Arial" w:eastAsia="Arial" w:hAnsi="Arial"/>
                <w:color w:val="1F2937"/>
              </w:rPr>
              <w:t xml:space="preserve">Default timezone</w:t>
            </w:r>
          </w:p>
          <w:p>
            <w:pPr>
              <w:pStyle w:val="Body"/>
              <w:numPr>
                <w:ilvl w:val="0"/>
                <w:numId w:val="3"/>
              </w:numPr>
              <w:spacing w:after="70"/>
            </w:pPr>
            <w:r>
              <w:rPr>
                <w:rFonts w:ascii="Arial" w:cs="Arial" w:eastAsia="Arial" w:hAnsi="Arial"/>
                <w:color w:val="1F2937"/>
              </w:rPr>
              <w:t xml:space="preserve">Date format</w:t>
            </w:r>
          </w:p>
        </w:tc>
      </w:tr>
      <w:tr>
        <w:tc>
          <w:tcPr>
            <w:tcW w:type="dxa" w:w="30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Controlled document setup</w:t>
            </w:r>
          </w:p>
        </w:tc>
        <w:tc>
          <w:tcPr>
            <w:tcW w:type="dxa" w:w="636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Department list</w:t>
            </w:r>
          </w:p>
          <w:p>
            <w:pPr>
              <w:pStyle w:val="Body"/>
              <w:numPr>
                <w:ilvl w:val="0"/>
                <w:numId w:val="3"/>
              </w:numPr>
              <w:spacing w:after="70"/>
            </w:pPr>
            <w:r>
              <w:rPr>
                <w:rFonts w:ascii="Arial" w:cs="Arial" w:eastAsia="Arial" w:hAnsi="Arial"/>
                <w:color w:val="1F2937"/>
              </w:rPr>
              <w:t xml:space="preserve">Department document codes</w:t>
            </w:r>
          </w:p>
          <w:p>
            <w:pPr>
              <w:pStyle w:val="Body"/>
              <w:numPr>
                <w:ilvl w:val="0"/>
                <w:numId w:val="3"/>
              </w:numPr>
              <w:spacing w:after="70"/>
            </w:pPr>
            <w:r>
              <w:rPr>
                <w:rFonts w:ascii="Arial" w:cs="Arial" w:eastAsia="Arial" w:hAnsi="Arial"/>
                <w:color w:val="1F2937"/>
              </w:rPr>
              <w:t xml:space="preserve">SOP numbering format</w:t>
            </w:r>
          </w:p>
          <w:p>
            <w:pPr>
              <w:pStyle w:val="Body"/>
              <w:numPr>
                <w:ilvl w:val="0"/>
                <w:numId w:val="3"/>
              </w:numPr>
              <w:spacing w:after="70"/>
            </w:pPr>
            <w:r>
              <w:rPr>
                <w:rFonts w:ascii="Arial" w:cs="Arial" w:eastAsia="Arial" w:hAnsi="Arial"/>
                <w:color w:val="1F2937"/>
              </w:rPr>
              <w:t xml:space="preserve">Change control numbering format</w:t>
            </w:r>
          </w:p>
          <w:p>
            <w:pPr>
              <w:pStyle w:val="Body"/>
              <w:numPr>
                <w:ilvl w:val="0"/>
                <w:numId w:val="3"/>
              </w:numPr>
              <w:spacing w:after="70"/>
            </w:pPr>
            <w:r>
              <w:rPr>
                <w:rFonts w:ascii="Arial" w:cs="Arial" w:eastAsia="Arial" w:hAnsi="Arial"/>
                <w:color w:val="1F2937"/>
              </w:rPr>
              <w:t xml:space="preserve">Default retention period</w:t>
            </w:r>
          </w:p>
          <w:p>
            <w:pPr>
              <w:pStyle w:val="Body"/>
              <w:numPr>
                <w:ilvl w:val="0"/>
                <w:numId w:val="3"/>
              </w:numPr>
              <w:spacing w:after="70"/>
            </w:pPr>
            <w:r>
              <w:rPr>
                <w:rFonts w:ascii="Arial" w:cs="Arial" w:eastAsia="Arial" w:hAnsi="Arial"/>
                <w:color w:val="1F2937"/>
              </w:rPr>
              <w:t xml:space="preserve">Default review cycle</w:t>
            </w:r>
          </w:p>
          <w:p>
            <w:pPr>
              <w:pStyle w:val="Body"/>
              <w:numPr>
                <w:ilvl w:val="0"/>
                <w:numId w:val="3"/>
              </w:numPr>
              <w:spacing w:after="70"/>
            </w:pPr>
            <w:r>
              <w:rPr>
                <w:rFonts w:ascii="Arial" w:cs="Arial" w:eastAsia="Arial" w:hAnsi="Arial"/>
                <w:color w:val="1F2937"/>
              </w:rPr>
              <w:t xml:space="preserve">QA department designation</w:t>
            </w:r>
          </w:p>
        </w:tc>
      </w:tr>
      <w:tr>
        <w:tc>
          <w:tcPr>
            <w:tcW w:type="dxa" w:w="30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Operations and limits</w:t>
            </w:r>
          </w:p>
        </w:tc>
        <w:tc>
          <w:tcPr>
            <w:tcW w:type="dxa" w:w="636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Notification defaults</w:t>
            </w:r>
          </w:p>
          <w:p>
            <w:pPr>
              <w:pStyle w:val="Body"/>
              <w:numPr>
                <w:ilvl w:val="0"/>
                <w:numId w:val="3"/>
              </w:numPr>
              <w:spacing w:after="70"/>
            </w:pPr>
            <w:r>
              <w:rPr>
                <w:rFonts w:ascii="Arial" w:cs="Arial" w:eastAsia="Arial" w:hAnsi="Arial"/>
                <w:color w:val="1F2937"/>
              </w:rPr>
              <w:t xml:space="preserve">Enabled modules</w:t>
            </w:r>
          </w:p>
          <w:p>
            <w:pPr>
              <w:pStyle w:val="Body"/>
              <w:numPr>
                <w:ilvl w:val="0"/>
                <w:numId w:val="3"/>
              </w:numPr>
              <w:spacing w:after="70"/>
            </w:pPr>
            <w:r>
              <w:rPr>
                <w:rFonts w:ascii="Arial" w:cs="Arial" w:eastAsia="Arial" w:hAnsi="Arial"/>
                <w:color w:val="1F2937"/>
              </w:rPr>
              <w:t xml:space="preserve">Storage limits</w:t>
            </w:r>
          </w:p>
          <w:p>
            <w:pPr>
              <w:pStyle w:val="Body"/>
              <w:numPr>
                <w:ilvl w:val="0"/>
                <w:numId w:val="3"/>
              </w:numPr>
              <w:spacing w:after="70"/>
            </w:pPr>
            <w:r>
              <w:rPr>
                <w:rFonts w:ascii="Arial" w:cs="Arial" w:eastAsia="Arial" w:hAnsi="Arial"/>
                <w:color w:val="1F2937"/>
              </w:rPr>
              <w:t xml:space="preserve">User limits</w:t>
            </w:r>
          </w:p>
        </w:tc>
      </w:tr>
    </w:tbl>
    <w:p>
      <w:pPr>
        <w:pStyle w:val="Heading1"/>
      </w:pPr>
      <w:r>
        <w:rPr>
          <w:rFonts w:ascii="Arial" w:cs="Arial" w:eastAsia="Arial" w:hAnsi="Arial"/>
          <w:color w:val="1F2937"/>
        </w:rPr>
        <w:t xml:space="preserve">Feature Entitlements</w:t>
      </w:r>
    </w:p>
    <w:p>
      <w:pPr>
        <w:pStyle w:val="Body"/>
        <w:spacing w:after="140"/>
      </w:pPr>
      <w:r>
        <w:rPr>
          <w:rFonts w:ascii="Arial" w:cs="Arial" w:eastAsia="Arial" w:hAnsi="Arial"/>
          <w:color w:val="1F2937"/>
        </w:rPr>
        <w:t xml:space="preserve">Feature packaging should be explicit in the database so that sales decisions are not hardcoded into the UI.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40"/>
          <w:bottom w:type="dxa" w:w="120"/>
          <w:right w:type="dxa" w:w="140"/>
        </w:tblCellMar>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Recommended Table</w:t>
            </w:r>
          </w:p>
        </w:tc>
        <w:tc>
          <w:tcPr>
            <w:tcW w:type="dxa" w:w="636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Purpose</w:t>
            </w:r>
          </w:p>
        </w:tc>
      </w:tr>
      <w:tr>
        <w:tc>
          <w:tcPr>
            <w:tcW w:type="dxa" w:w="30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features</w:t>
            </w:r>
          </w:p>
        </w:tc>
        <w:tc>
          <w:tcPr>
            <w:tcW w:type="dxa" w:w="63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Defines feature keys, display names, descriptions, categories, and billing behavior.</w:t>
            </w:r>
          </w:p>
        </w:tc>
      </w:tr>
      <w:tr>
        <w:tc>
          <w:tcPr>
            <w:tcW w:type="dxa" w:w="30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plans</w:t>
            </w:r>
          </w:p>
        </w:tc>
        <w:tc>
          <w:tcPr>
            <w:tcW w:type="dxa" w:w="63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Defines Core, Professional, Enterprise, and future package structures.</w:t>
            </w:r>
          </w:p>
        </w:tc>
      </w:tr>
      <w:tr>
        <w:tc>
          <w:tcPr>
            <w:tcW w:type="dxa" w:w="30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plan_features</w:t>
            </w:r>
          </w:p>
        </w:tc>
        <w:tc>
          <w:tcPr>
            <w:tcW w:type="dxa" w:w="63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Maps included features to each plan.</w:t>
            </w:r>
          </w:p>
        </w:tc>
      </w:tr>
      <w:tr>
        <w:tc>
          <w:tcPr>
            <w:tcW w:type="dxa" w:w="30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tenant_feature_entitlements</w:t>
            </w:r>
          </w:p>
        </w:tc>
        <w:tc>
          <w:tcPr>
            <w:tcW w:type="dxa" w:w="63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Controls tenant-specific access, add-ons, overrides, and exceptions.</w:t>
            </w:r>
          </w:p>
        </w:tc>
      </w:tr>
    </w:tbl>
    <w:p>
      <w:pPr>
        <w:pStyle w:val="Heading2"/>
      </w:pPr>
      <w:r>
        <w:rPr>
          <w:rFonts w:ascii="Arial" w:cs="Arial" w:eastAsia="Arial" w:hAnsi="Arial"/>
          <w:color w:val="1F2937"/>
        </w:rPr>
        <w:t xml:space="preserve">Example Feature Keys</w:t>
      </w:r>
    </w:p>
    <w:p>
      <w:pPr>
        <w:pStyle w:val="Body"/>
        <w:numPr>
          <w:ilvl w:val="0"/>
          <w:numId w:val="2"/>
        </w:numPr>
        <w:spacing w:after="70"/>
      </w:pPr>
      <w:r>
        <w:rPr>
          <w:rFonts w:ascii="Arial" w:cs="Arial" w:eastAsia="Arial" w:hAnsi="Arial"/>
          <w:color w:val="1F2937"/>
        </w:rPr>
        <w:t xml:space="preserve">sop_library</w:t>
      </w:r>
    </w:p>
    <w:p>
      <w:pPr>
        <w:pStyle w:val="Body"/>
        <w:numPr>
          <w:ilvl w:val="0"/>
          <w:numId w:val="2"/>
        </w:numPr>
        <w:spacing w:after="70"/>
      </w:pPr>
      <w:r>
        <w:rPr>
          <w:rFonts w:ascii="Arial" w:cs="Arial" w:eastAsia="Arial" w:hAnsi="Arial"/>
          <w:color w:val="1F2937"/>
        </w:rPr>
        <w:t xml:space="preserve">sop_approvals</w:t>
      </w:r>
    </w:p>
    <w:p>
      <w:pPr>
        <w:pStyle w:val="Body"/>
        <w:numPr>
          <w:ilvl w:val="0"/>
          <w:numId w:val="2"/>
        </w:numPr>
        <w:spacing w:after="70"/>
      </w:pPr>
      <w:r>
        <w:rPr>
          <w:rFonts w:ascii="Arial" w:cs="Arial" w:eastAsia="Arial" w:hAnsi="Arial"/>
          <w:color w:val="1F2937"/>
        </w:rPr>
        <w:t xml:space="preserve">document_numbering</w:t>
      </w:r>
    </w:p>
    <w:p>
      <w:pPr>
        <w:pStyle w:val="Body"/>
        <w:numPr>
          <w:ilvl w:val="0"/>
          <w:numId w:val="2"/>
        </w:numPr>
        <w:spacing w:after="70"/>
      </w:pPr>
      <w:r>
        <w:rPr>
          <w:rFonts w:ascii="Arial" w:cs="Arial" w:eastAsia="Arial" w:hAnsi="Arial"/>
          <w:color w:val="1F2937"/>
        </w:rPr>
        <w:t xml:space="preserve">master_index</w:t>
      </w:r>
    </w:p>
    <w:p>
      <w:pPr>
        <w:pStyle w:val="Body"/>
        <w:numPr>
          <w:ilvl w:val="0"/>
          <w:numId w:val="2"/>
        </w:numPr>
        <w:spacing w:after="70"/>
      </w:pPr>
      <w:r>
        <w:rPr>
          <w:rFonts w:ascii="Arial" w:cs="Arial" w:eastAsia="Arial" w:hAnsi="Arial"/>
          <w:color w:val="1F2937"/>
        </w:rPr>
        <w:t xml:space="preserve">change_control_basic</w:t>
      </w:r>
    </w:p>
    <w:p>
      <w:pPr>
        <w:pStyle w:val="Body"/>
        <w:numPr>
          <w:ilvl w:val="0"/>
          <w:numId w:val="2"/>
        </w:numPr>
        <w:spacing w:after="70"/>
      </w:pPr>
      <w:r>
        <w:rPr>
          <w:rFonts w:ascii="Arial" w:cs="Arial" w:eastAsia="Arial" w:hAnsi="Arial"/>
          <w:color w:val="1F2937"/>
        </w:rPr>
        <w:t xml:space="preserve">change_control_multi_document</w:t>
      </w:r>
    </w:p>
    <w:p>
      <w:pPr>
        <w:pStyle w:val="Body"/>
        <w:numPr>
          <w:ilvl w:val="0"/>
          <w:numId w:val="2"/>
        </w:numPr>
        <w:spacing w:after="70"/>
      </w:pPr>
      <w:r>
        <w:rPr>
          <w:rFonts w:ascii="Arial" w:cs="Arial" w:eastAsia="Arial" w:hAnsi="Arial"/>
          <w:color w:val="1F2937"/>
        </w:rPr>
        <w:t xml:space="preserve">training_compliance</w:t>
      </w:r>
    </w:p>
    <w:p>
      <w:pPr>
        <w:pStyle w:val="Body"/>
        <w:numPr>
          <w:ilvl w:val="0"/>
          <w:numId w:val="2"/>
        </w:numPr>
        <w:spacing w:after="70"/>
      </w:pPr>
      <w:r>
        <w:rPr>
          <w:rFonts w:ascii="Arial" w:cs="Arial" w:eastAsia="Arial" w:hAnsi="Arial"/>
          <w:color w:val="1F2937"/>
        </w:rPr>
        <w:t xml:space="preserve">equipment_pm</w:t>
      </w:r>
    </w:p>
    <w:p>
      <w:pPr>
        <w:pStyle w:val="Body"/>
        <w:numPr>
          <w:ilvl w:val="0"/>
          <w:numId w:val="2"/>
        </w:numPr>
        <w:spacing w:after="70"/>
      </w:pPr>
      <w:r>
        <w:rPr>
          <w:rFonts w:ascii="Arial" w:cs="Arial" w:eastAsia="Arial" w:hAnsi="Arial"/>
          <w:color w:val="1F2937"/>
        </w:rPr>
        <w:t xml:space="preserve">request_forms</w:t>
      </w:r>
    </w:p>
    <w:p>
      <w:pPr>
        <w:pStyle w:val="Body"/>
        <w:numPr>
          <w:ilvl w:val="0"/>
          <w:numId w:val="2"/>
        </w:numPr>
        <w:spacing w:after="70"/>
      </w:pPr>
      <w:r>
        <w:rPr>
          <w:rFonts w:ascii="Arial" w:cs="Arial" w:eastAsia="Arial" w:hAnsi="Arial"/>
          <w:color w:val="1F2937"/>
        </w:rPr>
        <w:t xml:space="preserve">ai_delta_summary</w:t>
      </w:r>
    </w:p>
    <w:p>
      <w:pPr>
        <w:pStyle w:val="Body"/>
        <w:numPr>
          <w:ilvl w:val="0"/>
          <w:numId w:val="2"/>
        </w:numPr>
        <w:spacing w:after="70"/>
      </w:pPr>
      <w:r>
        <w:rPr>
          <w:rFonts w:ascii="Arial" w:cs="Arial" w:eastAsia="Arial" w:hAnsi="Arial"/>
          <w:color w:val="1F2937"/>
        </w:rPr>
        <w:t xml:space="preserve">ai_risk_insights</w:t>
      </w:r>
    </w:p>
    <w:p>
      <w:pPr>
        <w:pStyle w:val="Body"/>
        <w:numPr>
          <w:ilvl w:val="0"/>
          <w:numId w:val="2"/>
        </w:numPr>
        <w:spacing w:after="70"/>
      </w:pPr>
      <w:r>
        <w:rPr>
          <w:rFonts w:ascii="Arial" w:cs="Arial" w:eastAsia="Arial" w:hAnsi="Arial"/>
          <w:color w:val="1F2937"/>
        </w:rPr>
        <w:t xml:space="preserve">advanced_reports</w:t>
      </w:r>
    </w:p>
    <w:p>
      <w:pPr>
        <w:pStyle w:val="Body"/>
        <w:numPr>
          <w:ilvl w:val="0"/>
          <w:numId w:val="2"/>
        </w:numPr>
        <w:spacing w:after="70"/>
      </w:pPr>
      <w:r>
        <w:rPr>
          <w:rFonts w:ascii="Arial" w:cs="Arial" w:eastAsia="Arial" w:hAnsi="Arial"/>
          <w:color w:val="1F2937"/>
        </w:rPr>
        <w:t xml:space="preserve">controlled_copies</w:t>
      </w:r>
    </w:p>
    <w:p>
      <w:pPr>
        <w:pStyle w:val="Body"/>
        <w:numPr>
          <w:ilvl w:val="0"/>
          <w:numId w:val="2"/>
        </w:numPr>
        <w:spacing w:after="70"/>
      </w:pPr>
      <w:r>
        <w:rPr>
          <w:rFonts w:ascii="Arial" w:cs="Arial" w:eastAsia="Arial" w:hAnsi="Arial"/>
          <w:color w:val="1F2937"/>
        </w:rPr>
        <w:t xml:space="preserve">auditor_portal</w:t>
      </w:r>
    </w:p>
    <w:p>
      <w:pPr>
        <w:pStyle w:val="Body"/>
        <w:numPr>
          <w:ilvl w:val="0"/>
          <w:numId w:val="2"/>
        </w:numPr>
        <w:spacing w:after="70"/>
      </w:pPr>
      <w:r>
        <w:rPr>
          <w:rFonts w:ascii="Arial" w:cs="Arial" w:eastAsia="Arial" w:hAnsi="Arial"/>
          <w:color w:val="1F2937"/>
        </w:rPr>
        <w:t xml:space="preserve">api_access</w:t>
      </w:r>
    </w:p>
    <w:p>
      <w:pPr>
        <w:pStyle w:val="Body"/>
        <w:numPr>
          <w:ilvl w:val="0"/>
          <w:numId w:val="2"/>
        </w:numPr>
        <w:spacing w:after="70"/>
      </w:pPr>
      <w:r>
        <w:rPr>
          <w:rFonts w:ascii="Arial" w:cs="Arial" w:eastAsia="Arial" w:hAnsi="Arial"/>
          <w:color w:val="1F2937"/>
        </w:rPr>
        <w:t xml:space="preserve">white_label_branding</w:t>
      </w:r>
    </w:p>
    <w:p>
      <w:pPr>
        <w:pStyle w:val="Heading1"/>
      </w:pPr>
      <w:r>
        <w:rPr>
          <w:rFonts w:ascii="Arial" w:cs="Arial" w:eastAsia="Arial" w:hAnsi="Arial"/>
          <w:color w:val="1F2937"/>
        </w:rPr>
        <w:t xml:space="preserve">Basic vs Premium Boundary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40"/>
          <w:bottom w:type="dxa" w:w="120"/>
          <w:right w:type="dxa" w:w="140"/>
        </w:tblCellMar>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Basic Package</w:t>
            </w:r>
          </w:p>
        </w:tc>
        <w:tc>
          <w:tcPr>
            <w:tcW w:type="dxa" w:w="468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Premium Capabilities</w:t>
            </w:r>
          </w:p>
        </w:tc>
      </w:tr>
      <w:tr>
        <w:tc>
          <w:tcPr>
            <w:tcW w:type="dxa" w:w="4680"/>
            <w:tcBorders>
              <w:top w:val="single" w:color="CBD5E1" w:sz="1"/>
              <w:left w:val="single" w:color="CBD5E1" w:sz="1"/>
              <w:bottom w:val="single" w:color="CBD5E1" w:sz="1"/>
              <w:right w:val="single" w:color="CBD5E1" w:sz="1"/>
            </w:tcBorders>
            <w:shd w:fill="F8FAFC" w:val="clear"/>
            <w:vAlign w:val="top"/>
          </w:tcPr>
          <w:p>
            <w:pPr>
              <w:pStyle w:val="Body"/>
              <w:numPr>
                <w:ilvl w:val="0"/>
                <w:numId w:val="3"/>
              </w:numPr>
              <w:spacing w:after="70"/>
            </w:pPr>
            <w:r>
              <w:rPr>
                <w:rFonts w:ascii="Arial" w:cs="Arial" w:eastAsia="Arial" w:hAnsi="Arial"/>
                <w:color w:val="1F2937"/>
              </w:rPr>
              <w:t xml:space="preserve">User accounts</w:t>
            </w:r>
          </w:p>
          <w:p>
            <w:pPr>
              <w:pStyle w:val="Body"/>
              <w:numPr>
                <w:ilvl w:val="0"/>
                <w:numId w:val="3"/>
              </w:numPr>
              <w:spacing w:after="70"/>
            </w:pPr>
            <w:r>
              <w:rPr>
                <w:rFonts w:ascii="Arial" w:cs="Arial" w:eastAsia="Arial" w:hAnsi="Arial"/>
                <w:color w:val="1F2937"/>
              </w:rPr>
              <w:t xml:space="preserve">Departments and department codes</w:t>
            </w:r>
          </w:p>
          <w:p>
            <w:pPr>
              <w:pStyle w:val="Body"/>
              <w:numPr>
                <w:ilvl w:val="0"/>
                <w:numId w:val="3"/>
              </w:numPr>
              <w:spacing w:after="70"/>
            </w:pPr>
            <w:r>
              <w:rPr>
                <w:rFonts w:ascii="Arial" w:cs="Arial" w:eastAsia="Arial" w:hAnsi="Arial"/>
                <w:color w:val="1F2937"/>
              </w:rPr>
              <w:t xml:space="preserve">SOP Library and SOP upload</w:t>
            </w:r>
          </w:p>
          <w:p>
            <w:pPr>
              <w:pStyle w:val="Body"/>
              <w:numPr>
                <w:ilvl w:val="0"/>
                <w:numId w:val="3"/>
              </w:numPr>
              <w:spacing w:after="70"/>
            </w:pPr>
            <w:r>
              <w:rPr>
                <w:rFonts w:ascii="Arial" w:cs="Arial" w:eastAsia="Arial" w:hAnsi="Arial"/>
                <w:color w:val="1F2937"/>
              </w:rPr>
              <w:t xml:space="preserve">HOD/QA approval flow</w:t>
            </w:r>
          </w:p>
          <w:p>
            <w:pPr>
              <w:pStyle w:val="Body"/>
              <w:numPr>
                <w:ilvl w:val="0"/>
                <w:numId w:val="3"/>
              </w:numPr>
              <w:spacing w:after="70"/>
            </w:pPr>
            <w:r>
              <w:rPr>
                <w:rFonts w:ascii="Arial" w:cs="Arial" w:eastAsia="Arial" w:hAnsi="Arial"/>
                <w:color w:val="1F2937"/>
              </w:rPr>
              <w:t xml:space="preserve">Master Index</w:t>
            </w:r>
          </w:p>
          <w:p>
            <w:pPr>
              <w:pStyle w:val="Body"/>
              <w:numPr>
                <w:ilvl w:val="0"/>
                <w:numId w:val="3"/>
              </w:numPr>
              <w:spacing w:after="70"/>
            </w:pPr>
            <w:r>
              <w:rPr>
                <w:rFonts w:ascii="Arial" w:cs="Arial" w:eastAsia="Arial" w:hAnsi="Arial"/>
                <w:color w:val="1F2937"/>
              </w:rPr>
              <w:t xml:space="preserve">Structured SOP numbering</w:t>
            </w:r>
          </w:p>
          <w:p>
            <w:pPr>
              <w:pStyle w:val="Body"/>
              <w:numPr>
                <w:ilvl w:val="0"/>
                <w:numId w:val="3"/>
              </w:numPr>
              <w:spacing w:after="70"/>
            </w:pPr>
            <w:r>
              <w:rPr>
                <w:rFonts w:ascii="Arial" w:cs="Arial" w:eastAsia="Arial" w:hAnsi="Arial"/>
                <w:color w:val="1F2937"/>
              </w:rPr>
              <w:t xml:space="preserve">Basic revision tracking</w:t>
            </w:r>
          </w:p>
          <w:p>
            <w:pPr>
              <w:pStyle w:val="Body"/>
              <w:numPr>
                <w:ilvl w:val="0"/>
                <w:numId w:val="3"/>
              </w:numPr>
              <w:spacing w:after="70"/>
            </w:pPr>
            <w:r>
              <w:rPr>
                <w:rFonts w:ascii="Arial" w:cs="Arial" w:eastAsia="Arial" w:hAnsi="Arial"/>
                <w:color w:val="1F2937"/>
              </w:rPr>
              <w:t xml:space="preserve">Basic one-document change control</w:t>
            </w:r>
          </w:p>
          <w:p>
            <w:pPr>
              <w:pStyle w:val="Body"/>
              <w:numPr>
                <w:ilvl w:val="0"/>
                <w:numId w:val="3"/>
              </w:numPr>
              <w:spacing w:after="70"/>
            </w:pPr>
            <w:r>
              <w:rPr>
                <w:rFonts w:ascii="Arial" w:cs="Arial" w:eastAsia="Arial" w:hAnsi="Arial"/>
                <w:color w:val="1F2937"/>
              </w:rPr>
              <w:t xml:space="preserve">Audit trail</w:t>
            </w:r>
          </w:p>
          <w:p>
            <w:pPr>
              <w:pStyle w:val="Body"/>
              <w:numPr>
                <w:ilvl w:val="0"/>
                <w:numId w:val="3"/>
              </w:numPr>
              <w:spacing w:after="70"/>
            </w:pPr>
            <w:r>
              <w:rPr>
                <w:rFonts w:ascii="Arial" w:cs="Arial" w:eastAsia="Arial" w:hAnsi="Arial"/>
                <w:color w:val="1F2937"/>
              </w:rPr>
              <w:t xml:space="preserve">Dashboard core KPIs</w:t>
            </w:r>
          </w:p>
          <w:p>
            <w:pPr>
              <w:pStyle w:val="Body"/>
              <w:numPr>
                <w:ilvl w:val="0"/>
                <w:numId w:val="3"/>
              </w:numPr>
              <w:spacing w:after="70"/>
            </w:pPr>
            <w:r>
              <w:rPr>
                <w:rFonts w:ascii="Arial" w:cs="Arial" w:eastAsia="Arial" w:hAnsi="Arial"/>
                <w:color w:val="1F2937"/>
              </w:rPr>
              <w:t xml:space="preserve">Basic notifications</w:t>
            </w:r>
          </w:p>
          <w:p>
            <w:pPr>
              <w:pStyle w:val="Body"/>
              <w:numPr>
                <w:ilvl w:val="0"/>
                <w:numId w:val="3"/>
              </w:numPr>
              <w:spacing w:after="70"/>
            </w:pPr>
            <w:r>
              <w:rPr>
                <w:rFonts w:ascii="Arial" w:cs="Arial" w:eastAsia="Arial" w:hAnsi="Arial"/>
                <w:color w:val="1F2937"/>
              </w:rPr>
              <w:t xml:space="preserve">Settings and admin basics</w:t>
            </w:r>
          </w:p>
          <w:p>
            <w:pPr>
              <w:pStyle w:val="Body"/>
              <w:numPr>
                <w:ilvl w:val="0"/>
                <w:numId w:val="3"/>
              </w:numPr>
              <w:spacing w:after="70"/>
            </w:pPr>
            <w:r>
              <w:rPr>
                <w:rFonts w:ascii="Arial" w:cs="Arial" w:eastAsia="Arial" w:hAnsi="Arial"/>
                <w:color w:val="1F2937"/>
              </w:rPr>
              <w:t xml:space="preserve">PWA access</w:t>
            </w:r>
          </w:p>
        </w:tc>
        <w:tc>
          <w:tcPr>
            <w:tcW w:type="dxa" w:w="468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Multi-document change control</w:t>
            </w:r>
          </w:p>
          <w:p>
            <w:pPr>
              <w:pStyle w:val="Body"/>
              <w:numPr>
                <w:ilvl w:val="0"/>
                <w:numId w:val="3"/>
              </w:numPr>
              <w:spacing w:after="70"/>
            </w:pPr>
            <w:r>
              <w:rPr>
                <w:rFonts w:ascii="Arial" w:cs="Arial" w:eastAsia="Arial" w:hAnsi="Arial"/>
                <w:color w:val="1F2937"/>
              </w:rPr>
              <w:t xml:space="preserve">Advanced change control lifecycle</w:t>
            </w:r>
          </w:p>
          <w:p>
            <w:pPr>
              <w:pStyle w:val="Body"/>
              <w:numPr>
                <w:ilvl w:val="0"/>
                <w:numId w:val="3"/>
              </w:numPr>
              <w:spacing w:after="70"/>
            </w:pPr>
            <w:r>
              <w:rPr>
                <w:rFonts w:ascii="Arial" w:cs="Arial" w:eastAsia="Arial" w:hAnsi="Arial"/>
                <w:color w:val="1F2937"/>
              </w:rPr>
              <w:t xml:space="preserve">Training compliance</w:t>
            </w:r>
          </w:p>
          <w:p>
            <w:pPr>
              <w:pStyle w:val="Body"/>
              <w:numPr>
                <w:ilvl w:val="0"/>
                <w:numId w:val="3"/>
              </w:numPr>
              <w:spacing w:after="70"/>
            </w:pPr>
            <w:r>
              <w:rPr>
                <w:rFonts w:ascii="Arial" w:cs="Arial" w:eastAsia="Arial" w:hAnsi="Arial"/>
                <w:color w:val="1F2937"/>
              </w:rPr>
              <w:t xml:space="preserve">Equipment and preventive maintenance</w:t>
            </w:r>
          </w:p>
          <w:p>
            <w:pPr>
              <w:pStyle w:val="Body"/>
              <w:numPr>
                <w:ilvl w:val="0"/>
                <w:numId w:val="3"/>
              </w:numPr>
              <w:spacing w:after="70"/>
            </w:pPr>
            <w:r>
              <w:rPr>
                <w:rFonts w:ascii="Arial" w:cs="Arial" w:eastAsia="Arial" w:hAnsi="Arial"/>
                <w:color w:val="1F2937"/>
              </w:rPr>
              <w:t xml:space="preserve">Advanced request hub</w:t>
            </w:r>
          </w:p>
          <w:p>
            <w:pPr>
              <w:pStyle w:val="Body"/>
              <w:numPr>
                <w:ilvl w:val="0"/>
                <w:numId w:val="3"/>
              </w:numPr>
              <w:spacing w:after="70"/>
            </w:pPr>
            <w:r>
              <w:rPr>
                <w:rFonts w:ascii="Arial" w:cs="Arial" w:eastAsia="Arial" w:hAnsi="Arial"/>
                <w:color w:val="1F2937"/>
              </w:rPr>
              <w:t xml:space="preserve">AI document support</w:t>
            </w:r>
          </w:p>
          <w:p>
            <w:pPr>
              <w:pStyle w:val="Body"/>
              <w:numPr>
                <w:ilvl w:val="0"/>
                <w:numId w:val="3"/>
              </w:numPr>
              <w:spacing w:after="70"/>
            </w:pPr>
            <w:r>
              <w:rPr>
                <w:rFonts w:ascii="Arial" w:cs="Arial" w:eastAsia="Arial" w:hAnsi="Arial"/>
                <w:color w:val="1F2937"/>
              </w:rPr>
              <w:t xml:space="preserve">Advanced reporting</w:t>
            </w:r>
          </w:p>
          <w:p>
            <w:pPr>
              <w:pStyle w:val="Body"/>
              <w:numPr>
                <w:ilvl w:val="0"/>
                <w:numId w:val="3"/>
              </w:numPr>
              <w:spacing w:after="70"/>
            </w:pPr>
            <w:r>
              <w:rPr>
                <w:rFonts w:ascii="Arial" w:cs="Arial" w:eastAsia="Arial" w:hAnsi="Arial"/>
                <w:color w:val="1F2937"/>
              </w:rPr>
              <w:t xml:space="preserve">Controlled copy management</w:t>
            </w:r>
          </w:p>
          <w:p>
            <w:pPr>
              <w:pStyle w:val="Body"/>
              <w:numPr>
                <w:ilvl w:val="0"/>
                <w:numId w:val="3"/>
              </w:numPr>
              <w:spacing w:after="70"/>
            </w:pPr>
            <w:r>
              <w:rPr>
                <w:rFonts w:ascii="Arial" w:cs="Arial" w:eastAsia="Arial" w:hAnsi="Arial"/>
                <w:color w:val="1F2937"/>
              </w:rPr>
              <w:t xml:space="preserve">Retention and destruction workflows</w:t>
            </w:r>
          </w:p>
          <w:p>
            <w:pPr>
              <w:pStyle w:val="Body"/>
              <w:numPr>
                <w:ilvl w:val="0"/>
                <w:numId w:val="3"/>
              </w:numPr>
              <w:spacing w:after="70"/>
            </w:pPr>
            <w:r>
              <w:rPr>
                <w:rFonts w:ascii="Arial" w:cs="Arial" w:eastAsia="Arial" w:hAnsi="Arial"/>
                <w:color w:val="1F2937"/>
              </w:rPr>
              <w:t xml:space="preserve">Auditor portal</w:t>
            </w:r>
          </w:p>
          <w:p>
            <w:pPr>
              <w:pStyle w:val="Body"/>
              <w:numPr>
                <w:ilvl w:val="0"/>
                <w:numId w:val="3"/>
              </w:numPr>
              <w:spacing w:after="70"/>
            </w:pPr>
            <w:r>
              <w:rPr>
                <w:rFonts w:ascii="Arial" w:cs="Arial" w:eastAsia="Arial" w:hAnsi="Arial"/>
                <w:color w:val="1F2937"/>
              </w:rPr>
              <w:t xml:space="preserve">Multi-site governance</w:t>
            </w:r>
          </w:p>
          <w:p>
            <w:pPr>
              <w:pStyle w:val="Body"/>
              <w:numPr>
                <w:ilvl w:val="0"/>
                <w:numId w:val="3"/>
              </w:numPr>
              <w:spacing w:after="70"/>
            </w:pPr>
            <w:r>
              <w:rPr>
                <w:rFonts w:ascii="Arial" w:cs="Arial" w:eastAsia="Arial" w:hAnsi="Arial"/>
                <w:color w:val="1F2937"/>
              </w:rPr>
              <w:t xml:space="preserve">Integrations and API access</w:t>
            </w:r>
          </w:p>
          <w:p>
            <w:pPr>
              <w:pStyle w:val="Body"/>
              <w:numPr>
                <w:ilvl w:val="0"/>
                <w:numId w:val="3"/>
              </w:numPr>
              <w:spacing w:after="70"/>
            </w:pPr>
            <w:r>
              <w:rPr>
                <w:rFonts w:ascii="Arial" w:cs="Arial" w:eastAsia="Arial" w:hAnsi="Arial"/>
                <w:color w:val="1F2937"/>
              </w:rPr>
              <w:t xml:space="preserve">White-label branding</w:t>
            </w:r>
          </w:p>
          <w:p>
            <w:pPr>
              <w:pStyle w:val="Body"/>
              <w:numPr>
                <w:ilvl w:val="0"/>
                <w:numId w:val="3"/>
              </w:numPr>
              <w:spacing w:after="70"/>
            </w:pPr>
            <w:r>
              <w:rPr>
                <w:rFonts w:ascii="Arial" w:cs="Arial" w:eastAsia="Arial" w:hAnsi="Arial"/>
                <w:color w:val="1F2937"/>
              </w:rPr>
              <w:t xml:space="preserve">Enterprise security features</w:t>
            </w:r>
          </w:p>
        </w:tc>
      </w:tr>
    </w:tbl>
    <w:p>
      <w:pPr>
        <w:pStyle w:val="Body"/>
        <w:spacing w:after="140"/>
      </w:pPr>
      <w:r>
        <w:rPr>
          <w:rFonts w:ascii="Arial" w:cs="Arial" w:eastAsia="Arial" w:hAnsi="Arial"/>
          <w:color w:val="1F2937"/>
        </w:rPr>
        <w:t xml:space="preserve">The basic package should be strong enough for a small company to run document control properly. Premium should not feel like arbitrary restriction; it should feel like higher operational power.</w:t>
      </w:r>
    </w:p>
    <w:p>
      <w:pPr>
        <w:pStyle w:val="Heading1"/>
      </w:pPr>
      <w:r>
        <w:rPr>
          <w:rFonts w:ascii="Arial" w:cs="Arial" w:eastAsia="Arial" w:hAnsi="Arial"/>
          <w:color w:val="1F2937"/>
        </w:rPr>
        <w:t xml:space="preserve">Recommended Packaging Strategy</w:t>
      </w:r>
    </w:p>
    <w:p>
      <w:pPr>
        <w:pStyle w:val="Body"/>
        <w:spacing w:after="140"/>
      </w:pPr>
      <w:r>
        <w:rPr>
          <w:rFonts w:ascii="Arial" w:cs="Arial" w:eastAsia="Arial" w:hAnsi="Arial"/>
          <w:color w:val="1F2937"/>
        </w:rPr>
        <w:t xml:space="preserve">The best commercial model is a hybrid of tiers and add-ons. Tiers make buying simple. Add-ons let clients expand without forcing them into an oversized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40"/>
          <w:bottom w:type="dxa" w:w="120"/>
          <w:right w:type="dxa" w:w="140"/>
        </w:tblCellMar>
      </w:tblPr>
      <w:tblGrid>
        <w:gridCol w:w="1600"/>
        <w:gridCol w:w="2300"/>
        <w:gridCol w:w="3000"/>
        <w:gridCol w:w="2460"/>
      </w:tblGrid>
      <w:tr>
        <w:trPr>
          <w:tblHeader/>
        </w:trPr>
        <w:tc>
          <w:tcPr>
            <w:tcW w:type="dxa" w:w="160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Tier</w:t>
            </w:r>
          </w:p>
        </w:tc>
        <w:tc>
          <w:tcPr>
            <w:tcW w:type="dxa" w:w="230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Target Clients</w:t>
            </w:r>
          </w:p>
        </w:tc>
        <w:tc>
          <w:tcPr>
            <w:tcW w:type="dxa" w:w="300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Included Capabilities</w:t>
            </w:r>
          </w:p>
        </w:tc>
        <w:tc>
          <w:tcPr>
            <w:tcW w:type="dxa" w:w="246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Value Statement</w:t>
            </w:r>
          </w:p>
        </w:tc>
      </w:tr>
      <w:tr>
        <w:tc>
          <w:tcPr>
            <w:tcW w:type="dxa" w:w="16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Core QMS</w:t>
            </w:r>
          </w:p>
        </w:tc>
        <w:tc>
          <w:tcPr>
            <w:tcW w:type="dxa" w:w="230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Small manufacturers</w:t>
            </w:r>
          </w:p>
          <w:p>
            <w:pPr>
              <w:pStyle w:val="Body"/>
              <w:numPr>
                <w:ilvl w:val="0"/>
                <w:numId w:val="3"/>
              </w:numPr>
              <w:spacing w:after="70"/>
            </w:pPr>
            <w:r>
              <w:rPr>
                <w:rFonts w:ascii="Arial" w:cs="Arial" w:eastAsia="Arial" w:hAnsi="Arial"/>
                <w:color w:val="1F2937"/>
              </w:rPr>
              <w:t xml:space="preserve">Small labs</w:t>
            </w:r>
          </w:p>
          <w:p>
            <w:pPr>
              <w:pStyle w:val="Body"/>
              <w:numPr>
                <w:ilvl w:val="0"/>
                <w:numId w:val="3"/>
              </w:numPr>
              <w:spacing w:after="70"/>
            </w:pPr>
            <w:r>
              <w:rPr>
                <w:rFonts w:ascii="Arial" w:cs="Arial" w:eastAsia="Arial" w:hAnsi="Arial"/>
                <w:color w:val="1F2937"/>
              </w:rPr>
              <w:t xml:space="preserve">Startups preparing for compliance</w:t>
            </w:r>
          </w:p>
          <w:p>
            <w:pPr>
              <w:pStyle w:val="Body"/>
              <w:numPr>
                <w:ilvl w:val="0"/>
                <w:numId w:val="3"/>
              </w:numPr>
              <w:spacing w:after="70"/>
            </w:pPr>
            <w:r>
              <w:rPr>
                <w:rFonts w:ascii="Arial" w:cs="Arial" w:eastAsia="Arial" w:hAnsi="Arial"/>
                <w:color w:val="1F2937"/>
              </w:rPr>
              <w:t xml:space="preserve">Companies moving away from spreadsheets and shared folders</w:t>
            </w:r>
          </w:p>
        </w:tc>
        <w:tc>
          <w:tcPr>
            <w:tcW w:type="dxa" w:w="300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SOP Library</w:t>
            </w:r>
          </w:p>
          <w:p>
            <w:pPr>
              <w:pStyle w:val="Body"/>
              <w:numPr>
                <w:ilvl w:val="0"/>
                <w:numId w:val="3"/>
              </w:numPr>
              <w:spacing w:after="70"/>
            </w:pPr>
            <w:r>
              <w:rPr>
                <w:rFonts w:ascii="Arial" w:cs="Arial" w:eastAsia="Arial" w:hAnsi="Arial"/>
                <w:color w:val="1F2937"/>
              </w:rPr>
              <w:t xml:space="preserve">SOP approvals</w:t>
            </w:r>
          </w:p>
          <w:p>
            <w:pPr>
              <w:pStyle w:val="Body"/>
              <w:numPr>
                <w:ilvl w:val="0"/>
                <w:numId w:val="3"/>
              </w:numPr>
              <w:spacing w:after="70"/>
            </w:pPr>
            <w:r>
              <w:rPr>
                <w:rFonts w:ascii="Arial" w:cs="Arial" w:eastAsia="Arial" w:hAnsi="Arial"/>
                <w:color w:val="1F2937"/>
              </w:rPr>
              <w:t xml:space="preserve">Department setup and codes</w:t>
            </w:r>
          </w:p>
          <w:p>
            <w:pPr>
              <w:pStyle w:val="Body"/>
              <w:numPr>
                <w:ilvl w:val="0"/>
                <w:numId w:val="3"/>
              </w:numPr>
              <w:spacing w:after="70"/>
            </w:pPr>
            <w:r>
              <w:rPr>
                <w:rFonts w:ascii="Arial" w:cs="Arial" w:eastAsia="Arial" w:hAnsi="Arial"/>
                <w:color w:val="1F2937"/>
              </w:rPr>
              <w:t xml:space="preserve">SOP numbering</w:t>
            </w:r>
          </w:p>
          <w:p>
            <w:pPr>
              <w:pStyle w:val="Body"/>
              <w:numPr>
                <w:ilvl w:val="0"/>
                <w:numId w:val="3"/>
              </w:numPr>
              <w:spacing w:after="70"/>
            </w:pPr>
            <w:r>
              <w:rPr>
                <w:rFonts w:ascii="Arial" w:cs="Arial" w:eastAsia="Arial" w:hAnsi="Arial"/>
                <w:color w:val="1F2937"/>
              </w:rPr>
              <w:t xml:space="preserve">Master Index</w:t>
            </w:r>
          </w:p>
          <w:p>
            <w:pPr>
              <w:pStyle w:val="Body"/>
              <w:numPr>
                <w:ilvl w:val="0"/>
                <w:numId w:val="3"/>
              </w:numPr>
              <w:spacing w:after="70"/>
            </w:pPr>
            <w:r>
              <w:rPr>
                <w:rFonts w:ascii="Arial" w:cs="Arial" w:eastAsia="Arial" w:hAnsi="Arial"/>
                <w:color w:val="1F2937"/>
              </w:rPr>
              <w:t xml:space="preserve">Basic change control</w:t>
            </w:r>
          </w:p>
          <w:p>
            <w:pPr>
              <w:pStyle w:val="Body"/>
              <w:numPr>
                <w:ilvl w:val="0"/>
                <w:numId w:val="3"/>
              </w:numPr>
              <w:spacing w:after="70"/>
            </w:pPr>
            <w:r>
              <w:rPr>
                <w:rFonts w:ascii="Arial" w:cs="Arial" w:eastAsia="Arial" w:hAnsi="Arial"/>
                <w:color w:val="1F2937"/>
              </w:rPr>
              <w:t xml:space="preserve">Basic dashboard</w:t>
            </w:r>
          </w:p>
          <w:p>
            <w:pPr>
              <w:pStyle w:val="Body"/>
              <w:numPr>
                <w:ilvl w:val="0"/>
                <w:numId w:val="3"/>
              </w:numPr>
              <w:spacing w:after="70"/>
            </w:pPr>
            <w:r>
              <w:rPr>
                <w:rFonts w:ascii="Arial" w:cs="Arial" w:eastAsia="Arial" w:hAnsi="Arial"/>
                <w:color w:val="1F2937"/>
              </w:rPr>
              <w:t xml:space="preserve">Audit trail</w:t>
            </w:r>
          </w:p>
          <w:p>
            <w:pPr>
              <w:pStyle w:val="Body"/>
              <w:numPr>
                <w:ilvl w:val="0"/>
                <w:numId w:val="3"/>
              </w:numPr>
              <w:spacing w:after="70"/>
            </w:pPr>
            <w:r>
              <w:rPr>
                <w:rFonts w:ascii="Arial" w:cs="Arial" w:eastAsia="Arial" w:hAnsi="Arial"/>
                <w:color w:val="1F2937"/>
              </w:rPr>
              <w:t xml:space="preserve">Notifications</w:t>
            </w:r>
          </w:p>
          <w:p>
            <w:pPr>
              <w:pStyle w:val="Body"/>
              <w:numPr>
                <w:ilvl w:val="0"/>
                <w:numId w:val="3"/>
              </w:numPr>
              <w:spacing w:after="70"/>
            </w:pPr>
            <w:r>
              <w:rPr>
                <w:rFonts w:ascii="Arial" w:cs="Arial" w:eastAsia="Arial" w:hAnsi="Arial"/>
                <w:color w:val="1F2937"/>
              </w:rPr>
              <w:t xml:space="preserve">PWA access</w:t>
            </w:r>
          </w:p>
        </w:tc>
        <w:tc>
          <w:tcPr>
            <w:tcW w:type="dxa" w:w="24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A controlled, auditable SOP system with formal approvals and a live Master Index.</w:t>
            </w:r>
          </w:p>
        </w:tc>
      </w:tr>
      <w:tr>
        <w:tc>
          <w:tcPr>
            <w:tcW w:type="dxa" w:w="16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QMS Professional</w:t>
            </w:r>
          </w:p>
        </w:tc>
        <w:tc>
          <w:tcPr>
            <w:tcW w:type="dxa" w:w="230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Growing regulated companies</w:t>
            </w:r>
          </w:p>
          <w:p>
            <w:pPr>
              <w:pStyle w:val="Body"/>
              <w:numPr>
                <w:ilvl w:val="0"/>
                <w:numId w:val="3"/>
              </w:numPr>
              <w:spacing w:after="70"/>
            </w:pPr>
            <w:r>
              <w:rPr>
                <w:rFonts w:ascii="Arial" w:cs="Arial" w:eastAsia="Arial" w:hAnsi="Arial"/>
                <w:color w:val="1F2937"/>
              </w:rPr>
              <w:t xml:space="preserve">Manufacturing sites with QA oversight</w:t>
            </w:r>
          </w:p>
          <w:p>
            <w:pPr>
              <w:pStyle w:val="Body"/>
              <w:numPr>
                <w:ilvl w:val="0"/>
                <w:numId w:val="3"/>
              </w:numPr>
              <w:spacing w:after="70"/>
            </w:pPr>
            <w:r>
              <w:rPr>
                <w:rFonts w:ascii="Arial" w:cs="Arial" w:eastAsia="Arial" w:hAnsi="Arial"/>
                <w:color w:val="1F2937"/>
              </w:rPr>
              <w:t xml:space="preserve">Companies with recurring SOP changes</w:t>
            </w:r>
          </w:p>
          <w:p>
            <w:pPr>
              <w:pStyle w:val="Body"/>
              <w:numPr>
                <w:ilvl w:val="0"/>
                <w:numId w:val="3"/>
              </w:numPr>
              <w:spacing w:after="70"/>
            </w:pPr>
            <w:r>
              <w:rPr>
                <w:rFonts w:ascii="Arial" w:cs="Arial" w:eastAsia="Arial" w:hAnsi="Arial"/>
                <w:color w:val="1F2937"/>
              </w:rPr>
              <w:t xml:space="preserve">Clients that need training and PM tracking</w:t>
            </w:r>
          </w:p>
        </w:tc>
        <w:tc>
          <w:tcPr>
            <w:tcW w:type="dxa" w:w="300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Everything in Core QMS</w:t>
            </w:r>
          </w:p>
          <w:p>
            <w:pPr>
              <w:pStyle w:val="Body"/>
              <w:numPr>
                <w:ilvl w:val="0"/>
                <w:numId w:val="3"/>
              </w:numPr>
              <w:spacing w:after="70"/>
            </w:pPr>
            <w:r>
              <w:rPr>
                <w:rFonts w:ascii="Arial" w:cs="Arial" w:eastAsia="Arial" w:hAnsi="Arial"/>
                <w:color w:val="1F2937"/>
              </w:rPr>
              <w:t xml:space="preserve">Multi-document change control</w:t>
            </w:r>
          </w:p>
          <w:p>
            <w:pPr>
              <w:pStyle w:val="Body"/>
              <w:numPr>
                <w:ilvl w:val="0"/>
                <w:numId w:val="3"/>
              </w:numPr>
              <w:spacing w:after="70"/>
            </w:pPr>
            <w:r>
              <w:rPr>
                <w:rFonts w:ascii="Arial" w:cs="Arial" w:eastAsia="Arial" w:hAnsi="Arial"/>
                <w:color w:val="1F2937"/>
              </w:rPr>
              <w:t xml:space="preserve">Training compliance module</w:t>
            </w:r>
          </w:p>
          <w:p>
            <w:pPr>
              <w:pStyle w:val="Body"/>
              <w:numPr>
                <w:ilvl w:val="0"/>
                <w:numId w:val="3"/>
              </w:numPr>
              <w:spacing w:after="70"/>
            </w:pPr>
            <w:r>
              <w:rPr>
                <w:rFonts w:ascii="Arial" w:cs="Arial" w:eastAsia="Arial" w:hAnsi="Arial"/>
                <w:color w:val="1F2937"/>
              </w:rPr>
              <w:t xml:space="preserve">Equipment registry</w:t>
            </w:r>
          </w:p>
          <w:p>
            <w:pPr>
              <w:pStyle w:val="Body"/>
              <w:numPr>
                <w:ilvl w:val="0"/>
                <w:numId w:val="3"/>
              </w:numPr>
              <w:spacing w:after="70"/>
            </w:pPr>
            <w:r>
              <w:rPr>
                <w:rFonts w:ascii="Arial" w:cs="Arial" w:eastAsia="Arial" w:hAnsi="Arial"/>
                <w:color w:val="1F2937"/>
              </w:rPr>
              <w:t xml:space="preserve">Preventive maintenance tracking</w:t>
            </w:r>
          </w:p>
          <w:p>
            <w:pPr>
              <w:pStyle w:val="Body"/>
              <w:numPr>
                <w:ilvl w:val="0"/>
                <w:numId w:val="3"/>
              </w:numPr>
              <w:spacing w:after="70"/>
            </w:pPr>
            <w:r>
              <w:rPr>
                <w:rFonts w:ascii="Arial" w:cs="Arial" w:eastAsia="Arial" w:hAnsi="Arial"/>
                <w:color w:val="1F2937"/>
              </w:rPr>
              <w:t xml:space="preserve">Request hub</w:t>
            </w:r>
          </w:p>
          <w:p>
            <w:pPr>
              <w:pStyle w:val="Body"/>
              <w:numPr>
                <w:ilvl w:val="0"/>
                <w:numId w:val="3"/>
              </w:numPr>
              <w:spacing w:after="70"/>
            </w:pPr>
            <w:r>
              <w:rPr>
                <w:rFonts w:ascii="Arial" w:cs="Arial" w:eastAsia="Arial" w:hAnsi="Arial"/>
                <w:color w:val="1F2937"/>
              </w:rPr>
              <w:t xml:space="preserve">Advanced dashboard views</w:t>
            </w:r>
          </w:p>
          <w:p>
            <w:pPr>
              <w:pStyle w:val="Body"/>
              <w:numPr>
                <w:ilvl w:val="0"/>
                <w:numId w:val="3"/>
              </w:numPr>
              <w:spacing w:after="70"/>
            </w:pPr>
            <w:r>
              <w:rPr>
                <w:rFonts w:ascii="Arial" w:cs="Arial" w:eastAsia="Arial" w:hAnsi="Arial"/>
                <w:color w:val="1F2937"/>
              </w:rPr>
              <w:t xml:space="preserve">Enhanced reports</w:t>
            </w:r>
          </w:p>
        </w:tc>
        <w:tc>
          <w:tcPr>
            <w:tcW w:type="dxa" w:w="24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Connects document control to real operational execution: change controls, training, equipment, and PM are tracked in one system.</w:t>
            </w:r>
          </w:p>
        </w:tc>
      </w:tr>
      <w:tr>
        <w:tc>
          <w:tcPr>
            <w:tcW w:type="dxa" w:w="16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QMS Enterprise</w:t>
            </w:r>
          </w:p>
        </w:tc>
        <w:tc>
          <w:tcPr>
            <w:tcW w:type="dxa" w:w="230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Multi-site companies</w:t>
            </w:r>
          </w:p>
          <w:p>
            <w:pPr>
              <w:pStyle w:val="Body"/>
              <w:numPr>
                <w:ilvl w:val="0"/>
                <w:numId w:val="3"/>
              </w:numPr>
              <w:spacing w:after="70"/>
            </w:pPr>
            <w:r>
              <w:rPr>
                <w:rFonts w:ascii="Arial" w:cs="Arial" w:eastAsia="Arial" w:hAnsi="Arial"/>
                <w:color w:val="1F2937"/>
              </w:rPr>
              <w:t xml:space="preserve">Larger manufacturers</w:t>
            </w:r>
          </w:p>
          <w:p>
            <w:pPr>
              <w:pStyle w:val="Body"/>
              <w:numPr>
                <w:ilvl w:val="0"/>
                <w:numId w:val="3"/>
              </w:numPr>
              <w:spacing w:after="70"/>
            </w:pPr>
            <w:r>
              <w:rPr>
                <w:rFonts w:ascii="Arial" w:cs="Arial" w:eastAsia="Arial" w:hAnsi="Arial"/>
                <w:color w:val="1F2937"/>
              </w:rPr>
              <w:t xml:space="preserve">Clients with external auditors</w:t>
            </w:r>
          </w:p>
          <w:p>
            <w:pPr>
              <w:pStyle w:val="Body"/>
              <w:numPr>
                <w:ilvl w:val="0"/>
                <w:numId w:val="3"/>
              </w:numPr>
              <w:spacing w:after="70"/>
            </w:pPr>
            <w:r>
              <w:rPr>
                <w:rFonts w:ascii="Arial" w:cs="Arial" w:eastAsia="Arial" w:hAnsi="Arial"/>
                <w:color w:val="1F2937"/>
              </w:rPr>
              <w:t xml:space="preserve">Organizations needing integrations or stronger governance</w:t>
            </w:r>
          </w:p>
        </w:tc>
        <w:tc>
          <w:tcPr>
            <w:tcW w:type="dxa" w:w="300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Everything in Professional</w:t>
            </w:r>
          </w:p>
          <w:p>
            <w:pPr>
              <w:pStyle w:val="Body"/>
              <w:numPr>
                <w:ilvl w:val="0"/>
                <w:numId w:val="3"/>
              </w:numPr>
              <w:spacing w:after="70"/>
            </w:pPr>
            <w:r>
              <w:rPr>
                <w:rFonts w:ascii="Arial" w:cs="Arial" w:eastAsia="Arial" w:hAnsi="Arial"/>
                <w:color w:val="1F2937"/>
              </w:rPr>
              <w:t xml:space="preserve">Multi-site controls</w:t>
            </w:r>
          </w:p>
          <w:p>
            <w:pPr>
              <w:pStyle w:val="Body"/>
              <w:numPr>
                <w:ilvl w:val="0"/>
                <w:numId w:val="3"/>
              </w:numPr>
              <w:spacing w:after="70"/>
            </w:pPr>
            <w:r>
              <w:rPr>
                <w:rFonts w:ascii="Arial" w:cs="Arial" w:eastAsia="Arial" w:hAnsi="Arial"/>
                <w:color w:val="1F2937"/>
              </w:rPr>
              <w:t xml:space="preserve">Auditor portal</w:t>
            </w:r>
          </w:p>
          <w:p>
            <w:pPr>
              <w:pStyle w:val="Body"/>
              <w:numPr>
                <w:ilvl w:val="0"/>
                <w:numId w:val="3"/>
              </w:numPr>
              <w:spacing w:after="70"/>
            </w:pPr>
            <w:r>
              <w:rPr>
                <w:rFonts w:ascii="Arial" w:cs="Arial" w:eastAsia="Arial" w:hAnsi="Arial"/>
                <w:color w:val="1F2937"/>
              </w:rPr>
              <w:t xml:space="preserve">Advanced report exports</w:t>
            </w:r>
          </w:p>
          <w:p>
            <w:pPr>
              <w:pStyle w:val="Body"/>
              <w:numPr>
                <w:ilvl w:val="0"/>
                <w:numId w:val="3"/>
              </w:numPr>
              <w:spacing w:after="70"/>
            </w:pPr>
            <w:r>
              <w:rPr>
                <w:rFonts w:ascii="Arial" w:cs="Arial" w:eastAsia="Arial" w:hAnsi="Arial"/>
                <w:color w:val="1F2937"/>
              </w:rPr>
              <w:t xml:space="preserve">Controlled copy management</w:t>
            </w:r>
          </w:p>
          <w:p>
            <w:pPr>
              <w:pStyle w:val="Body"/>
              <w:numPr>
                <w:ilvl w:val="0"/>
                <w:numId w:val="3"/>
              </w:numPr>
              <w:spacing w:after="70"/>
            </w:pPr>
            <w:r>
              <w:rPr>
                <w:rFonts w:ascii="Arial" w:cs="Arial" w:eastAsia="Arial" w:hAnsi="Arial"/>
                <w:color w:val="1F2937"/>
              </w:rPr>
              <w:t xml:space="preserve">Retention and destruction workflow</w:t>
            </w:r>
          </w:p>
          <w:p>
            <w:pPr>
              <w:pStyle w:val="Body"/>
              <w:numPr>
                <w:ilvl w:val="0"/>
                <w:numId w:val="3"/>
              </w:numPr>
              <w:spacing w:after="70"/>
            </w:pPr>
            <w:r>
              <w:rPr>
                <w:rFonts w:ascii="Arial" w:cs="Arial" w:eastAsia="Arial" w:hAnsi="Arial"/>
                <w:color w:val="1F2937"/>
              </w:rPr>
              <w:t xml:space="preserve">API/integration access</w:t>
            </w:r>
          </w:p>
          <w:p>
            <w:pPr>
              <w:pStyle w:val="Body"/>
              <w:numPr>
                <w:ilvl w:val="0"/>
                <w:numId w:val="3"/>
              </w:numPr>
              <w:spacing w:after="70"/>
            </w:pPr>
            <w:r>
              <w:rPr>
                <w:rFonts w:ascii="Arial" w:cs="Arial" w:eastAsia="Arial" w:hAnsi="Arial"/>
                <w:color w:val="1F2937"/>
              </w:rPr>
              <w:t xml:space="preserve">White-label branding</w:t>
            </w:r>
          </w:p>
          <w:p>
            <w:pPr>
              <w:pStyle w:val="Body"/>
              <w:numPr>
                <w:ilvl w:val="0"/>
                <w:numId w:val="3"/>
              </w:numPr>
              <w:spacing w:after="70"/>
            </w:pPr>
            <w:r>
              <w:rPr>
                <w:rFonts w:ascii="Arial" w:cs="Arial" w:eastAsia="Arial" w:hAnsi="Arial"/>
                <w:color w:val="1F2937"/>
              </w:rPr>
              <w:t xml:space="preserve">Advanced security options</w:t>
            </w:r>
          </w:p>
          <w:p>
            <w:pPr>
              <w:pStyle w:val="Body"/>
              <w:numPr>
                <w:ilvl w:val="0"/>
                <w:numId w:val="3"/>
              </w:numPr>
              <w:spacing w:after="70"/>
            </w:pPr>
            <w:r>
              <w:rPr>
                <w:rFonts w:ascii="Arial" w:cs="Arial" w:eastAsia="Arial" w:hAnsi="Arial"/>
                <w:color w:val="1F2937"/>
              </w:rPr>
              <w:t xml:space="preserve">Priority support</w:t>
            </w:r>
          </w:p>
        </w:tc>
        <w:tc>
          <w:tcPr>
            <w:tcW w:type="dxa" w:w="24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A governance platform for regulated organizations with multiple teams, sites, auditors, and operational controls.</w:t>
            </w:r>
          </w:p>
        </w:tc>
      </w:tr>
    </w:tbl>
    <w:p>
      <w:pPr>
        <w:pStyle w:val="Heading1"/>
      </w:pPr>
      <w:r>
        <w:rPr>
          <w:rFonts w:ascii="Arial" w:cs="Arial" w:eastAsia="Arial" w:hAnsi="Arial"/>
          <w:color w:val="1F2937"/>
        </w:rPr>
        <w:t xml:space="preserve">Add-On Strategy</w:t>
      </w:r>
    </w:p>
    <w:p>
      <w:pPr>
        <w:pStyle w:val="Body"/>
        <w:spacing w:after="140"/>
      </w:pPr>
      <w:r>
        <w:rPr>
          <w:rFonts w:ascii="Arial" w:cs="Arial" w:eastAsia="Arial" w:hAnsi="Arial"/>
          <w:color w:val="1F2937"/>
        </w:rPr>
        <w:t xml:space="preserve">Add-ons should be used for high-value capabilities that not every client needs. These modules create a clean upsell path without confusing the base package.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40"/>
          <w:bottom w:type="dxa" w:w="120"/>
          <w:right w:type="dxa" w:w="140"/>
        </w:tblCellMar>
      </w:tblPr>
      <w:tblGrid>
        <w:gridCol w:w="2300"/>
        <w:gridCol w:w="3600"/>
        <w:gridCol w:w="3460"/>
      </w:tblGrid>
      <w:tr>
        <w:trPr>
          <w:tblHeader/>
        </w:trPr>
        <w:tc>
          <w:tcPr>
            <w:tcW w:type="dxa" w:w="230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Add-On</w:t>
            </w:r>
          </w:p>
        </w:tc>
        <w:tc>
          <w:tcPr>
            <w:tcW w:type="dxa" w:w="360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Key Features</w:t>
            </w:r>
          </w:p>
        </w:tc>
        <w:tc>
          <w:tcPr>
            <w:tcW w:type="dxa" w:w="346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Commercial Rationale</w:t>
            </w:r>
          </w:p>
        </w:tc>
      </w:tr>
      <w:tr>
        <w:tc>
          <w:tcPr>
            <w:tcW w:type="dxa" w:w="23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AI Compliance Assistant</w:t>
            </w:r>
          </w:p>
        </w:tc>
        <w:tc>
          <w:tcPr>
            <w:tcW w:type="dxa" w:w="360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SOP delta summaries</w:t>
            </w:r>
          </w:p>
          <w:p>
            <w:pPr>
              <w:pStyle w:val="Body"/>
              <w:numPr>
                <w:ilvl w:val="0"/>
                <w:numId w:val="3"/>
              </w:numPr>
              <w:spacing w:after="70"/>
            </w:pPr>
            <w:r>
              <w:rPr>
                <w:rFonts w:ascii="Arial" w:cs="Arial" w:eastAsia="Arial" w:hAnsi="Arial"/>
                <w:color w:val="1F2937"/>
              </w:rPr>
              <w:t xml:space="preserve">AI risk insights</w:t>
            </w:r>
          </w:p>
          <w:p>
            <w:pPr>
              <w:pStyle w:val="Body"/>
              <w:numPr>
                <w:ilvl w:val="0"/>
                <w:numId w:val="3"/>
              </w:numPr>
              <w:spacing w:after="70"/>
            </w:pPr>
            <w:r>
              <w:rPr>
                <w:rFonts w:ascii="Arial" w:cs="Arial" w:eastAsia="Arial" w:hAnsi="Arial"/>
                <w:color w:val="1F2937"/>
              </w:rPr>
              <w:t xml:space="preserve">Training slide generation</w:t>
            </w:r>
          </w:p>
          <w:p>
            <w:pPr>
              <w:pStyle w:val="Body"/>
              <w:numPr>
                <w:ilvl w:val="0"/>
                <w:numId w:val="3"/>
              </w:numPr>
              <w:spacing w:after="70"/>
            </w:pPr>
            <w:r>
              <w:rPr>
                <w:rFonts w:ascii="Arial" w:cs="Arial" w:eastAsia="Arial" w:hAnsi="Arial"/>
                <w:color w:val="1F2937"/>
              </w:rPr>
              <w:t xml:space="preserve">Questionnaire generation</w:t>
            </w:r>
          </w:p>
          <w:p>
            <w:pPr>
              <w:pStyle w:val="Body"/>
              <w:numPr>
                <w:ilvl w:val="0"/>
                <w:numId w:val="3"/>
              </w:numPr>
              <w:spacing w:after="70"/>
            </w:pPr>
            <w:r>
              <w:rPr>
                <w:rFonts w:ascii="Arial" w:cs="Arial" w:eastAsia="Arial" w:hAnsi="Arial"/>
                <w:color w:val="1F2937"/>
              </w:rPr>
              <w:t xml:space="preserve">Document comparison support</w:t>
            </w:r>
          </w:p>
        </w:tc>
        <w:tc>
          <w:tcPr>
            <w:tcW w:type="dxa" w:w="34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AI has direct compute cost and high perceived value. It should not be bundled into every low-cost plan.</w:t>
            </w:r>
          </w:p>
        </w:tc>
      </w:tr>
      <w:tr>
        <w:tc>
          <w:tcPr>
            <w:tcW w:type="dxa" w:w="23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Equipment and PM Pack</w:t>
            </w:r>
          </w:p>
        </w:tc>
        <w:tc>
          <w:tcPr>
            <w:tcW w:type="dxa" w:w="360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Equipment registry</w:t>
            </w:r>
          </w:p>
          <w:p>
            <w:pPr>
              <w:pStyle w:val="Body"/>
              <w:numPr>
                <w:ilvl w:val="0"/>
                <w:numId w:val="3"/>
              </w:numPr>
              <w:spacing w:after="70"/>
            </w:pPr>
            <w:r>
              <w:rPr>
                <w:rFonts w:ascii="Arial" w:cs="Arial" w:eastAsia="Arial" w:hAnsi="Arial"/>
                <w:color w:val="1F2937"/>
              </w:rPr>
              <w:t xml:space="preserve">PM schedules</w:t>
            </w:r>
          </w:p>
          <w:p>
            <w:pPr>
              <w:pStyle w:val="Body"/>
              <w:numPr>
                <w:ilvl w:val="0"/>
                <w:numId w:val="3"/>
              </w:numPr>
              <w:spacing w:after="70"/>
            </w:pPr>
            <w:r>
              <w:rPr>
                <w:rFonts w:ascii="Arial" w:cs="Arial" w:eastAsia="Arial" w:hAnsi="Arial"/>
                <w:color w:val="1F2937"/>
              </w:rPr>
              <w:t xml:space="preserve">PM completion logs</w:t>
            </w:r>
          </w:p>
          <w:p>
            <w:pPr>
              <w:pStyle w:val="Body"/>
              <w:numPr>
                <w:ilvl w:val="0"/>
                <w:numId w:val="3"/>
              </w:numPr>
              <w:spacing w:after="70"/>
            </w:pPr>
            <w:r>
              <w:rPr>
                <w:rFonts w:ascii="Arial" w:cs="Arial" w:eastAsia="Arial" w:hAnsi="Arial"/>
                <w:color w:val="1F2937"/>
              </w:rPr>
              <w:t xml:space="preserve">PM compliance KPIs</w:t>
            </w:r>
          </w:p>
          <w:p>
            <w:pPr>
              <w:pStyle w:val="Body"/>
              <w:numPr>
                <w:ilvl w:val="0"/>
                <w:numId w:val="3"/>
              </w:numPr>
              <w:spacing w:after="70"/>
            </w:pPr>
            <w:r>
              <w:rPr>
                <w:rFonts w:ascii="Arial" w:cs="Arial" w:eastAsia="Arial" w:hAnsi="Arial"/>
                <w:color w:val="1F2937"/>
              </w:rPr>
              <w:t xml:space="preserve">Equipment-linked SOPs</w:t>
            </w:r>
          </w:p>
        </w:tc>
        <w:tc>
          <w:tcPr>
            <w:tcW w:type="dxa" w:w="34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Some clients only need document control. Others need operational maintenance tracking. This is a clear upsell.</w:t>
            </w:r>
          </w:p>
        </w:tc>
      </w:tr>
      <w:tr>
        <w:tc>
          <w:tcPr>
            <w:tcW w:type="dxa" w:w="23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Training Compliance Pack</w:t>
            </w:r>
          </w:p>
        </w:tc>
        <w:tc>
          <w:tcPr>
            <w:tcW w:type="dxa" w:w="360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Training modules</w:t>
            </w:r>
          </w:p>
          <w:p>
            <w:pPr>
              <w:pStyle w:val="Body"/>
              <w:numPr>
                <w:ilvl w:val="0"/>
                <w:numId w:val="3"/>
              </w:numPr>
              <w:spacing w:after="70"/>
            </w:pPr>
            <w:r>
              <w:rPr>
                <w:rFonts w:ascii="Arial" w:cs="Arial" w:eastAsia="Arial" w:hAnsi="Arial"/>
                <w:color w:val="1F2937"/>
              </w:rPr>
              <w:t xml:space="preserve">Assignments</w:t>
            </w:r>
          </w:p>
          <w:p>
            <w:pPr>
              <w:pStyle w:val="Body"/>
              <w:numPr>
                <w:ilvl w:val="0"/>
                <w:numId w:val="3"/>
              </w:numPr>
              <w:spacing w:after="70"/>
            </w:pPr>
            <w:r>
              <w:rPr>
                <w:rFonts w:ascii="Arial" w:cs="Arial" w:eastAsia="Arial" w:hAnsi="Arial"/>
                <w:color w:val="1F2937"/>
              </w:rPr>
              <w:t xml:space="preserve">Questionnaires</w:t>
            </w:r>
          </w:p>
          <w:p>
            <w:pPr>
              <w:pStyle w:val="Body"/>
              <w:numPr>
                <w:ilvl w:val="0"/>
                <w:numId w:val="3"/>
              </w:numPr>
              <w:spacing w:after="70"/>
            </w:pPr>
            <w:r>
              <w:rPr>
                <w:rFonts w:ascii="Arial" w:cs="Arial" w:eastAsia="Arial" w:hAnsi="Arial"/>
                <w:color w:val="1F2937"/>
              </w:rPr>
              <w:t xml:space="preserve">Completion logs</w:t>
            </w:r>
          </w:p>
          <w:p>
            <w:pPr>
              <w:pStyle w:val="Body"/>
              <w:numPr>
                <w:ilvl w:val="0"/>
                <w:numId w:val="3"/>
              </w:numPr>
              <w:spacing w:after="70"/>
            </w:pPr>
            <w:r>
              <w:rPr>
                <w:rFonts w:ascii="Arial" w:cs="Arial" w:eastAsia="Arial" w:hAnsi="Arial"/>
                <w:color w:val="1F2937"/>
              </w:rPr>
              <w:t xml:space="preserve">Training overdue alerts</w:t>
            </w:r>
          </w:p>
          <w:p>
            <w:pPr>
              <w:pStyle w:val="Body"/>
              <w:numPr>
                <w:ilvl w:val="0"/>
                <w:numId w:val="3"/>
              </w:numPr>
              <w:spacing w:after="70"/>
            </w:pPr>
            <w:r>
              <w:rPr>
                <w:rFonts w:ascii="Arial" w:cs="Arial" w:eastAsia="Arial" w:hAnsi="Arial"/>
                <w:color w:val="1F2937"/>
              </w:rPr>
              <w:t xml:space="preserve">Training reports</w:t>
            </w:r>
          </w:p>
        </w:tc>
        <w:tc>
          <w:tcPr>
            <w:tcW w:type="dxa" w:w="34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Training is a major compliance burden and has strong business value.</w:t>
            </w:r>
          </w:p>
        </w:tc>
      </w:tr>
      <w:tr>
        <w:tc>
          <w:tcPr>
            <w:tcW w:type="dxa" w:w="23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Advanced Change Control Pack</w:t>
            </w:r>
          </w:p>
        </w:tc>
        <w:tc>
          <w:tcPr>
            <w:tcW w:type="dxa" w:w="360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Multi-document change control</w:t>
            </w:r>
          </w:p>
          <w:p>
            <w:pPr>
              <w:pStyle w:val="Body"/>
              <w:numPr>
                <w:ilvl w:val="0"/>
                <w:numId w:val="3"/>
              </w:numPr>
              <w:spacing w:after="70"/>
            </w:pPr>
            <w:r>
              <w:rPr>
                <w:rFonts w:ascii="Arial" w:cs="Arial" w:eastAsia="Arial" w:hAnsi="Arial"/>
                <w:color w:val="1F2937"/>
              </w:rPr>
              <w:t xml:space="preserve">QA screening</w:t>
            </w:r>
          </w:p>
          <w:p>
            <w:pPr>
              <w:pStyle w:val="Body"/>
              <w:numPr>
                <w:ilvl w:val="0"/>
                <w:numId w:val="3"/>
              </w:numPr>
              <w:spacing w:after="70"/>
            </w:pPr>
            <w:r>
              <w:rPr>
                <w:rFonts w:ascii="Arial" w:cs="Arial" w:eastAsia="Arial" w:hAnsi="Arial"/>
                <w:color w:val="1F2937"/>
              </w:rPr>
              <w:t xml:space="preserve">Clarification requests</w:t>
            </w:r>
          </w:p>
          <w:p>
            <w:pPr>
              <w:pStyle w:val="Body"/>
              <w:numPr>
                <w:ilvl w:val="0"/>
                <w:numId w:val="3"/>
              </w:numPr>
              <w:spacing w:after="70"/>
            </w:pPr>
            <w:r>
              <w:rPr>
                <w:rFonts w:ascii="Arial" w:cs="Arial" w:eastAsia="Arial" w:hAnsi="Arial"/>
                <w:color w:val="1F2937"/>
              </w:rPr>
              <w:t xml:space="preserve">Signatory tracking</w:t>
            </w:r>
          </w:p>
          <w:p>
            <w:pPr>
              <w:pStyle w:val="Body"/>
              <w:numPr>
                <w:ilvl w:val="0"/>
                <w:numId w:val="3"/>
              </w:numPr>
              <w:spacing w:after="70"/>
            </w:pPr>
            <w:r>
              <w:rPr>
                <w:rFonts w:ascii="Arial" w:cs="Arial" w:eastAsia="Arial" w:hAnsi="Arial"/>
                <w:color w:val="1F2937"/>
              </w:rPr>
              <w:t xml:space="preserve">Reconciliation</w:t>
            </w:r>
          </w:p>
          <w:p>
            <w:pPr>
              <w:pStyle w:val="Body"/>
              <w:numPr>
                <w:ilvl w:val="0"/>
                <w:numId w:val="3"/>
              </w:numPr>
              <w:spacing w:after="70"/>
            </w:pPr>
            <w:r>
              <w:rPr>
                <w:rFonts w:ascii="Arial" w:cs="Arial" w:eastAsia="Arial" w:hAnsi="Arial"/>
                <w:color w:val="1F2937"/>
              </w:rPr>
              <w:t xml:space="preserve">Closure records</w:t>
            </w:r>
          </w:p>
        </w:tc>
        <w:tc>
          <w:tcPr>
            <w:tcW w:type="dxa" w:w="34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Basic clients can manage simple SOP changes. Larger clients will pay for a full change control package.</w:t>
            </w:r>
          </w:p>
        </w:tc>
      </w:tr>
      <w:tr>
        <w:tc>
          <w:tcPr>
            <w:tcW w:type="dxa" w:w="23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Advanced Reporting Pack</w:t>
            </w:r>
          </w:p>
        </w:tc>
        <w:tc>
          <w:tcPr>
            <w:tcW w:type="dxa" w:w="360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Exportable audit reports</w:t>
            </w:r>
          </w:p>
          <w:p>
            <w:pPr>
              <w:pStyle w:val="Body"/>
              <w:numPr>
                <w:ilvl w:val="0"/>
                <w:numId w:val="3"/>
              </w:numPr>
              <w:spacing w:after="70"/>
            </w:pPr>
            <w:r>
              <w:rPr>
                <w:rFonts w:ascii="Arial" w:cs="Arial" w:eastAsia="Arial" w:hAnsi="Arial"/>
                <w:color w:val="1F2937"/>
              </w:rPr>
              <w:t xml:space="preserve">SOP change history reports</w:t>
            </w:r>
          </w:p>
          <w:p>
            <w:pPr>
              <w:pStyle w:val="Body"/>
              <w:numPr>
                <w:ilvl w:val="0"/>
                <w:numId w:val="3"/>
              </w:numPr>
              <w:spacing w:after="70"/>
            </w:pPr>
            <w:r>
              <w:rPr>
                <w:rFonts w:ascii="Arial" w:cs="Arial" w:eastAsia="Arial" w:hAnsi="Arial"/>
                <w:color w:val="1F2937"/>
              </w:rPr>
              <w:t xml:space="preserve">Training reports</w:t>
            </w:r>
          </w:p>
          <w:p>
            <w:pPr>
              <w:pStyle w:val="Body"/>
              <w:numPr>
                <w:ilvl w:val="0"/>
                <w:numId w:val="3"/>
              </w:numPr>
              <w:spacing w:after="70"/>
            </w:pPr>
            <w:r>
              <w:rPr>
                <w:rFonts w:ascii="Arial" w:cs="Arial" w:eastAsia="Arial" w:hAnsi="Arial"/>
                <w:color w:val="1F2937"/>
              </w:rPr>
              <w:t xml:space="preserve">PM reports</w:t>
            </w:r>
          </w:p>
          <w:p>
            <w:pPr>
              <w:pStyle w:val="Body"/>
              <w:numPr>
                <w:ilvl w:val="0"/>
                <w:numId w:val="3"/>
              </w:numPr>
              <w:spacing w:after="70"/>
            </w:pPr>
            <w:r>
              <w:rPr>
                <w:rFonts w:ascii="Arial" w:cs="Arial" w:eastAsia="Arial" w:hAnsi="Arial"/>
                <w:color w:val="1F2937"/>
              </w:rPr>
              <w:t xml:space="preserve">Request reports</w:t>
            </w:r>
          </w:p>
          <w:p>
            <w:pPr>
              <w:pStyle w:val="Body"/>
              <w:numPr>
                <w:ilvl w:val="0"/>
                <w:numId w:val="3"/>
              </w:numPr>
              <w:spacing w:after="70"/>
            </w:pPr>
            <w:r>
              <w:rPr>
                <w:rFonts w:ascii="Arial" w:cs="Arial" w:eastAsia="Arial" w:hAnsi="Arial"/>
                <w:color w:val="1F2937"/>
              </w:rPr>
              <w:t xml:space="preserve">Custom date filters</w:t>
            </w:r>
          </w:p>
        </w:tc>
        <w:tc>
          <w:tcPr>
            <w:tcW w:type="dxa" w:w="34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Reports are often needed for management review and audits, making them high-value.</w:t>
            </w:r>
          </w:p>
        </w:tc>
      </w:tr>
      <w:tr>
        <w:tc>
          <w:tcPr>
            <w:tcW w:type="dxa" w:w="23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Auditor Portal</w:t>
            </w:r>
          </w:p>
        </w:tc>
        <w:tc>
          <w:tcPr>
            <w:tcW w:type="dxa" w:w="360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Read-only external auditor access</w:t>
            </w:r>
          </w:p>
          <w:p>
            <w:pPr>
              <w:pStyle w:val="Body"/>
              <w:numPr>
                <w:ilvl w:val="0"/>
                <w:numId w:val="3"/>
              </w:numPr>
              <w:spacing w:after="70"/>
            </w:pPr>
            <w:r>
              <w:rPr>
                <w:rFonts w:ascii="Arial" w:cs="Arial" w:eastAsia="Arial" w:hAnsi="Arial"/>
                <w:color w:val="1F2937"/>
              </w:rPr>
              <w:t xml:space="preserve">Scoped evidence packs</w:t>
            </w:r>
          </w:p>
          <w:p>
            <w:pPr>
              <w:pStyle w:val="Body"/>
              <w:numPr>
                <w:ilvl w:val="0"/>
                <w:numId w:val="3"/>
              </w:numPr>
              <w:spacing w:after="70"/>
            </w:pPr>
            <w:r>
              <w:rPr>
                <w:rFonts w:ascii="Arial" w:cs="Arial" w:eastAsia="Arial" w:hAnsi="Arial"/>
                <w:color w:val="1F2937"/>
              </w:rPr>
              <w:t xml:space="preserve">Time-limited access</w:t>
            </w:r>
          </w:p>
          <w:p>
            <w:pPr>
              <w:pStyle w:val="Body"/>
              <w:numPr>
                <w:ilvl w:val="0"/>
                <w:numId w:val="3"/>
              </w:numPr>
              <w:spacing w:after="70"/>
            </w:pPr>
            <w:r>
              <w:rPr>
                <w:rFonts w:ascii="Arial" w:cs="Arial" w:eastAsia="Arial" w:hAnsi="Arial"/>
                <w:color w:val="1F2937"/>
              </w:rPr>
              <w:t xml:space="preserve">Export restrictions</w:t>
            </w:r>
          </w:p>
          <w:p>
            <w:pPr>
              <w:pStyle w:val="Body"/>
              <w:numPr>
                <w:ilvl w:val="0"/>
                <w:numId w:val="3"/>
              </w:numPr>
              <w:spacing w:after="70"/>
            </w:pPr>
            <w:r>
              <w:rPr>
                <w:rFonts w:ascii="Arial" w:cs="Arial" w:eastAsia="Arial" w:hAnsi="Arial"/>
                <w:color w:val="1F2937"/>
              </w:rPr>
              <w:t xml:space="preserve">Audit activity tracking</w:t>
            </w:r>
          </w:p>
        </w:tc>
        <w:tc>
          <w:tcPr>
            <w:tcW w:type="dxa" w:w="34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External access increases security responsibility and creates strong audit value.</w:t>
            </w:r>
          </w:p>
        </w:tc>
      </w:tr>
    </w:tbl>
    <w:p>
      <w:pPr>
        <w:pStyle w:val="Heading1"/>
      </w:pPr>
      <w:r>
        <w:rPr>
          <w:rFonts w:ascii="Arial" w:cs="Arial" w:eastAsia="Arial" w:hAnsi="Arial"/>
          <w:color w:val="1F2937"/>
        </w:rPr>
        <w:t xml:space="preserve">Suggested Commercial Structure</w:t>
      </w:r>
    </w:p>
    <w:p>
      <w:pPr>
        <w:pStyle w:val="Body"/>
        <w:numPr>
          <w:ilvl w:val="0"/>
          <w:numId w:val="4"/>
        </w:numPr>
        <w:spacing w:after="80"/>
      </w:pPr>
      <w:r>
        <w:rPr>
          <w:rFonts w:ascii="Arial" w:cs="Arial" w:eastAsia="Arial" w:hAnsi="Arial"/>
          <w:color w:val="1F2937"/>
        </w:rPr>
        <w:t xml:space="preserve">Core subscription: charge by organization and active user count, with a base platform fee, included users, and extra active users billed monthly.</w:t>
      </w:r>
    </w:p>
    <w:p>
      <w:pPr>
        <w:pStyle w:val="Body"/>
        <w:numPr>
          <w:ilvl w:val="0"/>
          <w:numId w:val="5"/>
        </w:numPr>
        <w:spacing w:after="80"/>
      </w:pPr>
      <w:r>
        <w:rPr>
          <w:rFonts w:ascii="Arial" w:cs="Arial" w:eastAsia="Arial" w:hAnsi="Arial"/>
          <w:color w:val="1F2937"/>
        </w:rPr>
        <w:t xml:space="preserve">Tier upgrade: allow clients to move from Core to Professional or Enterprise as their operation becomes more complex.</w:t>
      </w:r>
    </w:p>
    <w:p>
      <w:pPr>
        <w:pStyle w:val="Body"/>
        <w:numPr>
          <w:ilvl w:val="0"/>
          <w:numId w:val="6"/>
        </w:numPr>
        <w:spacing w:after="80"/>
      </w:pPr>
      <w:r>
        <w:rPr>
          <w:rFonts w:ascii="Arial" w:cs="Arial" w:eastAsia="Arial" w:hAnsi="Arial"/>
          <w:color w:val="1F2937"/>
        </w:rPr>
        <w:t xml:space="preserve">Add-on modules: allow clients to add specific modules without changing their entire plan.</w:t>
      </w:r>
    </w:p>
    <w:p>
      <w:pPr>
        <w:pStyle w:val="Body"/>
        <w:numPr>
          <w:ilvl w:val="0"/>
          <w:numId w:val="7"/>
        </w:numPr>
        <w:spacing w:after="80"/>
      </w:pPr>
      <w:r>
        <w:rPr>
          <w:rFonts w:ascii="Arial" w:cs="Arial" w:eastAsia="Arial" w:hAnsi="Arial"/>
          <w:color w:val="1F2937"/>
        </w:rPr>
        <w:t xml:space="preserve">Enterprise custom pricing: use annual contracts, onboarding fees, data migration fees, dedicated support, and optional dedicated deployment for larger clients.</w:t>
      </w:r>
    </w:p>
    <w:p>
      <w:pPr>
        <w:pStyle w:val="Heading1"/>
      </w:pPr>
      <w:r>
        <w:rPr>
          <w:rFonts w:ascii="Arial" w:cs="Arial" w:eastAsia="Arial" w:hAnsi="Arial"/>
          <w:color w:val="1F2937"/>
        </w:rPr>
        <w:t xml:space="preserve">Sales Positioning</w:t>
      </w:r>
    </w:p>
    <w:p>
      <w:pPr>
        <w:pStyle w:val="Body"/>
        <w:spacing w:after="140"/>
      </w:pPr>
      <w:r>
        <w:rPr>
          <w:rFonts w:ascii="Arial" w:cs="Arial" w:eastAsia="Arial" w:hAnsi="Arial"/>
          <w:b/>
          <w:bCs/>
          <w:color w:val="1F2937"/>
        </w:rPr>
        <w:t xml:space="preserve">The product should not be sold as software that stores documents. It should be sold as: </w:t>
      </w:r>
      <w:r>
        <w:rPr>
          <w:rFonts w:ascii="Arial" w:cs="Arial" w:eastAsia="Arial" w:hAnsi="Arial"/>
          <w:b/>
          <w:bCs/>
          <w:color w:val="1D4ED8"/>
        </w:rPr>
        <w:t xml:space="preserve">a controlled compliance operating system for SOPs, change control, training, equipment, PM, and audit readiness.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40"/>
          <w:bottom w:type="dxa" w:w="120"/>
          <w:right w:type="dxa" w:w="140"/>
        </w:tblCellMar>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Value Pillar</w:t>
            </w:r>
          </w:p>
        </w:tc>
        <w:tc>
          <w:tcPr>
            <w:tcW w:type="dxa" w:w="656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Client Benefit</w:t>
            </w:r>
          </w:p>
        </w:tc>
      </w:tr>
      <w:tr>
        <w:tc>
          <w:tcPr>
            <w:tcW w:type="dxa" w:w="28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Audit Readiness</w:t>
            </w:r>
          </w:p>
        </w:tc>
        <w:tc>
          <w:tcPr>
            <w:tcW w:type="dxa" w:w="65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Clients can show who created, reviewed, approved, trained on, changed, and acknowledged controlled documents.</w:t>
            </w:r>
          </w:p>
        </w:tc>
      </w:tr>
      <w:tr>
        <w:tc>
          <w:tcPr>
            <w:tcW w:type="dxa" w:w="28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Process Control</w:t>
            </w:r>
          </w:p>
        </w:tc>
        <w:tc>
          <w:tcPr>
            <w:tcW w:type="dxa" w:w="65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Workflows are not left to memory. SOPs, change controls, training, and PM tasks follow a structured process.</w:t>
            </w:r>
          </w:p>
        </w:tc>
      </w:tr>
      <w:tr>
        <w:tc>
          <w:tcPr>
            <w:tcW w:type="dxa" w:w="28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Reduced QA Burden</w:t>
            </w:r>
          </w:p>
        </w:tc>
        <w:tc>
          <w:tcPr>
            <w:tcW w:type="dxa" w:w="65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QA gets centralized visibility instead of chasing emails, spreadsheets, and scattered document folders.</w:t>
            </w:r>
          </w:p>
        </w:tc>
      </w:tr>
      <w:tr>
        <w:tc>
          <w:tcPr>
            <w:tcW w:type="dxa" w:w="28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Operational Accountability</w:t>
            </w:r>
          </w:p>
        </w:tc>
        <w:tc>
          <w:tcPr>
            <w:tcW w:type="dxa" w:w="65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Departments can see what is pending, overdue, approved, effective, or blocked.</w:t>
            </w:r>
          </w:p>
        </w:tc>
      </w:tr>
      <w:tr>
        <w:tc>
          <w:tcPr>
            <w:tcW w:type="dxa" w:w="28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Scalable Compliance</w:t>
            </w:r>
          </w:p>
        </w:tc>
        <w:tc>
          <w:tcPr>
            <w:tcW w:type="dxa" w:w="65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The system can grow from one site to multiple sites, with tenant-specific settings and package-based expansion.</w:t>
            </w:r>
          </w:p>
        </w:tc>
      </w:tr>
    </w:tbl>
    <w:p>
      <w:pPr>
        <w:pStyle w:val="Heading2"/>
      </w:pPr>
      <w:r>
        <w:rPr>
          <w:rFonts w:ascii="Arial" w:cs="Arial" w:eastAsia="Arial" w:hAnsi="Arial"/>
          <w:color w:val="1F2937"/>
        </w:rPr>
        <w:t xml:space="preserve">Package Sales Language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40"/>
          <w:bottom w:type="dxa" w:w="120"/>
          <w:right w:type="dxa" w:w="140"/>
        </w:tblCellMar>
      </w:tblPr>
      <w:tblGrid>
        <w:gridCol w:w="2200"/>
        <w:gridCol w:w="4360"/>
        <w:gridCol w:w="2800"/>
      </w:tblGrid>
      <w:tr>
        <w:trPr>
          <w:tblHeader/>
        </w:trPr>
        <w:tc>
          <w:tcPr>
            <w:tcW w:type="dxa" w:w="220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Package</w:t>
            </w:r>
          </w:p>
        </w:tc>
        <w:tc>
          <w:tcPr>
            <w:tcW w:type="dxa" w:w="436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Pitch</w:t>
            </w:r>
          </w:p>
        </w:tc>
        <w:tc>
          <w:tcPr>
            <w:tcW w:type="dxa" w:w="280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Best Fit</w:t>
            </w:r>
          </w:p>
        </w:tc>
      </w:tr>
      <w:tr>
        <w:tc>
          <w:tcPr>
            <w:tcW w:type="dxa" w:w="22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Core QMS</w:t>
            </w:r>
          </w:p>
        </w:tc>
        <w:tc>
          <w:tcPr>
            <w:tcW w:type="dxa" w:w="43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"Move your SOPs out of folders and spreadsheets into a controlled, auditable approval system with a live Master Index."</w:t>
            </w:r>
          </w:p>
        </w:tc>
        <w:tc>
          <w:tcPr>
            <w:tcW w:type="dxa" w:w="280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First-time digital QMS clients</w:t>
            </w:r>
          </w:p>
          <w:p>
            <w:pPr>
              <w:pStyle w:val="Body"/>
              <w:numPr>
                <w:ilvl w:val="0"/>
                <w:numId w:val="3"/>
              </w:numPr>
              <w:spacing w:after="70"/>
            </w:pPr>
            <w:r>
              <w:rPr>
                <w:rFonts w:ascii="Arial" w:cs="Arial" w:eastAsia="Arial" w:hAnsi="Arial"/>
                <w:color w:val="1F2937"/>
              </w:rPr>
              <w:t xml:space="preserve">Cost-sensitive clients</w:t>
            </w:r>
          </w:p>
          <w:p>
            <w:pPr>
              <w:pStyle w:val="Body"/>
              <w:numPr>
                <w:ilvl w:val="0"/>
                <w:numId w:val="3"/>
              </w:numPr>
              <w:spacing w:after="70"/>
            </w:pPr>
            <w:r>
              <w:rPr>
                <w:rFonts w:ascii="Arial" w:cs="Arial" w:eastAsia="Arial" w:hAnsi="Arial"/>
                <w:color w:val="1F2937"/>
              </w:rPr>
              <w:t xml:space="preserve">Small regulated teams</w:t>
            </w:r>
          </w:p>
        </w:tc>
      </w:tr>
      <w:tr>
        <w:tc>
          <w:tcPr>
            <w:tcW w:type="dxa" w:w="22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Professional</w:t>
            </w:r>
          </w:p>
        </w:tc>
        <w:tc>
          <w:tcPr>
            <w:tcW w:type="dxa" w:w="43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"Connect document control to actual execution: change control, training, equipment, PM, and QA requests in one system."</w:t>
            </w:r>
          </w:p>
        </w:tc>
        <w:tc>
          <w:tcPr>
            <w:tcW w:type="dxa" w:w="280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Clients with QA teams</w:t>
            </w:r>
          </w:p>
          <w:p>
            <w:pPr>
              <w:pStyle w:val="Body"/>
              <w:numPr>
                <w:ilvl w:val="0"/>
                <w:numId w:val="3"/>
              </w:numPr>
              <w:spacing w:after="70"/>
            </w:pPr>
            <w:r>
              <w:rPr>
                <w:rFonts w:ascii="Arial" w:cs="Arial" w:eastAsia="Arial" w:hAnsi="Arial"/>
                <w:color w:val="1F2937"/>
              </w:rPr>
              <w:t xml:space="preserve">Equipment-heavy operations</w:t>
            </w:r>
          </w:p>
          <w:p>
            <w:pPr>
              <w:pStyle w:val="Body"/>
              <w:numPr>
                <w:ilvl w:val="0"/>
                <w:numId w:val="3"/>
              </w:numPr>
              <w:spacing w:after="70"/>
            </w:pPr>
            <w:r>
              <w:rPr>
                <w:rFonts w:ascii="Arial" w:cs="Arial" w:eastAsia="Arial" w:hAnsi="Arial"/>
                <w:color w:val="1F2937"/>
              </w:rPr>
              <w:t xml:space="preserve">Clients failing audits due to disconnected records</w:t>
            </w:r>
          </w:p>
        </w:tc>
      </w:tr>
      <w:tr>
        <w:tc>
          <w:tcPr>
            <w:tcW w:type="dxa" w:w="22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Enterprise</w:t>
            </w:r>
          </w:p>
        </w:tc>
        <w:tc>
          <w:tcPr>
            <w:tcW w:type="dxa" w:w="436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"Govern compliance across sites, teams, auditors, and controlled records with advanced security and reporting."</w:t>
            </w:r>
          </w:p>
        </w:tc>
        <w:tc>
          <w:tcPr>
            <w:tcW w:type="dxa" w:w="280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Multi-site clients</w:t>
            </w:r>
          </w:p>
          <w:p>
            <w:pPr>
              <w:pStyle w:val="Body"/>
              <w:numPr>
                <w:ilvl w:val="0"/>
                <w:numId w:val="3"/>
              </w:numPr>
              <w:spacing w:after="70"/>
            </w:pPr>
            <w:r>
              <w:rPr>
                <w:rFonts w:ascii="Arial" w:cs="Arial" w:eastAsia="Arial" w:hAnsi="Arial"/>
                <w:color w:val="1F2937"/>
              </w:rPr>
              <w:t xml:space="preserve">Clients with external audits</w:t>
            </w:r>
          </w:p>
          <w:p>
            <w:pPr>
              <w:pStyle w:val="Body"/>
              <w:numPr>
                <w:ilvl w:val="0"/>
                <w:numId w:val="3"/>
              </w:numPr>
              <w:spacing w:after="70"/>
            </w:pPr>
            <w:r>
              <w:rPr>
                <w:rFonts w:ascii="Arial" w:cs="Arial" w:eastAsia="Arial" w:hAnsi="Arial"/>
                <w:color w:val="1F2937"/>
              </w:rPr>
              <w:t xml:space="preserve">Clients needing integration or custom workflows</w:t>
            </w:r>
          </w:p>
        </w:tc>
      </w:tr>
    </w:tbl>
    <w:p>
      <w:pPr>
        <w:pStyle w:val="Heading1"/>
      </w:pPr>
      <w:r>
        <w:rPr>
          <w:rFonts w:ascii="Arial" w:cs="Arial" w:eastAsia="Arial" w:hAnsi="Arial"/>
          <w:color w:val="1F2937"/>
        </w:rPr>
        <w:t xml:space="preserve">Implementation Roadmap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40"/>
          <w:bottom w:type="dxa" w:w="120"/>
          <w:right w:type="dxa" w:w="140"/>
        </w:tblCellMar>
      </w:tblPr>
      <w:tblGrid>
        <w:gridCol w:w="1600"/>
        <w:gridCol w:w="2400"/>
        <w:gridCol w:w="5360"/>
      </w:tblGrid>
      <w:tr>
        <w:trPr>
          <w:tblHeader/>
        </w:trPr>
        <w:tc>
          <w:tcPr>
            <w:tcW w:type="dxa" w:w="160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Phase</w:t>
            </w:r>
          </w:p>
        </w:tc>
        <w:tc>
          <w:tcPr>
            <w:tcW w:type="dxa" w:w="240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Focus</w:t>
            </w:r>
          </w:p>
        </w:tc>
        <w:tc>
          <w:tcPr>
            <w:tcW w:type="dxa" w:w="5360"/>
            <w:tcBorders>
              <w:top w:val="single" w:color="CBD5E1" w:sz="1"/>
              <w:left w:val="single" w:color="CBD5E1" w:sz="1"/>
              <w:bottom w:val="single" w:color="CBD5E1" w:sz="1"/>
              <w:right w:val="single" w:color="CBD5E1" w:sz="1"/>
            </w:tcBorders>
            <w:shd w:fill="0F172A" w:val="clear"/>
            <w:vAlign w:val="top"/>
          </w:tcPr>
          <w:p>
            <w:pPr>
              <w:pStyle w:val="Body"/>
              <w:spacing w:after="0"/>
              <w:jc w:val="center"/>
            </w:pPr>
            <w:r>
              <w:rPr>
                <w:rFonts w:ascii="Arial" w:cs="Arial" w:eastAsia="Arial" w:hAnsi="Arial"/>
                <w:b/>
                <w:bCs/>
                <w:color w:val="FFFFFF"/>
              </w:rPr>
              <w:t xml:space="preserve">Key Actions</w:t>
            </w:r>
          </w:p>
        </w:tc>
      </w:tr>
      <w:tr>
        <w:tc>
          <w:tcPr>
            <w:tcW w:type="dxa" w:w="16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Phase 1</w:t>
            </w:r>
          </w:p>
        </w:tc>
        <w:tc>
          <w:tcPr>
            <w:tcW w:type="dxa" w:w="240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Tenant Foundation</w:t>
            </w:r>
          </w:p>
        </w:tc>
        <w:tc>
          <w:tcPr>
            <w:tcW w:type="dxa" w:w="536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Add tenants and tenant_memberships</w:t>
            </w:r>
          </w:p>
          <w:p>
            <w:pPr>
              <w:pStyle w:val="Body"/>
              <w:numPr>
                <w:ilvl w:val="0"/>
                <w:numId w:val="3"/>
              </w:numPr>
              <w:spacing w:after="70"/>
            </w:pPr>
            <w:r>
              <w:rPr>
                <w:rFonts w:ascii="Arial" w:cs="Arial" w:eastAsia="Arial" w:hAnsi="Arial"/>
                <w:color w:val="1F2937"/>
              </w:rPr>
              <w:t xml:space="preserve">Add tenant settings</w:t>
            </w:r>
          </w:p>
          <w:p>
            <w:pPr>
              <w:pStyle w:val="Body"/>
              <w:numPr>
                <w:ilvl w:val="0"/>
                <w:numId w:val="3"/>
              </w:numPr>
              <w:spacing w:after="70"/>
            </w:pPr>
            <w:r>
              <w:rPr>
                <w:rFonts w:ascii="Arial" w:cs="Arial" w:eastAsia="Arial" w:hAnsi="Arial"/>
                <w:color w:val="1F2937"/>
              </w:rPr>
              <w:t xml:space="preserve">Add tenant_id to core tables</w:t>
            </w:r>
          </w:p>
          <w:p>
            <w:pPr>
              <w:pStyle w:val="Body"/>
              <w:numPr>
                <w:ilvl w:val="0"/>
                <w:numId w:val="3"/>
              </w:numPr>
              <w:spacing w:after="70"/>
            </w:pPr>
            <w:r>
              <w:rPr>
                <w:rFonts w:ascii="Arial" w:cs="Arial" w:eastAsia="Arial" w:hAnsi="Arial"/>
                <w:color w:val="1F2937"/>
              </w:rPr>
              <w:t xml:space="preserve">Backfill existing data to one tenant</w:t>
            </w:r>
          </w:p>
          <w:p>
            <w:pPr>
              <w:pStyle w:val="Body"/>
              <w:numPr>
                <w:ilvl w:val="0"/>
                <w:numId w:val="3"/>
              </w:numPr>
              <w:spacing w:after="70"/>
            </w:pPr>
            <w:r>
              <w:rPr>
                <w:rFonts w:ascii="Arial" w:cs="Arial" w:eastAsia="Arial" w:hAnsi="Arial"/>
                <w:color w:val="1F2937"/>
              </w:rPr>
              <w:t xml:space="preserve">Update RLS policies, server actions, and storage paths</w:t>
            </w:r>
          </w:p>
        </w:tc>
      </w:tr>
      <w:tr>
        <w:tc>
          <w:tcPr>
            <w:tcW w:type="dxa" w:w="16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Phase 2</w:t>
            </w:r>
          </w:p>
        </w:tc>
        <w:tc>
          <w:tcPr>
            <w:tcW w:type="dxa" w:w="240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Feature Entitlements</w:t>
            </w:r>
          </w:p>
        </w:tc>
        <w:tc>
          <w:tcPr>
            <w:tcW w:type="dxa" w:w="536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Add feature registry</w:t>
            </w:r>
          </w:p>
          <w:p>
            <w:pPr>
              <w:pStyle w:val="Body"/>
              <w:numPr>
                <w:ilvl w:val="0"/>
                <w:numId w:val="3"/>
              </w:numPr>
              <w:spacing w:after="70"/>
            </w:pPr>
            <w:r>
              <w:rPr>
                <w:rFonts w:ascii="Arial" w:cs="Arial" w:eastAsia="Arial" w:hAnsi="Arial"/>
                <w:color w:val="1F2937"/>
              </w:rPr>
              <w:t xml:space="preserve">Add tenant feature entitlements</w:t>
            </w:r>
          </w:p>
          <w:p>
            <w:pPr>
              <w:pStyle w:val="Body"/>
              <w:numPr>
                <w:ilvl w:val="0"/>
                <w:numId w:val="3"/>
              </w:numPr>
              <w:spacing w:after="70"/>
            </w:pPr>
            <w:r>
              <w:rPr>
                <w:rFonts w:ascii="Arial" w:cs="Arial" w:eastAsia="Arial" w:hAnsi="Arial"/>
                <w:color w:val="1F2937"/>
              </w:rPr>
              <w:t xml:space="preserve">Add plan definitions</w:t>
            </w:r>
          </w:p>
          <w:p>
            <w:pPr>
              <w:pStyle w:val="Body"/>
              <w:numPr>
                <w:ilvl w:val="0"/>
                <w:numId w:val="3"/>
              </w:numPr>
              <w:spacing w:after="70"/>
            </w:pPr>
            <w:r>
              <w:rPr>
                <w:rFonts w:ascii="Arial" w:cs="Arial" w:eastAsia="Arial" w:hAnsi="Arial"/>
                <w:color w:val="1F2937"/>
              </w:rPr>
              <w:t xml:space="preserve">Add UI feature gating</w:t>
            </w:r>
          </w:p>
          <w:p>
            <w:pPr>
              <w:pStyle w:val="Body"/>
              <w:numPr>
                <w:ilvl w:val="0"/>
                <w:numId w:val="3"/>
              </w:numPr>
              <w:spacing w:after="70"/>
            </w:pPr>
            <w:r>
              <w:rPr>
                <w:rFonts w:ascii="Arial" w:cs="Arial" w:eastAsia="Arial" w:hAnsi="Arial"/>
                <w:color w:val="1F2937"/>
              </w:rPr>
              <w:t xml:space="preserve">Add server-side entitlement checks</w:t>
            </w:r>
          </w:p>
        </w:tc>
      </w:tr>
      <w:tr>
        <w:tc>
          <w:tcPr>
            <w:tcW w:type="dxa" w:w="16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Phase 3</w:t>
            </w:r>
          </w:p>
        </w:tc>
        <w:tc>
          <w:tcPr>
            <w:tcW w:type="dxa" w:w="240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Package UI</w:t>
            </w:r>
          </w:p>
        </w:tc>
        <w:tc>
          <w:tcPr>
            <w:tcW w:type="dxa" w:w="536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Add tenant admin billing/package screen</w:t>
            </w:r>
          </w:p>
          <w:p>
            <w:pPr>
              <w:pStyle w:val="Body"/>
              <w:numPr>
                <w:ilvl w:val="0"/>
                <w:numId w:val="3"/>
              </w:numPr>
              <w:spacing w:after="70"/>
            </w:pPr>
            <w:r>
              <w:rPr>
                <w:rFonts w:ascii="Arial" w:cs="Arial" w:eastAsia="Arial" w:hAnsi="Arial"/>
                <w:color w:val="1F2937"/>
              </w:rPr>
              <w:t xml:space="preserve">Show enabled modules</w:t>
            </w:r>
          </w:p>
          <w:p>
            <w:pPr>
              <w:pStyle w:val="Body"/>
              <w:numPr>
                <w:ilvl w:val="0"/>
                <w:numId w:val="3"/>
              </w:numPr>
              <w:spacing w:after="70"/>
            </w:pPr>
            <w:r>
              <w:rPr>
                <w:rFonts w:ascii="Arial" w:cs="Arial" w:eastAsia="Arial" w:hAnsi="Arial"/>
                <w:color w:val="1F2937"/>
              </w:rPr>
              <w:t xml:space="preserve">Show locked premium modules in a non-disruptive way</w:t>
            </w:r>
          </w:p>
          <w:p>
            <w:pPr>
              <w:pStyle w:val="Body"/>
              <w:numPr>
                <w:ilvl w:val="0"/>
                <w:numId w:val="3"/>
              </w:numPr>
              <w:spacing w:after="70"/>
            </w:pPr>
            <w:r>
              <w:rPr>
                <w:rFonts w:ascii="Arial" w:cs="Arial" w:eastAsia="Arial" w:hAnsi="Arial"/>
                <w:color w:val="1F2937"/>
              </w:rPr>
              <w:t xml:space="preserve">Add Request upgrade actions</w:t>
            </w:r>
          </w:p>
          <w:p>
            <w:pPr>
              <w:pStyle w:val="Body"/>
              <w:numPr>
                <w:ilvl w:val="0"/>
                <w:numId w:val="3"/>
              </w:numPr>
              <w:spacing w:after="70"/>
            </w:pPr>
            <w:r>
              <w:rPr>
                <w:rFonts w:ascii="Arial" w:cs="Arial" w:eastAsia="Arial" w:hAnsi="Arial"/>
                <w:color w:val="1F2937"/>
              </w:rPr>
              <w:t xml:space="preserve">Add internal admin controls for enabling packages</w:t>
            </w:r>
          </w:p>
        </w:tc>
      </w:tr>
      <w:tr>
        <w:tc>
          <w:tcPr>
            <w:tcW w:type="dxa" w:w="1600"/>
            <w:tcBorders>
              <w:top w:val="single" w:color="CBD5E1" w:sz="1"/>
              <w:left w:val="single" w:color="CBD5E1" w:sz="1"/>
              <w:bottom w:val="single" w:color="CBD5E1" w:sz="1"/>
              <w:right w:val="single" w:color="CBD5E1" w:sz="1"/>
            </w:tcBorders>
            <w:shd w:fill="F8FAFC" w:val="clear"/>
            <w:vAlign w:val="top"/>
          </w:tcPr>
          <w:p>
            <w:pPr>
              <w:pStyle w:val="Body"/>
              <w:spacing w:after="0"/>
            </w:pPr>
            <w:r>
              <w:rPr>
                <w:rFonts w:ascii="Arial" w:cs="Arial" w:eastAsia="Arial" w:hAnsi="Arial"/>
                <w:color w:val="1F2937"/>
              </w:rPr>
              <w:t xml:space="preserve">Phase 4</w:t>
            </w:r>
          </w:p>
        </w:tc>
        <w:tc>
          <w:tcPr>
            <w:tcW w:type="dxa" w:w="2400"/>
            <w:tcBorders>
              <w:top w:val="single" w:color="CBD5E1" w:sz="1"/>
              <w:left w:val="single" w:color="CBD5E1" w:sz="1"/>
              <w:bottom w:val="single" w:color="CBD5E1" w:sz="1"/>
              <w:right w:val="single" w:color="CBD5E1" w:sz="1"/>
            </w:tcBorders>
            <w:vAlign w:val="top"/>
          </w:tcPr>
          <w:p>
            <w:pPr>
              <w:pStyle w:val="Body"/>
              <w:spacing w:after="0"/>
            </w:pPr>
            <w:r>
              <w:rPr>
                <w:rFonts w:ascii="Arial" w:cs="Arial" w:eastAsia="Arial" w:hAnsi="Arial"/>
                <w:color w:val="1F2937"/>
              </w:rPr>
              <w:t xml:space="preserve">Sales and Onboarding Support</w:t>
            </w:r>
          </w:p>
        </w:tc>
        <w:tc>
          <w:tcPr>
            <w:tcW w:type="dxa" w:w="5360"/>
            <w:tcBorders>
              <w:top w:val="single" w:color="CBD5E1" w:sz="1"/>
              <w:left w:val="single" w:color="CBD5E1" w:sz="1"/>
              <w:bottom w:val="single" w:color="CBD5E1" w:sz="1"/>
              <w:right w:val="single" w:color="CBD5E1" w:sz="1"/>
            </w:tcBorders>
            <w:vAlign w:val="top"/>
          </w:tcPr>
          <w:p>
            <w:pPr>
              <w:pStyle w:val="Body"/>
              <w:numPr>
                <w:ilvl w:val="0"/>
                <w:numId w:val="3"/>
              </w:numPr>
              <w:spacing w:after="70"/>
            </w:pPr>
            <w:r>
              <w:rPr>
                <w:rFonts w:ascii="Arial" w:cs="Arial" w:eastAsia="Arial" w:hAnsi="Arial"/>
                <w:color w:val="1F2937"/>
              </w:rPr>
              <w:t xml:space="preserve">Tenant setup wizard</w:t>
            </w:r>
          </w:p>
          <w:p>
            <w:pPr>
              <w:pStyle w:val="Body"/>
              <w:numPr>
                <w:ilvl w:val="0"/>
                <w:numId w:val="3"/>
              </w:numPr>
              <w:spacing w:after="70"/>
            </w:pPr>
            <w:r>
              <w:rPr>
                <w:rFonts w:ascii="Arial" w:cs="Arial" w:eastAsia="Arial" w:hAnsi="Arial"/>
                <w:color w:val="1F2937"/>
              </w:rPr>
              <w:t xml:space="preserve">Department import</w:t>
            </w:r>
          </w:p>
          <w:p>
            <w:pPr>
              <w:pStyle w:val="Body"/>
              <w:numPr>
                <w:ilvl w:val="0"/>
                <w:numId w:val="3"/>
              </w:numPr>
              <w:spacing w:after="70"/>
            </w:pPr>
            <w:r>
              <w:rPr>
                <w:rFonts w:ascii="Arial" w:cs="Arial" w:eastAsia="Arial" w:hAnsi="Arial"/>
                <w:color w:val="1F2937"/>
              </w:rPr>
              <w:t xml:space="preserve">User import</w:t>
            </w:r>
          </w:p>
          <w:p>
            <w:pPr>
              <w:pStyle w:val="Body"/>
              <w:numPr>
                <w:ilvl w:val="0"/>
                <w:numId w:val="3"/>
              </w:numPr>
              <w:spacing w:after="70"/>
            </w:pPr>
            <w:r>
              <w:rPr>
                <w:rFonts w:ascii="Arial" w:cs="Arial" w:eastAsia="Arial" w:hAnsi="Arial"/>
                <w:color w:val="1F2937"/>
              </w:rPr>
              <w:t xml:space="preserve">SOP import</w:t>
            </w:r>
          </w:p>
          <w:p>
            <w:pPr>
              <w:pStyle w:val="Body"/>
              <w:numPr>
                <w:ilvl w:val="0"/>
                <w:numId w:val="3"/>
              </w:numPr>
              <w:spacing w:after="70"/>
            </w:pPr>
            <w:r>
              <w:rPr>
                <w:rFonts w:ascii="Arial" w:cs="Arial" w:eastAsia="Arial" w:hAnsi="Arial"/>
                <w:color w:val="1F2937"/>
              </w:rPr>
              <w:t xml:space="preserve">Numbering setup</w:t>
            </w:r>
          </w:p>
          <w:p>
            <w:pPr>
              <w:pStyle w:val="Body"/>
              <w:numPr>
                <w:ilvl w:val="0"/>
                <w:numId w:val="3"/>
              </w:numPr>
              <w:spacing w:after="70"/>
            </w:pPr>
            <w:r>
              <w:rPr>
                <w:rFonts w:ascii="Arial" w:cs="Arial" w:eastAsia="Arial" w:hAnsi="Arial"/>
                <w:color w:val="1F2937"/>
              </w:rPr>
              <w:t xml:space="preserve">Logo/branding setup</w:t>
            </w:r>
          </w:p>
          <w:p>
            <w:pPr>
              <w:pStyle w:val="Body"/>
              <w:numPr>
                <w:ilvl w:val="0"/>
                <w:numId w:val="3"/>
              </w:numPr>
              <w:spacing w:after="70"/>
            </w:pPr>
            <w:r>
              <w:rPr>
                <w:rFonts w:ascii="Arial" w:cs="Arial" w:eastAsia="Arial" w:hAnsi="Arial"/>
                <w:color w:val="1F2937"/>
              </w:rPr>
              <w:t xml:space="preserve">Initial package assignment</w:t>
            </w:r>
          </w:p>
        </w:tc>
      </w:tr>
    </w:tbl>
    <w:p>
      <w:pPr>
        <w:pStyle w:val="Heading1"/>
      </w:pPr>
      <w:r>
        <w:rPr>
          <w:rFonts w:ascii="Arial" w:cs="Arial" w:eastAsia="Arial" w:hAnsi="Arial"/>
          <w:color w:val="1F2937"/>
        </w:rPr>
        <w:t xml:space="preserve">Important Product Rule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60"/>
          <w:left w:type="dxa" w:w="220"/>
          <w:bottom w:type="dxa" w:w="160"/>
          <w:right w:type="dxa" w:w="220"/>
        </w:tblCellMar>
      </w:tblPr>
      <w:tblGrid>
        <w:gridCol w:w="9360"/>
      </w:tblGrid>
      <w:tr>
        <w:tc>
          <w:tcPr>
            <w:tcW w:type="dxa" w:w="9360"/>
            <w:tcBorders>
              <w:top w:val="single" w:color="B45309" w:sz="1"/>
              <w:left w:val="single" w:color="B45309" w:sz="8"/>
              <w:bottom w:val="single" w:color="B45309" w:sz="1"/>
              <w:right w:val="single" w:color="B45309" w:sz="1"/>
            </w:tcBorders>
            <w:shd w:fill="FEF3C7" w:val="clear"/>
          </w:tcPr>
          <w:p>
            <w:pPr>
              <w:pStyle w:val="Body"/>
              <w:spacing w:after="60"/>
            </w:pPr>
            <w:r>
              <w:rPr>
                <w:rFonts w:ascii="Arial" w:cs="Arial" w:eastAsia="Arial" w:hAnsi="Arial"/>
                <w:b/>
                <w:bCs/>
                <w:color w:val="0F172A"/>
              </w:rPr>
              <w:t xml:space="preserve">Do not make the core process feel broken for Basic users.</w:t>
            </w:r>
          </w:p>
          <w:p>
            <w:pPr>
              <w:pStyle w:val="Body"/>
              <w:spacing w:after="0"/>
            </w:pPr>
            <w:r>
              <w:rPr>
                <w:rFonts w:ascii="Arial" w:cs="Arial" w:eastAsia="Arial" w:hAnsi="Arial"/>
                <w:color w:val="1F2937"/>
              </w:rPr>
              <w:t xml:space="preserve">Basic users should still be able to run document control properly. Premium should add depth, automation, and operational reach.</w:t>
            </w:r>
          </w:p>
        </w:tc>
      </w:tr>
    </w:tbl>
    <w:p>
      <w:pPr>
        <w:pStyle w:val="Heading1"/>
      </w:pPr>
      <w:r>
        <w:rPr>
          <w:rFonts w:ascii="Arial" w:cs="Arial" w:eastAsia="Arial" w:hAnsi="Arial"/>
          <w:color w:val="1F2937"/>
        </w:rPr>
        <w:t xml:space="preserve">Final Recommendation</w:t>
      </w:r>
    </w:p>
    <w:p>
      <w:pPr>
        <w:pStyle w:val="Body"/>
        <w:spacing w:after="140"/>
      </w:pPr>
      <w:r>
        <w:rPr>
          <w:rFonts w:ascii="Arial" w:cs="Arial" w:eastAsia="Arial" w:hAnsi="Arial"/>
          <w:color w:val="1F2937"/>
        </w:rPr>
        <w:t xml:space="preserve">Use tiers for clarity: Core QMS, QMS Professional, and QMS Enterprise.</w:t>
      </w:r>
    </w:p>
    <w:p>
      <w:pPr>
        <w:pStyle w:val="Body"/>
        <w:spacing w:after="140"/>
      </w:pPr>
      <w:r>
        <w:rPr>
          <w:rFonts w:ascii="Arial" w:cs="Arial" w:eastAsia="Arial" w:hAnsi="Arial"/>
          <w:color w:val="1F2937"/>
        </w:rPr>
        <w:t xml:space="preserve">Use add-ons for flexible growth: AI Compliance Assistant, Training Compliance, Equipment and PM, Advanced Change Control, Advanced Reporting, and Auditor Portal.</w:t>
      </w:r>
    </w:p>
    <w:p>
      <w:pPr>
        <w:pStyle w:val="Body"/>
        <w:spacing w:after="140"/>
      </w:pPr>
      <w:r>
        <w:rPr>
          <w:rFonts w:ascii="Arial" w:cs="Arial" w:eastAsia="Arial" w:hAnsi="Arial"/>
          <w:color w:val="1F2937"/>
        </w:rPr>
        <w:t xml:space="preserve">This gives the platform a clean entry point, a strong upgrade path, and enough flexibility to serve real-world regulated organizations without turning the product into a confusing menu of disconnected features.</w:t>
      </w:r>
    </w:p>
    <w:sectPr>
      <w:headerReference w:type="default" r:id="rId7"/>
      <w:footerReference w:type="default" r:id="rId8"/>
      <w:pgSz w:w="11906" w:h="16838" w:orient="portrait"/>
      <w:pgMar w:top="1100" w:right="900" w:bottom="1100" w:left="9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8"/>
        <w:szCs w:val="18"/>
      </w:rPr>
      <w:t xml:space="preserve">Page </w:t>
    </w:r>
    <w:r>
      <w:rPr>
        <w:rFonts w:ascii="Arial" w:cs="Arial" w:eastAsia="Arial" w:hAnsi="Arial"/>
        <w:color w:val="4B5563"/>
        <w:sz w:val="18"/>
        <w:szCs w:val="18"/>
      </w:rPr>
      <w:fldChar w:fldCharType="begin"/>
      <w:instrText xml:space="preserve">PAGE</w:instrText>
      <w:fldChar w:fldCharType="separate"/>
      <w:fldChar w:fldCharType="end"/>
    </w:r>
    <w:r>
      <w:rPr>
        <w:rFonts w:ascii="Arial" w:cs="Arial" w:eastAsia="Arial" w:hAnsi="Arial"/>
        <w:color w:val="4B5563"/>
        <w:sz w:val="18"/>
        <w:szCs w:val="18"/>
      </w:rPr>
      <w:t xml:space="preserve"> of </w:t>
    </w:r>
    <w:r>
      <w:rPr>
        <w:rFonts w:ascii="Arial" w:cs="Arial" w:eastAsia="Arial" w:hAnsi="Arial"/>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B5563"/>
        <w:sz w:val="18"/>
        <w:szCs w:val="18"/>
      </w:rPr>
      <w:t xml:space="preserve">QMS-MANAJA | Tenancy and Feature Packaging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bullet"/>
      <w:lvlText w:val="•"/>
      <w:lvlJc w:val="left"/>
      <w:pPr>
        <w:ind w:left="300" w:hanging="180"/>
      </w:pPr>
    </w:lvl>
  </w:abstractNum>
  <w:abstractNum w:abstractNumId="4" w15:restartNumberingAfterBreak="0">
    <w:multiLevelType w:val="hybridMultilevel"/>
    <w:lvl w:ilvl="0" w15:tentative="1">
      <w:start w:val="1"/>
      <w:numFmt w:val="decimal"/>
      <w:lvlText w:val="%1."/>
      <w:lvlJc w:val="left"/>
      <w:pPr>
        <w:ind w:left="420" w:hanging="220"/>
      </w:pPr>
    </w:lvl>
  </w:abstractNum>
  <w:abstractNum w:abstractNumId="5" w15:restartNumberingAfterBreak="0">
    <w:multiLevelType w:val="hybridMultilevel"/>
    <w:lvl w:ilvl="0" w15:tentative="1">
      <w:start w:val="1"/>
      <w:numFmt w:val="decimal"/>
      <w:lvlText w:val="%1."/>
      <w:lvlJc w:val="left"/>
      <w:pPr>
        <w:ind w:left="420" w:hanging="220"/>
      </w:pPr>
    </w:lvl>
  </w:abstractNum>
  <w:abstractNum w:abstractNumId="6" w15:restartNumberingAfterBreak="0">
    <w:multiLevelType w:val="hybridMultilevel"/>
    <w:lvl w:ilvl="0" w15:tentative="1">
      <w:start w:val="1"/>
      <w:numFmt w:val="decimal"/>
      <w:lvlText w:val="%1."/>
      <w:lvlJc w:val="left"/>
      <w:pPr>
        <w:ind w:left="420" w:hanging="220"/>
      </w:pPr>
    </w:lvl>
  </w:abstractNum>
  <w:abstractNum w:abstractNumId="7"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0F172A"/>
      <w:sz w:val="52"/>
      <w:szCs w:val="52"/>
    </w:rPr>
  </w:style>
  <w:style w:type="paragraph" w:styleId="Subtitle">
    <w:name w:val="Subtitle"/>
    <w:basedOn w:val="Normal"/>
    <w:pPr>
      <w:spacing w:after="240"/>
      <w:jc w:val="center"/>
    </w:pPr>
    <w:rPr>
      <w:rFonts w:ascii="Arial" w:cs="Arial" w:eastAsia="Arial" w:hAnsi="Arial"/>
      <w:color w:val="1D4ED8"/>
      <w:sz w:val="32"/>
      <w:szCs w:val="32"/>
    </w:rPr>
  </w:style>
  <w:style w:type="paragraph" w:styleId="CoverMeta">
    <w:name w:val="Cover Meta"/>
    <w:basedOn w:val="Normal"/>
    <w:pPr>
      <w:jc w:val="center"/>
    </w:pPr>
    <w:rPr>
      <w:rFonts w:ascii="Arial" w:cs="Arial" w:eastAsia="Arial" w:hAnsi="Arial"/>
      <w:color w:val="4B5563"/>
      <w:sz w:val="22"/>
      <w:szCs w:val="22"/>
    </w:rPr>
  </w:style>
  <w:style w:type="paragraph" w:styleId="Body">
    <w:name w:val="Body"/>
    <w:basedOn w:val="Normal"/>
    <w:pPr>
      <w:spacing w:after="140"/>
    </w:pPr>
    <w:rPr>
      <w:rFonts w:ascii="Arial" w:cs="Arial" w:eastAsia="Arial" w:hAnsi="Arial"/>
      <w:color w:val="1F2937"/>
      <w:sz w:val="22"/>
      <w:szCs w:val="22"/>
    </w:rPr>
  </w:style>
  <w:style w:type="paragraph" w:styleId="Small">
    <w:name w:val="Small"/>
    <w:basedOn w:val="Normal"/>
    <w:pPr>
      <w:spacing w:after="80"/>
    </w:pPr>
    <w:rPr>
      <w:rFonts w:ascii="Arial" w:cs="Arial" w:eastAsia="Arial" w:hAnsi="Arial"/>
      <w:color w:val="4B5563"/>
      <w:sz w:val="18"/>
      <w:szCs w:val="18"/>
    </w:rPr>
  </w:style>
  <w:style w:type="paragraph" w:styleId="Heading1">
    <w:name w:val="Heading 1"/>
    <w:basedOn w:val="Normal"/>
    <w:next w:val="Body"/>
    <w:qFormat/>
    <w:pPr>
      <w:spacing w:after="160" w:before="360"/>
      <w:outlineLvl w:val="0"/>
    </w:pPr>
    <w:rPr>
      <w:rFonts w:ascii="Arial" w:cs="Arial" w:eastAsia="Arial" w:hAnsi="Arial"/>
      <w:b/>
      <w:bCs/>
      <w:color w:val="0F172A"/>
      <w:sz w:val="32"/>
      <w:szCs w:val="32"/>
    </w:rPr>
  </w:style>
  <w:style w:type="paragraph" w:styleId="Heading2">
    <w:name w:val="Heading 2"/>
    <w:basedOn w:val="Normal"/>
    <w:next w:val="Body"/>
    <w:qFormat/>
    <w:pPr>
      <w:spacing w:after="120" w:before="260"/>
      <w:outlineLvl w:val="1"/>
    </w:pPr>
    <w:rPr>
      <w:rFonts w:ascii="Arial" w:cs="Arial" w:eastAsia="Arial" w:hAnsi="Arial"/>
      <w:b/>
      <w:bCs/>
      <w:color w:val="1D4ED8"/>
      <w:sz w:val="26"/>
      <w:szCs w:val="26"/>
    </w:rPr>
  </w:style>
  <w:style w:type="paragraph" w:styleId="Heading3">
    <w:name w:val="Heading 3"/>
    <w:basedOn w:val="Normal"/>
    <w:next w:val="Body"/>
    <w:qFormat/>
    <w:pPr>
      <w:spacing w:after="80" w:before="180"/>
      <w:outlineLvl w:val="2"/>
    </w:pPr>
    <w:rPr>
      <w:rFonts w:ascii="Arial" w:cs="Arial" w:eastAsia="Arial" w:hAnsi="Arial"/>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2026-06-06T18:35:54.203Z</dcterms:created>
  <dcterms:modified xsi:type="dcterms:W3CDTF">2026-06-06T18:35:54.205Z</dcterms:modified>
</cp:coreProperties>
</file>

<file path=docProps/custom.xml><?xml version="1.0" encoding="utf-8"?>
<Properties xmlns="http://schemas.openxmlformats.org/officeDocument/2006/custom-properties" xmlns:vt="http://schemas.openxmlformats.org/officeDocument/2006/docPropsVTypes"/>
</file>