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color w:val="7B241C"/>
          <w:sz w:val="48"/>
        </w:rPr>
        <w:t>ĐỀ XUẤT ĐIỀU CHỈNH</w:t>
        <w:br/>
      </w:r>
      <w:r>
        <w:rPr>
          <w:rFonts w:ascii="Arial" w:hAnsi="Arial"/>
          <w:b/>
          <w:color w:val="7B241C"/>
          <w:sz w:val="48"/>
        </w:rPr>
        <w:t>TIẾN ĐỘ DỰ ÁN CHUYỂN ĐỔI SỐ</w:t>
        <w:br/>
      </w:r>
    </w:p>
    <w:p>
      <w:pPr>
        <w:jc w:val="center"/>
      </w:pPr>
      <w:r>
        <w:rPr>
          <w:color w:val="8B4513"/>
          <w:sz w:val="24"/>
        </w:rPr>
        <w:t>━━━━━━━━━━━━━━━━━━━━━━━━━</w:t>
      </w:r>
    </w:p>
    <w:p>
      <w:pPr>
        <w:jc w:val="center"/>
      </w:pPr>
      <w:r>
        <w:rPr>
          <w:rFonts w:ascii="Arial" w:hAnsi="Arial"/>
          <w:b/>
          <w:i/>
          <w:color w:val="8B4513"/>
          <w:sz w:val="22"/>
        </w:rPr>
        <w:t>Từ Kế hoạch Ban đầu đến Thực tế Triển khai</w:t>
      </w:r>
    </w:p>
    <w:p>
      <w:pPr>
        <w:jc w:val="center"/>
      </w:pPr>
      <w:r>
        <w:rPr>
          <w:rFonts w:ascii="Arial" w:hAnsi="Arial"/>
          <w:color w:val="555555"/>
          <w:sz w:val="22"/>
        </w:rPr>
        <w:t>Dự án: Chuyển đổi số Khối Vận hành — Tập đoàn Omega</w:t>
      </w:r>
    </w:p>
    <w:p>
      <w:pPr>
        <w:jc w:val="center"/>
      </w:pPr>
      <w:r>
        <w:rPr>
          <w:rFonts w:ascii="Arial" w:hAnsi="Arial"/>
          <w:color w:val="555555"/>
          <w:sz w:val="22"/>
        </w:rPr>
        <w:t>Phạm vi: Giai đoạn 2 (Tháng 4 – Tháng 9, 2026)</w:t>
      </w:r>
    </w:p>
    <w:p>
      <w:pPr>
        <w:jc w:val="center"/>
      </w:pPr>
      <w:r>
        <w:rPr>
          <w:rFonts w:ascii="Arial" w:hAnsi="Arial"/>
          <w:color w:val="555555"/>
          <w:sz w:val="22"/>
        </w:rPr>
        <w:t>Ngày lập đề xuất: 15 tháng 4, 2026</w:t>
      </w:r>
    </w:p>
    <w:p>
      <w:pPr>
        <w:spacing w:before="360" w:after="160" w:line="319" w:lineRule="auto"/>
      </w:pPr>
      <w:r>
        <w:rPr>
          <w:rFonts w:ascii="Arial" w:hAnsi="Arial"/>
          <w:b/>
          <w:color w:val="7B241C"/>
          <w:sz w:val="28"/>
        </w:rPr>
        <w:t>1. Đánh giá tổng quan tình hình hiện tại</w:t>
      </w:r>
    </w:p>
    <w:p>
      <w:pPr>
        <w:spacing w:before="0" w:after="140" w:line="341" w:lineRule="auto"/>
        <w:jc w:val="both"/>
      </w:pPr>
      <w:r>
        <w:rPr>
          <w:rFonts w:ascii="Arial" w:hAnsi="Arial"/>
          <w:color w:val="1A1A1A"/>
          <w:sz w:val="22"/>
        </w:rPr>
        <w:t>Dự án chuyển đổi số Khối Vận hành đã hoàn thành Giai đoạn 1 đúng tiến độ. Tuy nhiên, Giai đoạn 2 đang gặp 3 rào cản lớn khiến tiến độ bị chậm 3 tuần so với kế hoạch ban đầu.</w:t>
      </w:r>
    </w:p>
    <w:p>
      <w:pPr>
        <w:spacing w:before="0" w:after="140" w:line="341" w:lineRule="auto"/>
        <w:jc w:val="both"/>
      </w:pPr>
      <w:r>
        <w:rPr>
          <w:rFonts w:ascii="Arial" w:hAnsi="Arial"/>
          <w:color w:val="1A1A1A"/>
          <w:sz w:val="22"/>
        </w:rPr>
        <w:t>Tài liệu này phân tích nguyên nhân gốc rễ và đề xuất phương án điều chỉnh cụ thể để đưa dự án trở lại đúng quỹ đạo.</w:t>
      </w:r>
    </w:p>
    <w:p>
      <w:pPr>
        <w:spacing w:before="360" w:after="160" w:line="319" w:lineRule="auto"/>
      </w:pPr>
      <w:r>
        <w:rPr>
          <w:rFonts w:ascii="Arial" w:hAnsi="Arial"/>
          <w:b/>
          <w:color w:val="7B241C"/>
          <w:sz w:val="28"/>
        </w:rPr>
        <w:t>2. Các vấn đề cần điều chỉnh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Thiếu hụt nhân sự kỹ thuật: 2 trong 5 kỹ sư senior đã chuyển sang dự án khác theo quyết định điều phối nội bộ. Năng lực xử lý giảm 40%.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Chậm phê duyệt hạ tầng cloud: Quy trình procurement nội bộ kéo dài 6 tuần thay vì 2 tuần như dự kiến do yêu cầu bổ sung hồ sơ bảo mật.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Thay đổi yêu cầu từ Khối Kinh doanh: Bổ sung thêm module CRM vào phạm vi pilot, làm tăng scope 30%.</w:t>
      </w:r>
    </w:p>
    <w:p>
      <w:pPr>
        <w:jc w:val="both"/>
      </w:pPr>
      <w:r>
        <w:rPr>
          <w:rFonts w:ascii="Arial" w:hAnsi="Arial"/>
          <w:b/>
          <w:color w:val="1B5E4B"/>
          <w:sz w:val="22"/>
        </w:rPr>
        <w:t xml:space="preserve">▸ Đầu ra: </w:t>
      </w:r>
      <w:r>
        <w:rPr>
          <w:rFonts w:ascii="Arial" w:hAnsi="Arial"/>
          <w:sz w:val="22"/>
        </w:rPr>
        <w:t>Ban Giám đốc nắm rõ 3 nguyên nhân trễ và các phương án giải quyết tương ứng.</w:t>
      </w:r>
    </w:p>
    <w:p>
      <w:pPr>
        <w:jc w:val="both"/>
      </w:pPr>
      <w:r>
        <w:rPr>
          <w:rFonts w:ascii="Arial" w:hAnsi="Arial"/>
          <w:b/>
          <w:color w:val="9B2D1F"/>
          <w:sz w:val="22"/>
        </w:rPr>
        <w:t xml:space="preserve">▸ Không nên chứa: </w:t>
      </w:r>
      <w:r>
        <w:rPr>
          <w:rFonts w:ascii="Arial" w:hAnsi="Arial"/>
          <w:sz w:val="22"/>
        </w:rPr>
        <w:t>Cắt giảm thời gian testing để bù tiến độ — rủi ro chất lượng quá cao.</w:t>
      </w:r>
    </w:p>
    <w:p>
      <w:pPr>
        <w:spacing w:before="360" w:after="160" w:line="319" w:lineRule="auto"/>
      </w:pPr>
      <w:r>
        <w:rPr>
          <w:rFonts w:ascii="Arial" w:hAnsi="Arial"/>
          <w:b/>
          <w:color w:val="7B241C"/>
          <w:sz w:val="28"/>
        </w:rPr>
        <w:t>3. Phương án điều chỉnh đề xuất</w:t>
      </w:r>
    </w:p>
    <w:p>
      <w:pPr>
        <w:spacing w:before="0" w:after="140" w:line="341" w:lineRule="auto"/>
        <w:jc w:val="both"/>
      </w:pPr>
      <w:r>
        <w:rPr>
          <w:rFonts w:ascii="Arial" w:hAnsi="Arial"/>
          <w:color w:val="1A1A1A"/>
          <w:sz w:val="22"/>
        </w:rPr>
        <w:t>Sau khi cân nhắc nhiều phương án, chúng tôi đề xuất Phương án B: Điều chỉnh timeline và bổ sung nguồn lực, thay vì cắt giảm phạm vi dự án.</w:t>
      </w:r>
    </w:p>
    <w:p>
      <w:r>
        <w:rPr>
          <w:b/>
          <w:sz w:val="22"/>
        </w:rPr>
        <w:t>Bảng 1. So sánh timeline cũ và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2351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Kế hoạch Cũ</w:t>
            </w:r>
          </w:p>
        </w:tc>
        <w:tc>
          <w:tcPr>
            <w:tcW w:type="dxa" w:w="2351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Kế hoạch Mới</w:t>
            </w:r>
          </w:p>
        </w:tc>
        <w:tc>
          <w:tcPr>
            <w:tcW w:type="dxa" w:w="2351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Chênh lệch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Hoàn thành Pilot CRM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15/05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05/06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+3 tuần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UAT toàn hệ thống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01/06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25/06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+3.5 tuần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Go-live Giai đoạn 2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15/06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15/07</w:t>
            </w:r>
          </w:p>
        </w:tc>
        <w:tc>
          <w:tcPr>
            <w:tcW w:type="dxa" w:w="2351"/>
            <w:shd w:fill="F2F2F2" w:val="clear"/>
          </w:tcPr>
          <w:p>
            <w:pPr>
              <w:jc w:val="left"/>
            </w:pPr>
            <w:r>
              <w:t>+4 tuần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Đào tạo End-user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01/07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01/08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+4 tuần</w:t>
            </w:r>
          </w:p>
        </w:tc>
      </w:tr>
    </w:tbl>
    <w:p/>
    <w:p>
      <w:r>
        <w:rPr>
          <w:rFonts w:ascii="Arial" w:hAnsi="Arial"/>
          <w:b/>
          <w:i/>
          <w:color w:val="8B4513"/>
        </w:rPr>
        <w:t xml:space="preserve">Điểm mấu chốt: </w:t>
      </w:r>
      <w:r>
        <w:rPr>
          <w:rFonts w:ascii="Arial" w:hAnsi="Arial"/>
          <w:sz w:val="22"/>
        </w:rPr>
        <w:t>Mặc dù timeline dịch chuyển, tổng ngân sách không thay đổi nhờ tái phân bổ nguồn lực từ workstream đã hoàn thành sớm.</w:t>
      </w:r>
    </w:p>
    <w:p>
      <w:pPr>
        <w:spacing w:before="360" w:after="160" w:line="319" w:lineRule="auto"/>
      </w:pPr>
      <w:r>
        <w:rPr>
          <w:rFonts w:ascii="Arial" w:hAnsi="Arial"/>
          <w:b/>
          <w:color w:val="7B241C"/>
          <w:sz w:val="28"/>
        </w:rPr>
        <w:t>4. Tác động ngân sách</w:t>
      </w:r>
    </w:p>
    <w:p>
      <w:pPr>
        <w:spacing w:before="0" w:after="140" w:line="341" w:lineRule="auto"/>
        <w:jc w:val="both"/>
      </w:pPr>
      <w:r>
        <w:rPr>
          <w:rFonts w:ascii="Arial" w:hAnsi="Arial"/>
          <w:color w:val="1A1A1A"/>
          <w:sz w:val="22"/>
        </w:rPr>
        <w:t>Chi phí phát sinh từ việc thuê thêm 2 contractor trong 8 tuần được bù đắp bởi việc tiết kiệm chi phí licensing do đàm phán lại hợp đồng cloud:</w:t>
      </w:r>
    </w:p>
    <w:p>
      <w:r>
        <w:rPr>
          <w:b/>
          <w:sz w:val="22"/>
        </w:rPr>
        <w:t>Bảng 2. Ảnh hưởng ngân sách ròng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Khoản mục</w:t>
            </w:r>
          </w:p>
        </w:tc>
        <w:tc>
          <w:tcPr>
            <w:tcW w:type="dxa" w:w="3135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Tăng/Giảm</w:t>
            </w:r>
          </w:p>
        </w:tc>
        <w:tc>
          <w:tcPr>
            <w:tcW w:type="dxa" w:w="3135"/>
            <w:shd w:fill="7B241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Số tiền (VNĐ)</w:t>
            </w:r>
          </w:p>
        </w:tc>
      </w:tr>
      <w:tr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Thuê Contractor bổ sung</w:t>
            </w:r>
          </w:p>
        </w:tc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(+)</w:t>
            </w:r>
          </w:p>
        </w:tc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180,000,000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Tiết kiệm Licensing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(−)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210,000,000</w:t>
            </w:r>
          </w:p>
        </w:tc>
      </w:tr>
      <w:tr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Ảnh hưởng ròng</w:t>
            </w:r>
          </w:p>
        </w:tc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=</w:t>
            </w:r>
          </w:p>
        </w:tc>
        <w:tc>
          <w:tcPr>
            <w:tcW w:type="dxa" w:w="3135"/>
            <w:shd w:fill="F2F2F2" w:val="clear"/>
          </w:tcPr>
          <w:p>
            <w:pPr>
              <w:jc w:val="left"/>
            </w:pPr>
            <w:r>
              <w:t>−30,000,000 (tiết kiệm)</w:t>
            </w:r>
          </w:p>
        </w:tc>
      </w:tr>
    </w:tbl>
    <w:p/>
    <w:p>
      <w:pPr>
        <w:spacing w:before="360" w:after="160" w:line="319" w:lineRule="auto"/>
      </w:pPr>
      <w:r>
        <w:rPr>
          <w:rFonts w:ascii="Arial" w:hAnsi="Arial"/>
          <w:b/>
          <w:color w:val="7B241C"/>
          <w:sz w:val="28"/>
        </w:rPr>
        <w:t>5. Cam kết sau điều chỉnh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Tiến độ mới sẽ được theo dõi hàng tuần với báo cáo gửi Ban Điều hành mỗi thứ 6.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Không phát sinh thêm scope ngoài phạm vi đã thống nhất trong tài liệu này.</w:t>
      </w:r>
    </w:p>
    <w:p>
      <w:pPr>
        <w:spacing w:before="0" w:after="140" w:line="341" w:lineRule="auto"/>
        <w:jc w:val="both"/>
      </w:pPr>
      <w:r>
        <w:rPr>
          <w:rFonts w:ascii="Arial" w:hAnsi="Arial"/>
          <w:b/>
          <w:color w:val="7B241C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Đảm bảo chất lượng Go-live đạt 99.5% uptime theo SLA đã cam kết.</w:t>
      </w:r>
    </w:p>
    <w:p>
      <w:pPr>
        <w:jc w:val="both"/>
      </w:pPr>
      <w:r>
        <w:rPr>
          <w:rFonts w:ascii="Arial" w:hAnsi="Arial"/>
          <w:b/>
          <w:color w:val="1B5E4B"/>
          <w:sz w:val="22"/>
        </w:rPr>
        <w:t xml:space="preserve">▸ Đầu ra: </w:t>
      </w:r>
      <w:r>
        <w:rPr>
          <w:rFonts w:ascii="Arial" w:hAnsi="Arial"/>
          <w:sz w:val="22"/>
        </w:rPr>
        <w:t>Ban Giám đốc có đầy đủ cơ sở để phê duyệt điều chỉnh timeline Giai đoạn 2.</w:t>
      </w:r>
    </w:p>
    <w:p>
      <w:pPr>
        <w:spacing w:before="480" w:after="140" w:line="341" w:lineRule="auto"/>
        <w:jc w:val="center"/>
      </w:pPr>
      <w:r>
        <w:rPr>
          <w:rFonts w:ascii="Arial" w:hAnsi="Arial"/>
          <w:i/>
          <w:color w:val="595959"/>
          <w:sz w:val="22"/>
        </w:rPr>
        <w:t>— Hết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