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XUẤT GIẢI PHÁP TƯ VẤN</w:t>
      </w:r>
    </w:p>
    <w:p>
      <w:pPr>
        <w:pStyle w:val="Heading2"/>
      </w:pPr>
      <w:r>
        <w:t>Xây dựng Hệ thống Đào tạo Tân binh Tự động — Tập đoàn Omega</w:t>
      </w:r>
    </w:p>
    <w:p>
      <w:pPr>
        <w:spacing w:before="0" w:after="80" w:line="341" w:lineRule="auto"/>
      </w:pPr>
      <w:r>
        <w:rPr>
          <w:b/>
        </w:rPr>
        <w:t xml:space="preserve">Khách hàng: </w:t>
      </w:r>
      <w:r>
        <w:t>Tập đoàn Omega — Khối Quản trị Nhân sự</w:t>
      </w:r>
    </w:p>
    <w:p>
      <w:pPr>
        <w:spacing w:before="0" w:after="80" w:line="341" w:lineRule="auto"/>
      </w:pPr>
      <w:r>
        <w:rPr>
          <w:b/>
        </w:rPr>
        <w:t xml:space="preserve">Phạm vi: </w:t>
      </w:r>
      <w:r>
        <w:t>Mảng Đào tạo &amp; Hội nhập Nhân sự mới</w:t>
      </w:r>
    </w:p>
    <w:p>
      <w:pPr>
        <w:spacing w:before="0" w:after="80" w:line="341" w:lineRule="auto"/>
      </w:pPr>
      <w:r>
        <w:rPr>
          <w:b/>
        </w:rPr>
        <w:t xml:space="preserve">Nền tảng triển khai: </w:t>
      </w:r>
      <w:r>
        <w:t>Google Antigravity</w:t>
      </w:r>
    </w:p>
    <w:p>
      <w:pPr>
        <w:spacing w:before="0" w:after="80" w:line="341" w:lineRule="auto"/>
      </w:pPr>
      <w:r>
        <w:rPr>
          <w:b/>
        </w:rPr>
        <w:t xml:space="preserve">Ngày: </w:t>
      </w:r>
      <w:r>
        <w:t>Tháng 4/2026</w:t>
      </w:r>
    </w:p>
    <w:p>
      <w:pPr>
        <w:pStyle w:val="Heading2"/>
      </w:pPr>
      <w:r>
        <w:t>1. Bối cảnh và vấn đề</w:t>
      </w:r>
    </w:p>
    <w:p>
      <w:pPr>
        <w:pStyle w:val="Heading3"/>
      </w:pPr>
      <w:r>
        <w:t>1.1. Hiện trạng quy trình đào tạo</w:t>
      </w:r>
    </w:p>
    <w:p>
      <w:pPr>
        <w:spacing w:before="0" w:after="140" w:line="341" w:lineRule="auto"/>
        <w:jc w:val="both"/>
      </w:pPr>
      <w:r>
        <w:t>Tập đoàn hiện có quy trình onboarding kéo dài 4 tuần cho mỗi nhân sự mới. Quy trình này bao gồm đào tạo văn hóa doanh nghiệp, nghiệp vụ chuyên môn, và hướng dẫn sử dụng nội bộ tools. Tuy nhiên, toàn bộ kiến thức đào tạo phụ thuộc vào kinh nghiệm cá nhân của trainer.</w:t>
      </w:r>
    </w:p>
    <w:p>
      <w:pPr>
        <w:pStyle w:val="Heading3"/>
      </w:pPr>
      <w:r>
        <w:t>1.2. Vấn đề cốt lõi</w:t>
      </w:r>
    </w:p>
    <w:p>
      <w:pPr>
        <w:spacing w:before="0" w:after="140" w:line="341" w:lineRule="auto"/>
        <w:jc w:val="both"/>
      </w:pPr>
      <w:r>
        <w:rPr>
          <w:b/>
        </w:rPr>
        <w:t xml:space="preserve">Kiến thức phụ thuộc cá nhân. </w:t>
      </w:r>
      <w:r>
        <w:t>Mỗi trainer có cách truyền đạt riêng. Khi trainer nghỉ việc, chất lượng đào tạo giảm rõ rệt — batch sau luôn kém hơn batch trước.</w:t>
      </w:r>
    </w:p>
    <w:p>
      <w:pPr>
        <w:spacing w:before="0" w:after="140" w:line="341" w:lineRule="auto"/>
        <w:jc w:val="both"/>
      </w:pPr>
      <w:r>
        <w:rPr>
          <w:b/>
        </w:rPr>
        <w:t xml:space="preserve">Quy trình chưa được mã hóa. </w:t>
      </w:r>
      <w:r>
        <w:t>Checklist onboarding tồn tại dưới dạng file Word cá nhân, không được cập nhật đồng bộ. 3 phòng ban khác nhau dùng 3 phiên bản khác nhau.</w:t>
      </w:r>
    </w:p>
    <w:p>
      <w:pPr>
        <w:spacing w:before="0" w:after="140" w:line="341" w:lineRule="auto"/>
        <w:jc w:val="both"/>
      </w:pPr>
      <w:r>
        <w:rPr>
          <w:b/>
        </w:rPr>
        <w:t xml:space="preserve">Thời gian lặp lại chiếm tỷ trọng cao. </w:t>
      </w:r>
      <w:r>
        <w:t>Soạn slide đào tạo, chuẩn bị tài liệu hướng dẫn, tạo tài khoản hệ thống — đều là thao tác lặp lại mỗi đợt tuyển nhưng phải làm thủ công từ đầu.</w:t>
      </w:r>
    </w:p>
    <w:p>
      <w:pPr>
        <w:pStyle w:val="Heading2"/>
      </w:pPr>
      <w:r>
        <w:t>2. Giải pháp đề xuất</w:t>
      </w:r>
    </w:p>
    <w:p>
      <w:pPr>
        <w:pStyle w:val="Heading3"/>
      </w:pPr>
      <w:r>
        <w:t>2.1. Phương pháp tiếp cận</w:t>
      </w:r>
    </w:p>
    <w:p>
      <w:pPr>
        <w:spacing w:before="0" w:after="140" w:line="341" w:lineRule="auto"/>
        <w:jc w:val="both"/>
      </w:pPr>
      <w:r>
        <w:t>Xây dựng một Bản sao quy trình Đào tạo (Training Digital Twin) — hệ thống AI nắm giữ toàn bộ kiến thức đào tạo của tổ chức và có khả năng tự vận hành 80% các bước onboarding thường xuyên.</w:t>
      </w:r>
    </w:p>
    <w:p>
      <w:pPr>
        <w:pStyle w:val="Heading3"/>
      </w:pPr>
      <w:r>
        <w:t>2.2. Các module triển khai</w:t>
      </w:r>
    </w:p>
    <w:p>
      <w:pPr>
        <w:spacing w:before="160" w:after="80" w:line="341" w:lineRule="auto"/>
      </w:pPr>
      <w:r>
        <w:rPr>
          <w:b/>
          <w:sz w:val="24"/>
        </w:rPr>
        <w:t>a. Module A — Tạo tài liệu Onboarding</w:t>
      </w:r>
    </w:p>
    <w:p>
      <w:pPr>
        <w:spacing w:before="0" w:after="140" w:line="341" w:lineRule="auto"/>
        <w:jc w:val="both"/>
      </w:pPr>
      <w:r>
        <w:rPr>
          <w:b/>
        </w:rPr>
        <w:t xml:space="preserve">Hiện trạng: </w:t>
      </w:r>
      <w:r>
        <w:t>18 giờ/tháng. HR soạn slide đào tạo từ đầu cho mỗi batch, dù nội dung 70% giống nhau.</w:t>
      </w:r>
    </w:p>
    <w:p>
      <w:pPr>
        <w:spacing w:before="0" w:after="140" w:line="341" w:lineRule="auto"/>
        <w:jc w:val="both"/>
      </w:pPr>
      <w:r>
        <w:rPr>
          <w:b/>
        </w:rPr>
        <w:t xml:space="preserve">Số hóa: </w:t>
      </w:r>
      <w:r>
        <w:t>Mã hóa toàn bộ nội dung đào tạo cốt lõi → AI tự tạo bộ tài liệu theo vị trí và phòng ban cụ thể.</w:t>
      </w:r>
    </w:p>
    <w:p>
      <w:pPr>
        <w:spacing w:before="0" w:after="140" w:line="341" w:lineRule="auto"/>
        <w:jc w:val="both"/>
      </w:pPr>
      <w:r>
        <w:rPr>
          <w:b/>
        </w:rPr>
        <w:t xml:space="preserve">Kỳ vọng: </w:t>
      </w:r>
      <w:r>
        <w:t>Giảm từ 18 giờ xuống 4-5 giờ/tháng (~72%).</w:t>
      </w:r>
    </w:p>
    <w:p>
      <w:pPr>
        <w:spacing w:before="160" w:after="80" w:line="341" w:lineRule="auto"/>
      </w:pPr>
      <w:r>
        <w:rPr>
          <w:b/>
          <w:sz w:val="24"/>
        </w:rPr>
        <w:t>b. Module B — Đánh giá năng lực sau đào tạo</w:t>
      </w:r>
    </w:p>
    <w:p>
      <w:pPr>
        <w:spacing w:before="0" w:after="140" w:line="341" w:lineRule="auto"/>
        <w:jc w:val="both"/>
      </w:pPr>
      <w:r>
        <w:rPr>
          <w:b/>
        </w:rPr>
        <w:t xml:space="preserve">Hiện trạng: </w:t>
      </w:r>
      <w:r>
        <w:t>12 giờ/tháng. Trainer tự soạn bài test, chấm điểm thủ công, viết nhận xét cá nhân.</w:t>
      </w:r>
    </w:p>
    <w:p>
      <w:pPr>
        <w:spacing w:before="0" w:after="140" w:line="341" w:lineRule="auto"/>
        <w:jc w:val="both"/>
      </w:pPr>
      <w:r>
        <w:rPr>
          <w:b/>
        </w:rPr>
        <w:t xml:space="preserve">Số hóa: </w:t>
      </w:r>
      <w:r>
        <w:t>Mã hóa bộ câu hỏi, rubric chấm điểm, template nhận xét → AI tự tạo bài test và đánh giá sơ bộ.</w:t>
      </w:r>
    </w:p>
    <w:p>
      <w:pPr>
        <w:spacing w:before="0" w:after="140" w:line="341" w:lineRule="auto"/>
        <w:jc w:val="both"/>
      </w:pPr>
      <w:r>
        <w:rPr>
          <w:b/>
        </w:rPr>
        <w:t xml:space="preserve">Kỳ vọng: </w:t>
      </w:r>
      <w:r>
        <w:t>Giảm từ 12 giờ xuống 3-4 giờ/tháng (~70%).</w:t>
      </w:r>
    </w:p>
    <w:p>
      <w:pPr>
        <w:spacing w:before="160" w:after="80" w:line="341" w:lineRule="auto"/>
      </w:pPr>
      <w:r>
        <w:rPr>
          <w:b/>
          <w:sz w:val="24"/>
        </w:rPr>
        <w:t>c. Module C — Quản lý lộ trình hội nhập</w:t>
      </w:r>
    </w:p>
    <w:p>
      <w:pPr>
        <w:spacing w:before="0" w:after="140" w:line="341" w:lineRule="auto"/>
        <w:jc w:val="both"/>
      </w:pPr>
      <w:r>
        <w:rPr>
          <w:b/>
        </w:rPr>
        <w:t xml:space="preserve">Hiện trạng: </w:t>
      </w:r>
      <w:r>
        <w:t>8 giờ/tháng. Theo dõi tiến độ onboarding từng cá nhân qua spreadsheet thủ công.</w:t>
      </w:r>
    </w:p>
    <w:p>
      <w:pPr>
        <w:spacing w:before="0" w:after="140" w:line="341" w:lineRule="auto"/>
        <w:jc w:val="both"/>
      </w:pPr>
      <w:r>
        <w:rPr>
          <w:b/>
        </w:rPr>
        <w:t xml:space="preserve">Số hóa: </w:t>
      </w:r>
      <w:r>
        <w:t>AI tự tạo checklist cá nhân hóa, nhắc nhở deadline, tổng hợp báo cáo tiến độ cho HR Manager.</w:t>
      </w:r>
    </w:p>
    <w:p>
      <w:pPr>
        <w:spacing w:before="0" w:after="140" w:line="341" w:lineRule="auto"/>
        <w:jc w:val="both"/>
      </w:pPr>
      <w:r>
        <w:rPr>
          <w:b/>
        </w:rPr>
        <w:t xml:space="preserve">Kỳ vọng: </w:t>
      </w:r>
      <w:r>
        <w:t>Giảm từ 8 giờ xuống 2 giờ/tháng (~75%).</w:t>
      </w:r>
    </w:p>
    <w:p>
      <w:r>
        <w:rPr>
          <w:b/>
          <w:sz w:val="22"/>
        </w:rPr>
        <w:t>Bảng 1. Tổng hợp kỳ vọng giảm thời gian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565C0" w:val="clear"/>
          </w:tcPr>
          <w:p>
            <w:pPr>
              <w:jc w:val="center"/>
            </w:pPr>
            <w:r>
              <w:rPr>
                <w:b/>
                <w:color w:val="FFFFFF"/>
                <w:sz w:val="22"/>
              </w:rPr>
              <w:t>Module</w:t>
            </w:r>
          </w:p>
        </w:tc>
        <w:tc>
          <w:tcPr>
            <w:tcW w:type="dxa" w:w="1881"/>
            <w:shd w:fill="1565C0" w:val="clear"/>
          </w:tcPr>
          <w:p>
            <w:pPr>
              <w:jc w:val="center"/>
            </w:pPr>
            <w:r>
              <w:rPr>
                <w:b/>
                <w:color w:val="FFFFFF"/>
                <w:sz w:val="22"/>
              </w:rPr>
              <w:t>Giờ hiện tại</w:t>
            </w:r>
          </w:p>
        </w:tc>
        <w:tc>
          <w:tcPr>
            <w:tcW w:type="dxa" w:w="1881"/>
            <w:shd w:fill="1565C0" w:val="clear"/>
          </w:tcPr>
          <w:p>
            <w:pPr>
              <w:jc w:val="center"/>
            </w:pPr>
            <w:r>
              <w:rPr>
                <w:b/>
                <w:color w:val="FFFFFF"/>
                <w:sz w:val="22"/>
              </w:rPr>
              <w:t>Giờ sau số hóa</w:t>
            </w:r>
          </w:p>
        </w:tc>
        <w:tc>
          <w:tcPr>
            <w:tcW w:type="dxa" w:w="1881"/>
            <w:shd w:fill="1565C0" w:val="clear"/>
          </w:tcPr>
          <w:p>
            <w:pPr>
              <w:jc w:val="center"/>
            </w:pPr>
            <w:r>
              <w:rPr>
                <w:b/>
                <w:color w:val="FFFFFF"/>
                <w:sz w:val="22"/>
              </w:rPr>
              <w:t>Giảm %</w:t>
            </w:r>
          </w:p>
        </w:tc>
        <w:tc>
          <w:tcPr>
            <w:tcW w:type="dxa" w:w="1881"/>
            <w:shd w:fill="1565C0" w:val="clear"/>
          </w:tcPr>
          <w:p>
            <w:pPr>
              <w:jc w:val="center"/>
            </w:pPr>
            <w:r>
              <w:rPr>
                <w:b/>
                <w:color w:val="FFFFFF"/>
                <w:sz w:val="22"/>
              </w:rPr>
              <w:t>Tương đương</w:t>
            </w:r>
          </w:p>
        </w:tc>
      </w:tr>
      <w:tr>
        <w:tc>
          <w:tcPr>
            <w:tcW w:type="dxa" w:w="1881"/>
            <w:shd w:fill="F5F5F5" w:val="clear"/>
          </w:tcPr>
          <w:p>
            <w:pPr>
              <w:jc w:val="left"/>
            </w:pPr>
            <w:r>
              <w:t>Tạo tài liệu</w:t>
            </w:r>
          </w:p>
        </w:tc>
        <w:tc>
          <w:tcPr>
            <w:tcW w:type="dxa" w:w="1881"/>
            <w:shd w:fill="F5F5F5" w:val="clear"/>
          </w:tcPr>
          <w:p>
            <w:pPr>
              <w:jc w:val="left"/>
            </w:pPr>
            <w:r>
              <w:t>18h</w:t>
            </w:r>
          </w:p>
        </w:tc>
        <w:tc>
          <w:tcPr>
            <w:tcW w:type="dxa" w:w="1881"/>
            <w:shd w:fill="F5F5F5" w:val="clear"/>
          </w:tcPr>
          <w:p>
            <w:pPr>
              <w:jc w:val="left"/>
            </w:pPr>
            <w:r>
              <w:t>4-5h</w:t>
            </w:r>
          </w:p>
        </w:tc>
        <w:tc>
          <w:tcPr>
            <w:tcW w:type="dxa" w:w="1881"/>
            <w:shd w:fill="F5F5F5" w:val="clear"/>
          </w:tcPr>
          <w:p>
            <w:pPr>
              <w:jc w:val="left"/>
            </w:pPr>
            <w:r>
              <w:t>72%</w:t>
            </w:r>
          </w:p>
        </w:tc>
        <w:tc>
          <w:tcPr>
            <w:tcW w:type="dxa" w:w="1881"/>
            <w:shd w:fill="F5F5F5" w:val="clear"/>
          </w:tcPr>
          <w:p>
            <w:pPr>
              <w:jc w:val="left"/>
            </w:pPr>
            <w:r>
              <w:t>0.3 FTE</w:t>
            </w:r>
          </w:p>
        </w:tc>
      </w:tr>
      <w:tr>
        <w:tc>
          <w:tcPr>
            <w:tcW w:type="dxa" w:w="1881"/>
          </w:tcPr>
          <w:p>
            <w:pPr>
              <w:jc w:val="left"/>
            </w:pPr>
            <w:r>
              <w:t>Đánh giá năng lực</w:t>
            </w:r>
          </w:p>
        </w:tc>
        <w:tc>
          <w:tcPr>
            <w:tcW w:type="dxa" w:w="1881"/>
          </w:tcPr>
          <w:p>
            <w:pPr>
              <w:jc w:val="left"/>
            </w:pPr>
            <w:r>
              <w:t>12h</w:t>
            </w:r>
          </w:p>
        </w:tc>
        <w:tc>
          <w:tcPr>
            <w:tcW w:type="dxa" w:w="1881"/>
          </w:tcPr>
          <w:p>
            <w:pPr>
              <w:jc w:val="left"/>
            </w:pPr>
            <w:r>
              <w:t>3-4h</w:t>
            </w:r>
          </w:p>
        </w:tc>
        <w:tc>
          <w:tcPr>
            <w:tcW w:type="dxa" w:w="1881"/>
          </w:tcPr>
          <w:p>
            <w:pPr>
              <w:jc w:val="left"/>
            </w:pPr>
            <w:r>
              <w:t>70%</w:t>
            </w:r>
          </w:p>
        </w:tc>
        <w:tc>
          <w:tcPr>
            <w:tcW w:type="dxa" w:w="1881"/>
          </w:tcPr>
          <w:p>
            <w:pPr>
              <w:jc w:val="left"/>
            </w:pPr>
            <w:r>
              <w:t>0.2 FTE</w:t>
            </w:r>
          </w:p>
        </w:tc>
      </w:tr>
      <w:tr>
        <w:tc>
          <w:tcPr>
            <w:tcW w:type="dxa" w:w="1881"/>
            <w:shd w:fill="F5F5F5" w:val="clear"/>
          </w:tcPr>
          <w:p>
            <w:pPr>
              <w:jc w:val="left"/>
            </w:pPr>
            <w:r>
              <w:t>Quản lý lộ trình</w:t>
            </w:r>
          </w:p>
        </w:tc>
        <w:tc>
          <w:tcPr>
            <w:tcW w:type="dxa" w:w="1881"/>
            <w:shd w:fill="F5F5F5" w:val="clear"/>
          </w:tcPr>
          <w:p>
            <w:pPr>
              <w:jc w:val="left"/>
            </w:pPr>
            <w:r>
              <w:t>8h</w:t>
            </w:r>
          </w:p>
        </w:tc>
        <w:tc>
          <w:tcPr>
            <w:tcW w:type="dxa" w:w="1881"/>
            <w:shd w:fill="F5F5F5" w:val="clear"/>
          </w:tcPr>
          <w:p>
            <w:pPr>
              <w:jc w:val="left"/>
            </w:pPr>
            <w:r>
              <w:t>2h</w:t>
            </w:r>
          </w:p>
        </w:tc>
        <w:tc>
          <w:tcPr>
            <w:tcW w:type="dxa" w:w="1881"/>
            <w:shd w:fill="F5F5F5" w:val="clear"/>
          </w:tcPr>
          <w:p>
            <w:pPr>
              <w:jc w:val="left"/>
            </w:pPr>
            <w:r>
              <w:t>75%</w:t>
            </w:r>
          </w:p>
        </w:tc>
        <w:tc>
          <w:tcPr>
            <w:tcW w:type="dxa" w:w="1881"/>
            <w:shd w:fill="F5F5F5" w:val="clear"/>
          </w:tcPr>
          <w:p>
            <w:pPr>
              <w:jc w:val="left"/>
            </w:pPr>
            <w:r>
              <w:t>0.1 FTE</w:t>
            </w:r>
          </w:p>
        </w:tc>
      </w:tr>
      <w:tr>
        <w:tc>
          <w:tcPr>
            <w:tcW w:type="dxa" w:w="1881"/>
          </w:tcPr>
          <w:p>
            <w:pPr>
              <w:jc w:val="left"/>
            </w:pPr>
            <w:r>
              <w:t>Tổng</w:t>
            </w:r>
          </w:p>
        </w:tc>
        <w:tc>
          <w:tcPr>
            <w:tcW w:type="dxa" w:w="1881"/>
          </w:tcPr>
          <w:p>
            <w:pPr>
              <w:jc w:val="left"/>
            </w:pPr>
            <w:r>
              <w:t>38h</w:t>
            </w:r>
          </w:p>
        </w:tc>
        <w:tc>
          <w:tcPr>
            <w:tcW w:type="dxa" w:w="1881"/>
          </w:tcPr>
          <w:p>
            <w:pPr>
              <w:jc w:val="left"/>
            </w:pPr>
            <w:r>
              <w:t>9-11h</w:t>
            </w:r>
          </w:p>
        </w:tc>
        <w:tc>
          <w:tcPr>
            <w:tcW w:type="dxa" w:w="1881"/>
          </w:tcPr>
          <w:p>
            <w:pPr>
              <w:jc w:val="left"/>
            </w:pPr>
            <w:r>
              <w:t>~72%</w:t>
            </w:r>
          </w:p>
        </w:tc>
        <w:tc>
          <w:tcPr>
            <w:tcW w:type="dxa" w:w="1881"/>
          </w:tcPr>
          <w:p>
            <w:pPr>
              <w:jc w:val="left"/>
            </w:pPr>
            <w:r>
              <w:t>0.6 FTE</w:t>
            </w:r>
          </w:p>
        </w:tc>
      </w:tr>
    </w:tbl>
    <w:p/>
    <w:p>
      <w:pPr>
        <w:pStyle w:val="Heading2"/>
      </w:pPr>
      <w:r>
        <w:t>3. Lộ trình triển khai</w:t>
      </w:r>
    </w:p>
    <w:p>
      <w:pPr>
        <w:pStyle w:val="Heading3"/>
      </w:pPr>
      <w:r>
        <w:t>3.1. Phần A — Xây dựng Training Digital Twin</w:t>
      </w:r>
    </w:p>
    <w:p>
      <w:pPr>
        <w:spacing w:before="0" w:after="140" w:line="341" w:lineRule="auto"/>
        <w:jc w:val="both"/>
      </w:pPr>
      <w:r>
        <w:rPr>
          <w:b/>
        </w:rPr>
        <w:t xml:space="preserve">Thời gian thực hiện: </w:t>
      </w:r>
      <w:r>
        <w:t>3-4 tuần.</w:t>
      </w:r>
    </w:p>
    <w:p>
      <w:r>
        <w:rPr>
          <w:b/>
          <w:sz w:val="22"/>
        </w:rPr>
        <w:t>Bảng 2. Lộ trình triển khai Phần A</w:t>
      </w:r>
    </w:p>
    <w:tbl>
      <w:tblPr>
        <w:tblStyle w:val="TableGrid"/>
        <w:tblW w:type="auto" w:w="0"/>
        <w:tblLook w:firstColumn="1" w:firstRow="1" w:lastColumn="0" w:lastRow="0" w:noHBand="0" w:noVBand="1" w:val="04A0"/>
      </w:tblPr>
      <w:tblGrid>
        <w:gridCol w:w="3135"/>
        <w:gridCol w:w="3135"/>
        <w:gridCol w:w="3135"/>
      </w:tblGrid>
      <w:tr>
        <w:tc>
          <w:tcPr>
            <w:tcW w:type="dxa" w:w="3135"/>
            <w:shd w:fill="1565C0" w:val="clear"/>
          </w:tcPr>
          <w:p>
            <w:pPr>
              <w:jc w:val="center"/>
            </w:pPr>
            <w:r>
              <w:rPr>
                <w:b/>
                <w:color w:val="FFFFFF"/>
                <w:sz w:val="22"/>
              </w:rPr>
              <w:t>Tuần</w:t>
            </w:r>
          </w:p>
        </w:tc>
        <w:tc>
          <w:tcPr>
            <w:tcW w:type="dxa" w:w="3135"/>
            <w:shd w:fill="1565C0" w:val="clear"/>
          </w:tcPr>
          <w:p>
            <w:pPr>
              <w:jc w:val="center"/>
            </w:pPr>
            <w:r>
              <w:rPr>
                <w:b/>
                <w:color w:val="FFFFFF"/>
                <w:sz w:val="22"/>
              </w:rPr>
              <w:t>Hoạt động</w:t>
            </w:r>
          </w:p>
        </w:tc>
        <w:tc>
          <w:tcPr>
            <w:tcW w:type="dxa" w:w="3135"/>
            <w:shd w:fill="1565C0" w:val="clear"/>
          </w:tcPr>
          <w:p>
            <w:pPr>
              <w:jc w:val="center"/>
            </w:pPr>
            <w:r>
              <w:rPr>
                <w:b/>
                <w:color w:val="FFFFFF"/>
                <w:sz w:val="22"/>
              </w:rPr>
              <w:t>Đầu ra</w:t>
            </w:r>
          </w:p>
        </w:tc>
      </w:tr>
      <w:tr>
        <w:tc>
          <w:tcPr>
            <w:tcW w:type="dxa" w:w="3135"/>
            <w:shd w:fill="F5F5F5" w:val="clear"/>
          </w:tcPr>
          <w:p>
            <w:pPr>
              <w:jc w:val="left"/>
            </w:pPr>
            <w:r>
              <w:t>Tuần 1</w:t>
            </w:r>
          </w:p>
        </w:tc>
        <w:tc>
          <w:tcPr>
            <w:tcW w:type="dxa" w:w="3135"/>
            <w:shd w:fill="F5F5F5" w:val="clear"/>
          </w:tcPr>
          <w:p>
            <w:pPr>
              <w:jc w:val="left"/>
            </w:pPr>
            <w:r>
              <w:t>Thu thập toàn bộ tài liệu đào tạo</w:t>
            </w:r>
          </w:p>
        </w:tc>
        <w:tc>
          <w:tcPr>
            <w:tcW w:type="dxa" w:w="3135"/>
            <w:shd w:fill="F5F5F5" w:val="clear"/>
          </w:tcPr>
          <w:p>
            <w:pPr>
              <w:jc w:val="left"/>
            </w:pPr>
            <w:r>
              <w:t>Knowledge Base chuẩn hóa</w:t>
            </w:r>
          </w:p>
        </w:tc>
      </w:tr>
      <w:tr>
        <w:tc>
          <w:tcPr>
            <w:tcW w:type="dxa" w:w="3135"/>
          </w:tcPr>
          <w:p>
            <w:pPr>
              <w:jc w:val="left"/>
            </w:pPr>
            <w:r>
              <w:t>Tuần 2</w:t>
            </w:r>
          </w:p>
        </w:tc>
        <w:tc>
          <w:tcPr>
            <w:tcW w:type="dxa" w:w="3135"/>
          </w:tcPr>
          <w:p>
            <w:pPr>
              <w:jc w:val="left"/>
            </w:pPr>
            <w:r>
              <w:t>Mã hóa quy trình vào AI</w:t>
            </w:r>
          </w:p>
        </w:tc>
        <w:tc>
          <w:tcPr>
            <w:tcW w:type="dxa" w:w="3135"/>
          </w:tcPr>
          <w:p>
            <w:pPr>
              <w:jc w:val="left"/>
            </w:pPr>
            <w:r>
              <w:t>3 module sẵn sàng test</w:t>
            </w:r>
          </w:p>
        </w:tc>
      </w:tr>
      <w:tr>
        <w:tc>
          <w:tcPr>
            <w:tcW w:type="dxa" w:w="3135"/>
            <w:shd w:fill="F5F5F5" w:val="clear"/>
          </w:tcPr>
          <w:p>
            <w:pPr>
              <w:jc w:val="left"/>
            </w:pPr>
            <w:r>
              <w:t>Tuần 3</w:t>
            </w:r>
          </w:p>
        </w:tc>
        <w:tc>
          <w:tcPr>
            <w:tcW w:type="dxa" w:w="3135"/>
            <w:shd w:fill="F5F5F5" w:val="clear"/>
          </w:tcPr>
          <w:p>
            <w:pPr>
              <w:jc w:val="left"/>
            </w:pPr>
            <w:r>
              <w:t>Test với 1 batch thực tế</w:t>
            </w:r>
          </w:p>
        </w:tc>
        <w:tc>
          <w:tcPr>
            <w:tcW w:type="dxa" w:w="3135"/>
            <w:shd w:fill="F5F5F5" w:val="clear"/>
          </w:tcPr>
          <w:p>
            <w:pPr>
              <w:jc w:val="left"/>
            </w:pPr>
            <w:r>
              <w:t>So sánh AI vs Manual</w:t>
            </w:r>
          </w:p>
        </w:tc>
      </w:tr>
      <w:tr>
        <w:tc>
          <w:tcPr>
            <w:tcW w:type="dxa" w:w="3135"/>
          </w:tcPr>
          <w:p>
            <w:pPr>
              <w:jc w:val="left"/>
            </w:pPr>
            <w:r>
              <w:t>Tuần 4</w:t>
            </w:r>
          </w:p>
        </w:tc>
        <w:tc>
          <w:tcPr>
            <w:tcW w:type="dxa" w:w="3135"/>
          </w:tcPr>
          <w:p>
            <w:pPr>
              <w:jc w:val="left"/>
            </w:pPr>
            <w:r>
              <w:t>Tinh chỉnh và nghiệm thu</w:t>
            </w:r>
          </w:p>
        </w:tc>
        <w:tc>
          <w:tcPr>
            <w:tcW w:type="dxa" w:w="3135"/>
          </w:tcPr>
          <w:p>
            <w:pPr>
              <w:jc w:val="left"/>
            </w:pPr>
            <w:r>
              <w:t>Bản chính thức</w:t>
            </w:r>
          </w:p>
        </w:tc>
      </w:tr>
    </w:tbl>
    <w:p/>
    <w:p>
      <w:pPr>
        <w:pStyle w:val="Heading3"/>
      </w:pPr>
      <w:r>
        <w:t>3.2. Phần B — Đào tạo và chuyển giao</w:t>
      </w:r>
    </w:p>
    <w:p>
      <w:pPr>
        <w:spacing w:before="0" w:after="140" w:line="341" w:lineRule="auto"/>
        <w:jc w:val="both"/>
      </w:pPr>
      <w:r>
        <w:rPr>
          <w:b/>
        </w:rPr>
        <w:t xml:space="preserve">Mục tiêu: </w:t>
      </w:r>
      <w:r>
        <w:t>Nhân sự Omega tự vận hành, điều chỉnh và phát triển hệ thống đào tạo số mà không cần hỗ trợ bên ngoài.</w:t>
      </w:r>
    </w:p>
    <w:p>
      <w:pPr>
        <w:spacing w:before="0" w:after="140" w:line="341" w:lineRule="auto"/>
        <w:jc w:val="both"/>
      </w:pPr>
      <w:r>
        <w:rPr>
          <w:b/>
        </w:rPr>
        <w:t xml:space="preserve">Số lượng học viên: </w:t>
      </w:r>
      <w:r>
        <w:t>Tối đa 5 người.</w:t>
      </w:r>
    </w:p>
    <w:p>
      <w:pPr>
        <w:spacing w:before="0" w:after="140" w:line="341" w:lineRule="auto"/>
        <w:jc w:val="both"/>
      </w:pPr>
      <w:r>
        <w:t>Sau đào tạo, đơn vị tư vấn giám sát quá trình vận hành trong 2 tuần:</w:t>
      </w:r>
    </w:p>
    <w:p>
      <w:pPr>
        <w:pStyle w:val="ListBullet"/>
        <w:spacing w:before="40" w:after="80" w:line="341" w:lineRule="auto"/>
        <w:jc w:val="both"/>
      </w:pPr>
      <w:r>
        <w:t>Theo dõi kết quả đầu ra của từng module.</w:t>
      </w:r>
    </w:p>
    <w:p>
      <w:pPr>
        <w:pStyle w:val="ListBullet"/>
        <w:spacing w:before="40" w:after="80" w:line="341" w:lineRule="auto"/>
        <w:jc w:val="both"/>
      </w:pPr>
      <w:r>
        <w:t>Hỗ trợ xử lý vướng mắc phát sinh.</w:t>
      </w:r>
    </w:p>
    <w:p>
      <w:pPr>
        <w:pStyle w:val="ListBullet"/>
        <w:spacing w:before="40" w:after="80" w:line="341" w:lineRule="auto"/>
        <w:jc w:val="both"/>
      </w:pPr>
      <w:r>
        <w:t>Đánh giá mức độ thành thạo của nhân sự.</w:t>
      </w:r>
    </w:p>
    <w:p>
      <w:pPr>
        <w:pStyle w:val="ListBullet"/>
        <w:spacing w:before="40" w:after="80" w:line="341" w:lineRule="auto"/>
        <w:jc w:val="both"/>
      </w:pPr>
      <w:r>
        <w:t>Nghiệm thu hoàn thành khi tỷ lệ tự vận hành ổn định.</w:t>
      </w:r>
    </w:p>
    <w:p>
      <w:pPr>
        <w:pStyle w:val="Heading2"/>
      </w:pPr>
      <w:r>
        <w:t>4. Cam kết</w:t>
      </w:r>
    </w:p>
    <w:p>
      <w:pPr>
        <w:spacing w:before="0" w:after="140" w:line="341" w:lineRule="auto"/>
        <w:jc w:val="both"/>
      </w:pPr>
      <w:r>
        <w:rPr>
          <w:b/>
        </w:rPr>
        <w:t xml:space="preserve">Chất lượng tương đương trainer con người. </w:t>
      </w:r>
      <w:r>
        <w:t>Hệ thống đào tạo số cho kết quả chất lượng tương đương hoặc cao hơn trainer hiện tại nhờ tính nhất quán.</w:t>
      </w:r>
    </w:p>
    <w:p>
      <w:pPr>
        <w:spacing w:before="0" w:after="140" w:line="341" w:lineRule="auto"/>
        <w:jc w:val="both"/>
      </w:pPr>
      <w:r>
        <w:rPr>
          <w:b/>
        </w:rPr>
        <w:t xml:space="preserve">Giảm tối thiểu 50% thời gian xử lý </w:t>
      </w:r>
      <w:r>
        <w:t>cho toàn bộ 3 module sau khi nghiệm thu.</w:t>
      </w:r>
    </w:p>
    <w:p>
      <w:pPr>
        <w:spacing w:before="0" w:after="140" w:line="341" w:lineRule="auto"/>
        <w:jc w:val="both"/>
      </w:pPr>
      <w:r>
        <w:rPr>
          <w:b/>
        </w:rPr>
        <w:t xml:space="preserve">Chuyển giao hoàn toàn. </w:t>
      </w:r>
      <w:r>
        <w:t>Sau dự án, nhân sự Omega tự vận hành và nâng cấp mà không cần hỗ trợ thường xuyên từ bên tư vấn.</w:t>
      </w:r>
    </w:p>
    <w:p>
      <w:pPr>
        <w:pStyle w:val="Heading2"/>
      </w:pPr>
      <w:r>
        <w:t>5. Lưu ý quan trọng</w:t>
      </w:r>
    </w:p>
    <w:p>
      <w:pPr>
        <w:spacing w:before="0" w:after="140" w:line="341" w:lineRule="auto"/>
        <w:jc w:val="both"/>
      </w:pPr>
      <w:r>
        <w:rPr>
          <w:b/>
        </w:rPr>
        <w:t xml:space="preserve">AI giống trainer mới. </w:t>
      </w:r>
      <w:r>
        <w:t>Giai đoạn đầu cần sửa nhiều — đây là quá trình dạy việc bình thường. Chất lượng tăng dần theo thời gian khi dữ liệu mẫu được bổ sung.</w:t>
      </w:r>
    </w:p>
    <w:p>
      <w:pPr>
        <w:spacing w:before="0" w:after="140" w:line="341" w:lineRule="auto"/>
        <w:jc w:val="both"/>
      </w:pPr>
      <w:r>
        <w:rPr>
          <w:b/>
        </w:rPr>
        <w:t xml:space="preserve">Dữ liệu mẫu quyết định chất lượng. </w:t>
      </w:r>
      <w:r>
        <w:t>Hệ thống chỉ giỏi bằng dữ liệu được nạp vào. Cần cam kết cung cấp tài liệu đào tạo chất lượng cao ngay từ đầu.</w:t>
      </w:r>
    </w:p>
    <w:p>
      <w:r>
        <w:rPr>
          <w:i/>
          <w:color w:val="595959"/>
          <w:sz w:val="22"/>
        </w:rPr>
        <w:t>Đề xuất này được xây dựng trên cơ sở dữ liệu vận hành thực tế của Khối Nhân sự Tập đoàn Omega, tháng 4/2026.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