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wmf" ContentType="image/x-wmf"/>
  <Override PartName="/word/media/image3.png" ContentType="image/png"/>
  <Override PartName="/word/media/image9.jpeg" ContentType="image/jpeg"/>
  <Override PartName="/word/media/image4.png" ContentType="image/png"/>
  <Override PartName="/word/media/image5.png" ContentType="image/png"/>
  <Override PartName="/word/media/image8.jpeg" ContentType="image/jpeg"/>
  <Override PartName="/word/media/image6.svg" ContentType="image/svg"/>
  <Override PartName="/word/media/image7.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sz w:val="32"/>
          <w:szCs w:val="32"/>
          <w:lang w:val="en-US"/>
        </w:rPr>
      </w:pPr>
      <w:bookmarkStart w:id="0" w:name="_Hlk78354194"/>
      <w:r>
        <w:rPr>
          <w:sz w:val="32"/>
          <w:szCs w:val="32"/>
          <w:lang w:val="en-US"/>
        </w:rPr>
        <w:t>TinyML aplicado al IoT para optimizar el rendimiento y consumo energético en dispositivos embebidos:  Revisión Sistemática de Literatura</w:t>
      </w:r>
      <w:bookmarkEnd w:id="0"/>
    </w:p>
    <w:p>
      <w:pPr>
        <w:pStyle w:val="Normal"/>
        <w:jc w:val="center"/>
        <w:rPr>
          <w:b/>
          <w:bCs/>
        </w:rPr>
      </w:pPr>
      <w:r>
        <w:rPr>
          <w:b/>
          <w:bCs/>
        </w:rPr>
      </w:r>
    </w:p>
    <w:p>
      <w:pPr>
        <w:pStyle w:val="Normal"/>
        <w:jc w:val="center"/>
        <w:rPr>
          <w:b/>
          <w:bCs/>
        </w:rPr>
      </w:pPr>
      <w:r>
        <w:rPr>
          <w:b/>
          <w:bCs/>
        </w:rPr>
        <w:t>Elkin</w:t>
      </w:r>
      <w:bookmarkStart w:id="1" w:name="_Hlk80000582"/>
      <w:r>
        <w:rPr>
          <w:b/>
          <w:bCs/>
        </w:rPr>
        <w:t xml:space="preserve"> Jenner Rivera</w:t>
      </w:r>
      <w:r>
        <w:rPr>
          <w:b/>
          <w:bCs/>
          <w:vertAlign w:val="superscript"/>
        </w:rPr>
        <w:t>1</w:t>
      </w:r>
      <w:r>
        <w:rPr>
          <w:b/>
          <w:bCs/>
        </w:rPr>
        <w:t xml:space="preserve"> (10 pt)</w:t>
      </w:r>
    </w:p>
    <w:p>
      <w:pPr>
        <w:pStyle w:val="Normal"/>
        <w:jc w:val="center"/>
        <w:rPr>
          <w:sz w:val="16"/>
          <w:szCs w:val="16"/>
        </w:rPr>
      </w:pPr>
      <w:bookmarkStart w:id="2" w:name="_Hlk68515371"/>
      <w:r>
        <w:rPr>
          <w:sz w:val="16"/>
          <w:szCs w:val="16"/>
          <w:vertAlign w:val="superscript"/>
        </w:rPr>
        <w:t>1</w:t>
      </w:r>
      <w:r>
        <w:rPr>
          <w:sz w:val="16"/>
          <w:szCs w:val="16"/>
        </w:rPr>
        <w:t>Department of Electrical Engineering, Faculty of Engineering, Chiang Mai University, Chiang Mai, Thailand (8 pt)</w:t>
      </w:r>
    </w:p>
    <w:p>
      <w:pPr>
        <w:pStyle w:val="Normal"/>
        <w:jc w:val="center"/>
        <w:rPr>
          <w:sz w:val="16"/>
          <w:szCs w:val="16"/>
        </w:rPr>
      </w:pPr>
      <w:r>
        <w:rPr>
          <w:sz w:val="16"/>
          <w:szCs w:val="16"/>
          <w:vertAlign w:val="superscript"/>
        </w:rPr>
        <w:t>2</w:t>
      </w:r>
      <w:r>
        <w:rPr>
          <w:sz w:val="16"/>
          <w:szCs w:val="16"/>
        </w:rPr>
        <w:t>Research Laboratory of Electronics, Massachusetts Institute of Technology, Cambridge, United States</w:t>
      </w:r>
      <w:bookmarkEnd w:id="2"/>
    </w:p>
    <w:p>
      <w:pPr>
        <w:pStyle w:val="Normal"/>
        <w:jc w:val="center"/>
        <w:rPr>
          <w:sz w:val="16"/>
          <w:szCs w:val="16"/>
        </w:rPr>
      </w:pPr>
      <w:r>
        <w:rPr>
          <w:sz w:val="16"/>
          <w:szCs w:val="16"/>
          <w:vertAlign w:val="superscript"/>
        </w:rPr>
        <w:t>3</w:t>
      </w:r>
      <w:r>
        <w:rPr>
          <w:sz w:val="16"/>
          <w:szCs w:val="16"/>
        </w:rPr>
        <w:t>Department of Electrical Engineering, Faculty of Engineering, Ain Shams University, Cairo, Egypt</w:t>
      </w:r>
    </w:p>
    <w:p>
      <w:pPr>
        <w:pStyle w:val="Normal"/>
        <w:jc w:val="center"/>
        <w:rPr>
          <w:sz w:val="16"/>
          <w:szCs w:val="16"/>
        </w:rPr>
      </w:pPr>
      <w:bookmarkStart w:id="3" w:name="_Hlk80023275"/>
      <w:r>
        <w:rPr>
          <w:sz w:val="16"/>
          <w:szCs w:val="16"/>
          <w:vertAlign w:val="superscript"/>
        </w:rPr>
        <w:t>4</w:t>
      </w:r>
      <w:r>
        <w:rPr>
          <w:sz w:val="16"/>
          <w:szCs w:val="16"/>
        </w:rPr>
        <w:t xml:space="preserve">Department of </w:t>
      </w:r>
      <w:bookmarkStart w:id="4" w:name="_Hlk80015074"/>
      <w:r>
        <w:rPr>
          <w:sz w:val="16"/>
          <w:szCs w:val="16"/>
        </w:rPr>
        <w:t>Electrical Engineering</w:t>
      </w:r>
      <w:bookmarkEnd w:id="4"/>
      <w:r>
        <w:rPr>
          <w:sz w:val="16"/>
          <w:szCs w:val="16"/>
        </w:rPr>
        <w:t xml:space="preserve">, Faculty of Engineering and Technology, </w:t>
      </w:r>
      <w:bookmarkStart w:id="5" w:name="_Hlk80026573"/>
      <w:bookmarkStart w:id="6" w:name="_Hlk80015015"/>
      <w:r>
        <w:rPr>
          <w:sz w:val="16"/>
          <w:szCs w:val="16"/>
        </w:rPr>
        <w:t>Future University in</w:t>
      </w:r>
      <w:bookmarkEnd w:id="3"/>
      <w:r>
        <w:rPr>
          <w:sz w:val="16"/>
          <w:szCs w:val="16"/>
        </w:rPr>
        <w:t xml:space="preserve"> Egypt</w:t>
      </w:r>
      <w:bookmarkEnd w:id="6"/>
      <w:r>
        <w:rPr>
          <w:sz w:val="16"/>
          <w:szCs w:val="16"/>
        </w:rPr>
        <w:t>, Cairo, Egypt</w:t>
      </w:r>
      <w:bookmarkEnd w:id="1"/>
      <w:bookmarkEnd w:id="5"/>
    </w:p>
    <w:p>
      <w:pPr>
        <w:pStyle w:val="Normal"/>
        <w:jc w:val="center"/>
        <w:rPr/>
      </w:pPr>
      <w:r>
        <w:rPr/>
      </w:r>
    </w:p>
    <w:p>
      <w:pPr>
        <w:pStyle w:val="Normal"/>
        <w:jc w:val="center"/>
        <w:rPr/>
      </w:pPr>
      <w:r>
        <w:rPr/>
      </w:r>
    </w:p>
    <w:tbl>
      <w:tblPr>
        <w:tblStyle w:val="TableGrid"/>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87"/>
        <w:gridCol w:w="282"/>
        <w:gridCol w:w="5776"/>
      </w:tblGrid>
      <w:tr>
        <w:trPr/>
        <w:tc>
          <w:tcPr>
            <w:tcW w:w="2787" w:type="dxa"/>
            <w:tcBorders>
              <w:top w:val="double" w:sz="4" w:space="0" w:color="000000"/>
              <w:left w:val="nil"/>
              <w:right w:val="nil"/>
            </w:tcBorders>
          </w:tcPr>
          <w:p>
            <w:pPr>
              <w:pStyle w:val="Normal"/>
              <w:widowControl/>
              <w:suppressAutoHyphens w:val="true"/>
              <w:spacing w:before="120" w:after="0"/>
              <w:jc w:val="both"/>
              <w:rPr>
                <w:b/>
              </w:rPr>
            </w:pPr>
            <w:r>
              <w:rPr>
                <w:rFonts w:eastAsia="Times New Roman" w:cs="Times New Roman"/>
                <w:b/>
                <w:kern w:val="0"/>
                <w:sz w:val="20"/>
                <w:szCs w:val="20"/>
                <w:lang w:val="en-US" w:eastAsia="en-US" w:bidi="ar-SA"/>
              </w:rPr>
              <w:t>Article Info</w:t>
            </w:r>
          </w:p>
        </w:tc>
        <w:tc>
          <w:tcPr>
            <w:tcW w:w="282" w:type="dxa"/>
            <w:tcBorders>
              <w:top w:val="double" w:sz="4" w:space="0" w:color="000000"/>
              <w:left w:val="nil"/>
              <w:bottom w:val="nil"/>
              <w:right w:val="nil"/>
            </w:tcBorders>
          </w:tcPr>
          <w:p>
            <w:pPr>
              <w:pStyle w:val="Normal"/>
              <w:widowControl/>
              <w:suppressAutoHyphens w:val="true"/>
              <w:spacing w:before="12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5776" w:type="dxa"/>
            <w:tcBorders>
              <w:top w:val="double" w:sz="4" w:space="0" w:color="000000"/>
              <w:left w:val="nil"/>
              <w:right w:val="nil"/>
            </w:tcBorders>
          </w:tcPr>
          <w:p>
            <w:pPr>
              <w:pStyle w:val="Normal"/>
              <w:widowControl/>
              <w:suppressAutoHyphens w:val="true"/>
              <w:spacing w:before="120" w:after="0"/>
              <w:jc w:val="left"/>
              <w:rPr>
                <w:color w:val="000000"/>
                <w:sz w:val="24"/>
                <w:szCs w:val="24"/>
              </w:rPr>
            </w:pPr>
            <w:r>
              <w:rPr>
                <w:rFonts w:eastAsia="Times New Roman" w:cs="Times New Roman"/>
                <w:b/>
                <w:bCs/>
                <w:iCs/>
                <w:color w:val="000000"/>
                <w:kern w:val="0"/>
                <w:sz w:val="20"/>
                <w:szCs w:val="20"/>
                <w:lang w:val="en-US" w:eastAsia="en-US" w:bidi="ar-SA"/>
              </w:rPr>
              <w:t xml:space="preserve">ABSTRACT </w:t>
            </w:r>
            <w:r>
              <w:rPr>
                <w:rFonts w:eastAsia="Times New Roman" w:cs="Times New Roman"/>
                <w:kern w:val="0"/>
                <w:sz w:val="18"/>
                <w:szCs w:val="18"/>
                <w:lang w:val="en-US" w:eastAsia="en-US" w:bidi="ar-SA"/>
              </w:rPr>
              <w:t>(10 PT)</w:t>
            </w:r>
          </w:p>
        </w:tc>
      </w:tr>
      <w:tr>
        <w:trPr>
          <w:trHeight w:val="1268" w:hRule="atLeast"/>
        </w:trPr>
        <w:tc>
          <w:tcPr>
            <w:tcW w:w="2787" w:type="dxa"/>
            <w:tcBorders>
              <w:left w:val="nil"/>
              <w:right w:val="nil"/>
            </w:tcBorders>
          </w:tcPr>
          <w:p>
            <w:pPr>
              <w:pStyle w:val="Normal"/>
              <w:widowControl/>
              <w:suppressAutoHyphens w:val="true"/>
              <w:spacing w:before="120" w:after="120"/>
              <w:jc w:val="both"/>
              <w:rPr>
                <w:b/>
                <w:i/>
                <w:i/>
              </w:rPr>
            </w:pPr>
            <w:r>
              <w:rPr>
                <w:rFonts w:eastAsia="Times New Roman" w:cs="Times New Roman"/>
                <w:b/>
                <w:i/>
                <w:kern w:val="0"/>
                <w:sz w:val="20"/>
                <w:szCs w:val="20"/>
                <w:lang w:val="en-US" w:eastAsia="en-US" w:bidi="ar-SA"/>
              </w:rPr>
              <w:t>Article history:</w:t>
            </w:r>
          </w:p>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Received month dd, yyyy</w:t>
            </w:r>
          </w:p>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Revised month dd, yyyy</w:t>
            </w:r>
          </w:p>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Accepted month dd, yyyy</w:t>
            </w:r>
          </w:p>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282" w:type="dxa"/>
            <w:vMerge w:val="restart"/>
            <w:tcBorders>
              <w:top w:val="nil"/>
              <w:left w:val="nil"/>
              <w:bottom w:val="nil"/>
              <w:right w:val="nil"/>
            </w:tcBorders>
          </w:tcPr>
          <w:p>
            <w:pPr>
              <w:pStyle w:val="Normal"/>
              <w:widowControl/>
              <w:suppressAutoHyphens w:val="true"/>
              <w:spacing w:before="12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5776" w:type="dxa"/>
            <w:vMerge w:val="restart"/>
            <w:tcBorders>
              <w:left w:val="nil"/>
              <w:bottom w:val="nil"/>
              <w:right w:val="nil"/>
            </w:tcBorders>
          </w:tcPr>
          <w:p>
            <w:pPr>
              <w:pStyle w:val="Normal"/>
              <w:widowControl/>
              <w:suppressAutoHyphens w:val="true"/>
              <w:spacing w:before="120" w:after="0"/>
              <w:jc w:val="both"/>
              <w:rPr>
                <w:rFonts w:ascii="Times New Roman" w:hAnsi="Times New Roman" w:eastAsia="Times New Roman" w:cs="Times New Roman"/>
                <w:kern w:val="0"/>
                <w:sz w:val="20"/>
                <w:szCs w:val="20"/>
                <w:lang w:val="en-US" w:eastAsia="en-US" w:bidi="ar-SA"/>
              </w:rPr>
            </w:pPr>
            <w:r>
              <w:rPr/>
            </w:r>
          </w:p>
        </w:tc>
      </w:tr>
      <w:tr>
        <w:trPr>
          <w:trHeight w:val="1231" w:hRule="atLeast"/>
        </w:trPr>
        <w:tc>
          <w:tcPr>
            <w:tcW w:w="2787" w:type="dxa"/>
            <w:vMerge w:val="restart"/>
            <w:tcBorders>
              <w:left w:val="nil"/>
              <w:right w:val="nil"/>
            </w:tcBorders>
          </w:tcPr>
          <w:p>
            <w:pPr>
              <w:pStyle w:val="Normal"/>
              <w:widowControl/>
              <w:suppressAutoHyphens w:val="true"/>
              <w:spacing w:before="120" w:after="120"/>
              <w:jc w:val="both"/>
              <w:rPr>
                <w:b/>
                <w:i/>
                <w:i/>
              </w:rPr>
            </w:pPr>
            <w:r>
              <w:rPr>
                <w:rFonts w:eastAsia="Times New Roman" w:cs="Times New Roman"/>
                <w:b/>
                <w:i/>
                <w:kern w:val="0"/>
                <w:sz w:val="20"/>
                <w:szCs w:val="20"/>
                <w:lang w:val="en-US" w:eastAsia="en-US" w:bidi="ar-SA"/>
              </w:rPr>
              <w:t>Keywords:</w:t>
            </w:r>
          </w:p>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First keyword</w:t>
            </w:r>
          </w:p>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Second keyword</w:t>
            </w:r>
          </w:p>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Third keyword</w:t>
            </w:r>
          </w:p>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Fourth keyword</w:t>
            </w:r>
          </w:p>
          <w:p>
            <w:pPr>
              <w:pStyle w:val="Normal"/>
              <w:widowControl/>
              <w:suppressAutoHyphens w:val="true"/>
              <w:spacing w:before="0" w:after="0"/>
              <w:jc w:val="both"/>
              <w:rPr>
                <w:b/>
                <w:i/>
                <w:i/>
              </w:rPr>
            </w:pPr>
            <w:r>
              <w:rPr>
                <w:rFonts w:eastAsia="Times New Roman" w:cs="Times New Roman"/>
                <w:kern w:val="0"/>
                <w:sz w:val="20"/>
                <w:szCs w:val="20"/>
                <w:lang w:val="en-US" w:eastAsia="en-US" w:bidi="ar-SA"/>
              </w:rPr>
              <w:t>Fifth keyword</w:t>
            </w:r>
          </w:p>
        </w:tc>
        <w:tc>
          <w:tcPr>
            <w:tcW w:w="282" w:type="dxa"/>
            <w:vMerge w:val="continue"/>
            <w:tcBorders>
              <w:top w:val="nil"/>
              <w:left w:val="nil"/>
              <w:bottom w:val="nil"/>
              <w:right w:val="nil"/>
            </w:tcBorders>
          </w:tcPr>
          <w:p>
            <w:pPr>
              <w:pStyle w:val="Normal"/>
              <w:widowControl/>
              <w:suppressAutoHyphens w:val="true"/>
              <w:spacing w:before="12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5776" w:type="dxa"/>
            <w:vMerge w:val="continue"/>
            <w:tcBorders>
              <w:top w:val="nil"/>
              <w:left w:val="nil"/>
              <w:bottom w:val="nil"/>
              <w:right w:val="nil"/>
            </w:tcBorders>
          </w:tcPr>
          <w:p>
            <w:pPr>
              <w:pStyle w:val="Normal"/>
              <w:widowControl/>
              <w:suppressAutoHyphens w:val="true"/>
              <w:spacing w:before="120" w:after="0"/>
              <w:jc w:val="both"/>
              <w:rPr>
                <w:iCs/>
                <w:color w:val="000000"/>
                <w:sz w:val="18"/>
                <w:szCs w:val="18"/>
              </w:rPr>
            </w:pPr>
            <w:r>
              <w:rPr>
                <w:iCs/>
                <w:color w:val="000000"/>
                <w:sz w:val="18"/>
                <w:szCs w:val="18"/>
              </w:rPr>
            </w:r>
          </w:p>
        </w:tc>
      </w:tr>
      <w:tr>
        <w:trPr>
          <w:trHeight w:val="70" w:hRule="atLeast"/>
        </w:trPr>
        <w:tc>
          <w:tcPr>
            <w:tcW w:w="2787" w:type="dxa"/>
            <w:vMerge w:val="continue"/>
            <w:tcBorders>
              <w:left w:val="nil"/>
              <w:right w:val="nil"/>
            </w:tcBorders>
          </w:tcPr>
          <w:p>
            <w:pPr>
              <w:pStyle w:val="Normal"/>
              <w:widowControl/>
              <w:suppressAutoHyphens w:val="true"/>
              <w:spacing w:before="120" w:after="120"/>
              <w:jc w:val="both"/>
              <w:rPr>
                <w:b/>
                <w:i/>
                <w:i/>
              </w:rPr>
            </w:pPr>
            <w:r>
              <w:rPr>
                <w:b/>
                <w:i/>
              </w:rPr>
            </w:r>
          </w:p>
        </w:tc>
        <w:tc>
          <w:tcPr>
            <w:tcW w:w="282" w:type="dxa"/>
            <w:vMerge w:val="continue"/>
            <w:tcBorders>
              <w:top w:val="nil"/>
              <w:left w:val="nil"/>
              <w:bottom w:val="nil"/>
              <w:right w:val="nil"/>
            </w:tcBorders>
          </w:tcPr>
          <w:p>
            <w:pPr>
              <w:pStyle w:val="Normal"/>
              <w:widowControl/>
              <w:suppressAutoHyphens w:val="true"/>
              <w:spacing w:before="12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5776" w:type="dxa"/>
            <w:tcBorders>
              <w:top w:val="nil"/>
              <w:left w:val="nil"/>
              <w:right w:val="nil"/>
            </w:tcBorders>
          </w:tcPr>
          <w:p>
            <w:pPr>
              <w:pStyle w:val="Normal"/>
              <w:widowControl/>
              <w:suppressAutoHyphens w:val="true"/>
              <w:spacing w:before="120" w:after="120"/>
              <w:jc w:val="right"/>
              <w:rPr>
                <w:i/>
                <w:i/>
                <w:iCs/>
                <w:color w:val="000000"/>
                <w:sz w:val="18"/>
                <w:szCs w:val="18"/>
              </w:rPr>
            </w:pPr>
            <w:r>
              <w:rPr>
                <w:rFonts w:eastAsia="Times New Roman" w:cs="Times New Roman"/>
                <w:i/>
                <w:iCs/>
                <w:color w:val="000000"/>
                <w:kern w:val="0"/>
                <w:sz w:val="18"/>
                <w:szCs w:val="18"/>
                <w:lang w:val="en-US" w:eastAsia="en-US" w:bidi="ar-SA"/>
              </w:rPr>
              <w:t xml:space="preserve">This is an open access article under the </w:t>
            </w:r>
            <w:hyperlink r:id="rId2">
              <w:r>
                <w:rPr>
                  <w:rStyle w:val="Hyperlink"/>
                  <w:rFonts w:eastAsia="Times New Roman" w:cs="Times New Roman"/>
                  <w:i/>
                  <w:iCs/>
                  <w:kern w:val="0"/>
                  <w:sz w:val="18"/>
                  <w:szCs w:val="18"/>
                  <w:lang w:val="en-US" w:eastAsia="en-US" w:bidi="ar-SA"/>
                </w:rPr>
                <w:t>CC BY-SA</w:t>
              </w:r>
            </w:hyperlink>
            <w:r>
              <w:rPr>
                <w:rFonts w:eastAsia="Times New Roman" w:cs="Times New Roman"/>
                <w:i/>
                <w:iCs/>
                <w:color w:val="000000"/>
                <w:kern w:val="0"/>
                <w:sz w:val="18"/>
                <w:szCs w:val="18"/>
                <w:lang w:val="en-US" w:eastAsia="en-US" w:bidi="ar-SA"/>
              </w:rPr>
              <w:t xml:space="preserve"> license.</w:t>
            </w:r>
          </w:p>
          <w:p>
            <w:pPr>
              <w:pStyle w:val="Normal"/>
              <w:widowControl/>
              <w:suppressAutoHyphens w:val="true"/>
              <w:spacing w:before="120" w:after="120"/>
              <w:jc w:val="right"/>
              <w:rPr>
                <w:i/>
                <w:i/>
                <w:iCs/>
                <w:color w:val="000000"/>
                <w:sz w:val="18"/>
                <w:szCs w:val="18"/>
              </w:rPr>
            </w:pPr>
            <w:r>
              <w:rPr/>
              <w:drawing>
                <wp:inline distT="0" distB="0" distL="0" distR="0">
                  <wp:extent cx="1057275" cy="371475"/>
                  <wp:effectExtent l="0" t="0" r="0" b="0"/>
                  <wp:docPr id="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pic:cNvPicPr>
                            <a:picLocks noChangeAspect="1" noChangeArrowheads="1"/>
                          </pic:cNvPicPr>
                        </pic:nvPicPr>
                        <pic:blipFill>
                          <a:blip r:embed="rId3"/>
                          <a:stretch>
                            <a:fillRect/>
                          </a:stretch>
                        </pic:blipFill>
                        <pic:spPr bwMode="auto">
                          <a:xfrm>
                            <a:off x="0" y="0"/>
                            <a:ext cx="1057275" cy="371475"/>
                          </a:xfrm>
                          <a:prstGeom prst="rect">
                            <a:avLst/>
                          </a:prstGeom>
                        </pic:spPr>
                      </pic:pic>
                    </a:graphicData>
                  </a:graphic>
                </wp:inline>
              </w:drawing>
            </w:r>
          </w:p>
        </w:tc>
      </w:tr>
      <w:tr>
        <w:trPr/>
        <w:tc>
          <w:tcPr>
            <w:tcW w:w="8845" w:type="dxa"/>
            <w:gridSpan w:val="3"/>
            <w:tcBorders>
              <w:top w:val="nil"/>
              <w:left w:val="nil"/>
              <w:bottom w:val="double" w:sz="4" w:space="0" w:color="000000"/>
              <w:right w:val="nil"/>
            </w:tcBorders>
          </w:tcPr>
          <w:p>
            <w:pPr>
              <w:pStyle w:val="Normal"/>
              <w:widowControl/>
              <w:suppressAutoHyphens w:val="true"/>
              <w:spacing w:before="120" w:after="120"/>
              <w:jc w:val="left"/>
              <w:rPr>
                <w:b/>
                <w:i/>
                <w:i/>
              </w:rPr>
            </w:pPr>
            <w:r>
              <w:rPr>
                <w:rFonts w:eastAsia="Times New Roman" w:cs="Times New Roman"/>
                <w:b/>
                <w:i/>
                <w:kern w:val="0"/>
                <w:sz w:val="20"/>
                <w:szCs w:val="20"/>
                <w:lang w:val="en-US" w:eastAsia="en-US" w:bidi="ar-SA"/>
              </w:rPr>
              <w:t>Corresponding Author:</w:t>
            </w:r>
          </w:p>
          <w:p>
            <w:pPr>
              <w:pStyle w:val="Normal"/>
              <w:widowControl/>
              <w:suppressAutoHyphens w:val="true"/>
              <w:spacing w:before="0" w:after="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Suttichai Premrudeeprechacharn</w:t>
            </w:r>
          </w:p>
          <w:p>
            <w:pPr>
              <w:pStyle w:val="Normal"/>
              <w:widowControl/>
              <w:suppressAutoHyphens w:val="true"/>
              <w:spacing w:before="0" w:after="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Department of Electrical Engineering, Faculty of Engineering, Chiang Mai University</w:t>
            </w:r>
          </w:p>
          <w:p>
            <w:pPr>
              <w:pStyle w:val="Normal"/>
              <w:widowControl/>
              <w:suppressAutoHyphens w:val="true"/>
              <w:spacing w:before="0" w:after="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239 Huay Kaew Road, Muang District, Chiang Mai 50200, Thailand</w:t>
            </w:r>
          </w:p>
          <w:p>
            <w:pPr>
              <w:pStyle w:val="Normal"/>
              <w:widowControl/>
              <w:suppressAutoHyphens w:val="true"/>
              <w:spacing w:before="0" w:after="1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Email: suttichai@mail.com</w:t>
            </w:r>
          </w:p>
        </w:tc>
      </w:tr>
    </w:tbl>
    <w:p>
      <w:pPr>
        <w:pStyle w:val="Normal"/>
        <w:jc w:val="both"/>
        <w:rPr/>
      </w:pPr>
      <w:r>
        <w:rPr/>
      </w:r>
    </w:p>
    <w:p>
      <w:pPr>
        <w:pStyle w:val="Normal"/>
        <w:jc w:val="both"/>
        <w:rPr/>
      </w:pPr>
      <w:r>
        <w:rPr/>
      </w:r>
    </w:p>
    <w:p>
      <w:pPr>
        <w:pStyle w:val="Normal"/>
        <w:numPr>
          <w:ilvl w:val="0"/>
          <w:numId w:val="4"/>
        </w:numPr>
        <w:tabs>
          <w:tab w:val="clear" w:pos="720"/>
          <w:tab w:val="left" w:pos="426" w:leader="none"/>
        </w:tabs>
        <w:ind w:hanging="426" w:left="426"/>
        <w:rPr>
          <w:b/>
          <w:bCs/>
        </w:rPr>
      </w:pPr>
      <w:r>
        <w:rPr>
          <w:b/>
          <w:bCs/>
        </w:rPr>
        <w:t>INTRODUCTION (10 PT)</w:t>
      </w:r>
    </w:p>
    <w:p>
      <w:pPr>
        <w:pStyle w:val="Normal"/>
        <w:ind w:firstLine="720"/>
        <w:jc w:val="both"/>
        <w:rPr/>
      </w:pPr>
      <w:bookmarkStart w:id="7" w:name="_Hlk80000636"/>
      <w:bookmarkStart w:id="8" w:name="_Hlk80016671"/>
      <w:r>
        <w:rPr/>
        <w:t>E</w:t>
      </w:r>
      <w:bookmarkEnd w:id="7"/>
      <w:bookmarkEnd w:id="8"/>
      <w:r>
        <w:rPr/>
        <w:t>l crecimiento del IoT (Internet of things) se ha consolidado como un potencial expansivo tecnológico en los últimos años, mediante el impulso conjunto de millones de dispositivos conectados a internet atravez del uso de sensores determinados en conectar objetos físicos para recopilar datos e intercambiarlos [1]. De esta manera, permite ser usado en distintos sectores como la agricultura, medicina y bajo un entorno de soluciones industriales y prácticas [2].</w:t>
      </w:r>
    </w:p>
    <w:p>
      <w:pPr>
        <w:pStyle w:val="Normal"/>
        <w:ind w:firstLine="720"/>
        <w:jc w:val="both"/>
        <w:rPr/>
      </w:pPr>
      <w:r>
        <w:rPr/>
      </w:r>
    </w:p>
    <w:p>
      <w:pPr>
        <w:pStyle w:val="Normal"/>
        <w:ind w:firstLine="720"/>
        <w:jc w:val="both"/>
        <w:rPr/>
      </w:pPr>
      <w:r>
        <w:rPr>
          <w:b w:val="false"/>
          <w:bCs w:val="false"/>
        </w:rPr>
        <w:t xml:space="preserve">Pese a ello, el </w:t>
      </w:r>
      <w:r>
        <w:rPr>
          <w:rStyle w:val="Strong"/>
          <w:b w:val="false"/>
          <w:bCs w:val="false"/>
        </w:rPr>
        <w:t>consumo energético y las limitaciones de hardware es un factor crítico en dispositivos embebidos, pues representan un desafío importante en su funcionamiento sostenible y procesamiento muy limitado para optimizar su operación [3]. A raíz de lo mencionado anteriormente</w:t>
      </w:r>
    </w:p>
    <w:p>
      <w:pPr>
        <w:pStyle w:val="Normal"/>
        <w:ind w:firstLine="720"/>
        <w:jc w:val="both"/>
        <w:rPr>
          <w:rStyle w:val="Strong"/>
          <w:b w:val="false"/>
          <w:bCs w:val="false"/>
        </w:rPr>
      </w:pPr>
      <w:r>
        <w:rPr>
          <w:b w:val="false"/>
          <w:bCs w:val="false"/>
        </w:rPr>
      </w:r>
    </w:p>
    <w:p>
      <w:pPr>
        <w:pStyle w:val="Normal"/>
        <w:ind w:firstLine="720"/>
        <w:jc w:val="both"/>
        <w:rPr>
          <w:rStyle w:val="Strong"/>
        </w:rPr>
      </w:pPr>
      <w:r>
        <w:rPr>
          <w:rStyle w:val="Strong"/>
          <w:b w:val="false"/>
          <w:bCs w:val="false"/>
        </w:rPr>
        <w:t>En este escenario, Tiny Machine Learning (TinyML) surge como una tecnología emergente que combina el aprendizaje automático con la computación de borde, permitiendo ejecutar modelos de inteligencia artificial directamente en dispositivos de baja potencia. Esto no solo reduce la dependencia de la nube y el uso de ancho de banda, sino que también optimiza el rendimiento energético y la capacidad de respuesta del sistema</w:t>
      </w:r>
    </w:p>
    <w:p>
      <w:pPr>
        <w:pStyle w:val="Normal"/>
        <w:ind w:firstLine="720"/>
        <w:jc w:val="both"/>
        <w:rPr/>
      </w:pPr>
      <w:r>
        <w:rPr/>
      </w:r>
      <w:bookmarkStart w:id="9" w:name="_Hlk80000657"/>
      <w:bookmarkStart w:id="10" w:name="_Hlk78354294"/>
      <w:bookmarkStart w:id="11" w:name="_Hlk80000657"/>
      <w:bookmarkStart w:id="12" w:name="_Hlk78354294"/>
    </w:p>
    <w:p>
      <w:pPr>
        <w:pStyle w:val="Normal"/>
        <w:ind w:firstLine="720"/>
        <w:jc w:val="both"/>
        <w:rPr/>
      </w:pPr>
      <w:bookmarkStart w:id="13" w:name="_Hlk80000657"/>
      <w:bookmarkStart w:id="14" w:name="_Hlk78354294"/>
      <w:r>
        <w:rPr/>
        <w:t>A concise and factual abstract is required. The abstract should state briefly the purpose of the research, the principal results and major conclusions.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 Immediately after the abstract, provide a maximum of 7 keywords, using American spelling and avoiding general and plural terms and multiple concepts (avoid, for example, 'and', 'of'). Be sparing with abbreviations: only abbreviations firmly established in the field may be eligible. These keywords will be used for indexing purposes. Indexing and abstracting services depend on the accuracy of the title, extracting from it keywords useful in cross-referencing and computer searching. An improperly titled paper may never reach the audience for which it was intended, so be specific.</w:t>
      </w:r>
      <w:bookmarkEnd w:id="13"/>
      <w:bookmarkEnd w:id="14"/>
    </w:p>
    <w:p>
      <w:pPr>
        <w:pStyle w:val="Normal"/>
        <w:jc w:val="both"/>
        <w:rPr/>
      </w:pPr>
      <w:r>
        <w:rPr/>
      </w:r>
    </w:p>
    <w:p>
      <w:pPr>
        <w:pStyle w:val="Normal"/>
        <w:numPr>
          <w:ilvl w:val="0"/>
          <w:numId w:val="4"/>
        </w:numPr>
        <w:tabs>
          <w:tab w:val="clear" w:pos="720"/>
          <w:tab w:val="left" w:pos="426" w:leader="none"/>
        </w:tabs>
        <w:ind w:hanging="426" w:left="426"/>
        <w:rPr>
          <w:b/>
          <w:bCs/>
        </w:rPr>
      </w:pPr>
      <w:r>
        <w:rPr>
          <w:b/>
          <w:bCs/>
        </w:rPr>
        <w:t>METHOD (10 PT)</w:t>
      </w:r>
    </w:p>
    <w:p>
      <w:pPr>
        <w:pStyle w:val="Normal"/>
        <w:numPr>
          <w:ilvl w:val="0"/>
          <w:numId w:val="0"/>
        </w:numPr>
        <w:tabs>
          <w:tab w:val="clear" w:pos="720"/>
          <w:tab w:val="left" w:pos="426" w:leader="none"/>
        </w:tabs>
        <w:ind w:hanging="0" w:left="426"/>
        <w:rPr>
          <w:b/>
          <w:bCs/>
        </w:rPr>
      </w:pPr>
      <w:r>
        <w:rPr>
          <w:b/>
          <w:bCs/>
        </w:rPr>
        <w:t>A. Estratégia de búsqueda</w:t>
      </w:r>
    </w:p>
    <w:p>
      <w:pPr>
        <w:pStyle w:val="Normal"/>
        <w:ind w:firstLine="720"/>
        <w:jc w:val="both"/>
        <w:rPr/>
      </w:pPr>
      <w:r>
        <w:rPr/>
        <w:t xml:space="preserve">Para la elaboración de la estrategia de búsqueda, se </w:t>
      </w:r>
      <w:r>
        <w:rPr/>
        <w:t xml:space="preserve">ha optado el uso de los componentes PICO y el protocolo PRISMA. </w:t>
      </w:r>
      <w:r>
        <w:rPr/>
        <w:t>Inicialmente se desarrolló la pregunta principal de investigación y la identificación con los componentes PICO.</w:t>
      </w:r>
    </w:p>
    <w:p>
      <w:pPr>
        <w:pStyle w:val="Normal"/>
        <w:ind w:firstLine="720"/>
        <w:jc w:val="both"/>
        <w:rPr/>
      </w:pPr>
      <w:r>
        <w:rPr/>
      </w:r>
    </w:p>
    <w:p>
      <w:pPr>
        <w:pStyle w:val="BodyText"/>
        <w:bidi w:val="0"/>
        <w:jc w:val="left"/>
        <w:rPr/>
      </w:pPr>
      <w:r>
        <w:rPr>
          <w:rStyle w:val="Strong"/>
          <w:sz w:val="20"/>
          <w:szCs w:val="20"/>
          <w:lang w:val="es-MX"/>
        </w:rPr>
        <w:t>RQ. Pregunta principal (RQ)</w:t>
      </w:r>
    </w:p>
    <w:p>
      <w:pPr>
        <w:pStyle w:val="BodyText"/>
        <w:bidi w:val="0"/>
        <w:jc w:val="left"/>
        <w:rPr/>
      </w:pPr>
      <w:r>
        <w:rPr>
          <w:rStyle w:val="Strong"/>
          <w:b w:val="false"/>
          <w:bCs w:val="false"/>
          <w:color w:val="000000"/>
          <w:sz w:val="20"/>
          <w:szCs w:val="20"/>
          <w:lang w:val="es-MX"/>
        </w:rPr>
        <w:t xml:space="preserve">¿Cómo influye la </w:t>
      </w:r>
      <w:r>
        <w:rPr>
          <w:rStyle w:val="Strong"/>
          <w:b w:val="false"/>
          <w:bCs w:val="false"/>
          <w:color w:val="000000"/>
          <w:sz w:val="20"/>
          <w:szCs w:val="20"/>
          <w:lang w:val="es-MX"/>
        </w:rPr>
        <w:t>implementación de TinyML</w:t>
      </w:r>
      <w:r>
        <w:rPr>
          <w:rStyle w:val="Strong"/>
          <w:b w:val="false"/>
          <w:bCs w:val="false"/>
          <w:color w:val="000000"/>
          <w:sz w:val="20"/>
          <w:szCs w:val="20"/>
          <w:lang w:val="es-MX"/>
        </w:rPr>
        <w:t xml:space="preserve"> frente a otros </w:t>
      </w:r>
      <w:r>
        <w:rPr>
          <w:rStyle w:val="Strong"/>
          <w:b w:val="false"/>
          <w:bCs w:val="false"/>
          <w:color w:val="000000"/>
          <w:sz w:val="20"/>
          <w:szCs w:val="20"/>
          <w:lang w:val="es-MX"/>
        </w:rPr>
        <w:t xml:space="preserve">enfoques de machine learning </w:t>
      </w:r>
      <w:r>
        <w:rPr>
          <w:rStyle w:val="Strong"/>
          <w:b w:val="false"/>
          <w:bCs w:val="false"/>
          <w:color w:val="000000"/>
          <w:sz w:val="20"/>
          <w:szCs w:val="20"/>
          <w:lang w:val="es-MX"/>
        </w:rPr>
        <w:t xml:space="preserve">en la </w:t>
      </w:r>
      <w:r>
        <w:rPr>
          <w:rStyle w:val="Strong"/>
          <w:b w:val="false"/>
          <w:bCs w:val="false"/>
          <w:color w:val="000000"/>
          <w:sz w:val="20"/>
          <w:szCs w:val="20"/>
          <w:lang w:val="es-MX"/>
        </w:rPr>
        <w:t xml:space="preserve">eficiencia energética y el rendimiento </w:t>
      </w:r>
      <w:r>
        <w:rPr>
          <w:rStyle w:val="Strong"/>
          <w:b w:val="false"/>
          <w:bCs w:val="false"/>
          <w:color w:val="000000"/>
          <w:sz w:val="20"/>
          <w:szCs w:val="20"/>
          <w:lang w:val="es-MX"/>
        </w:rPr>
        <w:t xml:space="preserve">de los </w:t>
      </w:r>
      <w:r>
        <w:rPr>
          <w:rStyle w:val="Strong"/>
          <w:b w:val="false"/>
          <w:bCs w:val="false"/>
          <w:color w:val="000000"/>
          <w:sz w:val="20"/>
          <w:szCs w:val="20"/>
          <w:lang w:val="es-MX"/>
        </w:rPr>
        <w:t>dispositivos IoT embebidos</w:t>
      </w:r>
      <w:r>
        <w:rPr>
          <w:rStyle w:val="Strong"/>
          <w:b w:val="false"/>
          <w:bCs w:val="false"/>
          <w:color w:val="000000"/>
          <w:sz w:val="20"/>
          <w:szCs w:val="20"/>
          <w:lang w:val="es-MX"/>
        </w:rPr>
        <w:t>?</w:t>
      </w:r>
    </w:p>
    <w:p>
      <w:pPr>
        <w:pStyle w:val="BodyText"/>
        <w:bidi w:val="0"/>
        <w:jc w:val="left"/>
        <w:rPr>
          <w:rStyle w:val="Strong"/>
          <w:b w:val="false"/>
          <w:bCs w:val="false"/>
          <w:color w:val="000000"/>
          <w:sz w:val="20"/>
          <w:szCs w:val="20"/>
          <w:lang w:val="es-MX"/>
        </w:rPr>
      </w:pPr>
      <w:r>
        <w:rPr/>
      </w:r>
    </w:p>
    <w:p>
      <w:pPr>
        <w:pStyle w:val="Normal"/>
        <w:ind w:hanging="0"/>
        <w:jc w:val="center"/>
        <w:rPr/>
      </w:pPr>
      <w:r>
        <w:rPr/>
        <w:t xml:space="preserve">Tabla.1. </w:t>
      </w:r>
      <w:r>
        <w:rPr/>
        <w:t>Identificación de componentes</w:t>
      </w:r>
      <w:r>
        <w:rPr/>
        <w:t xml:space="preserve"> PICO</w:t>
      </w:r>
    </w:p>
    <w:p>
      <w:pPr>
        <w:pStyle w:val="Normal"/>
        <w:ind w:hanging="0"/>
        <w:jc w:val="center"/>
        <w:rPr/>
      </w:pPr>
      <w:r>
        <w:rPr/>
      </w:r>
    </w:p>
    <w:tbl>
      <w:tblPr>
        <w:tblW w:w="5000" w:type="pct"/>
        <w:jc w:val="left"/>
        <w:tblInd w:w="55" w:type="dxa"/>
        <w:tblLayout w:type="fixed"/>
        <w:tblCellMar>
          <w:top w:w="55" w:type="dxa"/>
          <w:left w:w="55" w:type="dxa"/>
          <w:bottom w:w="55" w:type="dxa"/>
          <w:right w:w="55" w:type="dxa"/>
        </w:tblCellMar>
      </w:tblPr>
      <w:tblGrid>
        <w:gridCol w:w="1914"/>
        <w:gridCol w:w="1915"/>
        <w:gridCol w:w="2325"/>
        <w:gridCol w:w="2633"/>
      </w:tblGrid>
      <w:tr>
        <w:trPr/>
        <w:tc>
          <w:tcPr>
            <w:tcW w:w="1914" w:type="dxa"/>
            <w:tcBorders>
              <w:top w:val="single" w:sz="4" w:space="0" w:color="CCCCCC"/>
              <w:left w:val="single" w:sz="4" w:space="0" w:color="CCCCCC"/>
              <w:bottom w:val="single" w:sz="4" w:space="0" w:color="CCCCCC"/>
            </w:tcBorders>
            <w:shd w:fill="DDDDDD" w:val="clear"/>
          </w:tcPr>
          <w:p>
            <w:pPr>
              <w:pStyle w:val="Contenidodelatabla"/>
              <w:bidi w:val="0"/>
              <w:spacing w:before="57" w:after="57"/>
              <w:jc w:val="center"/>
              <w:rPr/>
            </w:pPr>
            <w:r>
              <w:rPr>
                <w:b/>
                <w:bCs/>
                <w:color w:val="1C1C1C"/>
                <w:sz w:val="26"/>
                <w:szCs w:val="26"/>
              </w:rPr>
              <w:t>P</w:t>
            </w:r>
          </w:p>
        </w:tc>
        <w:tc>
          <w:tcPr>
            <w:tcW w:w="1915" w:type="dxa"/>
            <w:tcBorders>
              <w:top w:val="single" w:sz="4" w:space="0" w:color="CCCCCC"/>
              <w:left w:val="single" w:sz="4" w:space="0" w:color="CCCCCC"/>
              <w:bottom w:val="single" w:sz="4" w:space="0" w:color="CCCCCC"/>
            </w:tcBorders>
            <w:shd w:fill="DDDDDD" w:val="clear"/>
          </w:tcPr>
          <w:p>
            <w:pPr>
              <w:pStyle w:val="Contenidodelatabla"/>
              <w:bidi w:val="0"/>
              <w:spacing w:before="57" w:after="57"/>
              <w:jc w:val="center"/>
              <w:rPr>
                <w:color w:val="1C1C1C"/>
                <w:sz w:val="26"/>
                <w:szCs w:val="26"/>
              </w:rPr>
            </w:pPr>
            <w:r>
              <w:rPr>
                <w:b/>
                <w:bCs/>
                <w:color w:val="1C1C1C"/>
                <w:sz w:val="26"/>
                <w:szCs w:val="26"/>
              </w:rPr>
              <w:t>I</w:t>
            </w:r>
          </w:p>
        </w:tc>
        <w:tc>
          <w:tcPr>
            <w:tcW w:w="2325" w:type="dxa"/>
            <w:tcBorders>
              <w:top w:val="single" w:sz="4" w:space="0" w:color="CCCCCC"/>
              <w:left w:val="single" w:sz="4" w:space="0" w:color="CCCCCC"/>
              <w:bottom w:val="single" w:sz="4" w:space="0" w:color="CCCCCC"/>
            </w:tcBorders>
            <w:shd w:fill="DDDDDD" w:val="clear"/>
          </w:tcPr>
          <w:p>
            <w:pPr>
              <w:pStyle w:val="Contenidodelatabla"/>
              <w:bidi w:val="0"/>
              <w:spacing w:before="57" w:after="57"/>
              <w:jc w:val="center"/>
              <w:rPr>
                <w:color w:val="1C1C1C"/>
                <w:sz w:val="26"/>
                <w:szCs w:val="26"/>
              </w:rPr>
            </w:pPr>
            <w:r>
              <w:rPr>
                <w:b/>
                <w:bCs/>
                <w:color w:val="1C1C1C"/>
                <w:sz w:val="26"/>
                <w:szCs w:val="26"/>
              </w:rPr>
              <w:t>C</w:t>
            </w:r>
          </w:p>
        </w:tc>
        <w:tc>
          <w:tcPr>
            <w:tcW w:w="2633" w:type="dxa"/>
            <w:tcBorders>
              <w:top w:val="single" w:sz="4" w:space="0" w:color="CCCCCC"/>
              <w:left w:val="single" w:sz="4" w:space="0" w:color="CCCCCC"/>
              <w:bottom w:val="single" w:sz="4" w:space="0" w:color="CCCCCC"/>
              <w:right w:val="single" w:sz="4" w:space="0" w:color="CCCCCC"/>
            </w:tcBorders>
            <w:shd w:fill="DDDDDD" w:val="clear"/>
          </w:tcPr>
          <w:p>
            <w:pPr>
              <w:pStyle w:val="Contenidodelatabla"/>
              <w:bidi w:val="0"/>
              <w:spacing w:before="57" w:after="57"/>
              <w:jc w:val="center"/>
              <w:rPr>
                <w:color w:val="1C1C1C"/>
                <w:sz w:val="26"/>
                <w:szCs w:val="26"/>
              </w:rPr>
            </w:pPr>
            <w:r>
              <w:rPr>
                <w:b/>
                <w:bCs/>
                <w:color w:val="1C1C1C"/>
                <w:sz w:val="26"/>
                <w:szCs w:val="26"/>
              </w:rPr>
              <w:t>O</w:t>
            </w:r>
          </w:p>
        </w:tc>
      </w:tr>
      <w:tr>
        <w:trPr/>
        <w:tc>
          <w:tcPr>
            <w:tcW w:w="1914" w:type="dxa"/>
            <w:tcBorders>
              <w:left w:val="single" w:sz="4" w:space="0" w:color="CCCCCC"/>
              <w:bottom w:val="single" w:sz="4" w:space="0" w:color="CCCCCC"/>
            </w:tcBorders>
          </w:tcPr>
          <w:p>
            <w:pPr>
              <w:pStyle w:val="Contenidodelatabla"/>
              <w:bidi w:val="0"/>
              <w:spacing w:before="114" w:after="114"/>
              <w:ind w:hanging="0" w:left="0"/>
              <w:jc w:val="center"/>
              <w:rPr>
                <w:highlight w:val="none"/>
                <w:shd w:fill="auto" w:val="clear"/>
              </w:rPr>
            </w:pPr>
            <w:r>
              <w:rPr>
                <w:shd w:fill="auto" w:val="clear"/>
              </w:rPr>
              <w:t>Dispositivos IoT o sistemas embebidos donde se aplican modelos de IA.</w:t>
            </w:r>
          </w:p>
        </w:tc>
        <w:tc>
          <w:tcPr>
            <w:tcW w:w="1915" w:type="dxa"/>
            <w:tcBorders>
              <w:left w:val="single" w:sz="4" w:space="0" w:color="CCCCCC"/>
              <w:bottom w:val="single" w:sz="4" w:space="0" w:color="CCCCCC"/>
            </w:tcBorders>
          </w:tcPr>
          <w:p>
            <w:pPr>
              <w:pStyle w:val="Contenidodelatabla"/>
              <w:bidi w:val="0"/>
              <w:spacing w:before="114" w:after="114"/>
              <w:ind w:hanging="0" w:left="0"/>
              <w:jc w:val="center"/>
              <w:rPr>
                <w:highlight w:val="none"/>
                <w:shd w:fill="auto" w:val="clear"/>
              </w:rPr>
            </w:pPr>
            <w:r>
              <w:rPr>
                <w:shd w:fill="auto" w:val="clear"/>
              </w:rPr>
              <w:t>Implementación de TinyML o IA embebida.</w:t>
            </w:r>
          </w:p>
        </w:tc>
        <w:tc>
          <w:tcPr>
            <w:tcW w:w="2325" w:type="dxa"/>
            <w:tcBorders>
              <w:left w:val="single" w:sz="4" w:space="0" w:color="CCCCCC"/>
              <w:bottom w:val="single" w:sz="4" w:space="0" w:color="CCCCCC"/>
            </w:tcBorders>
          </w:tcPr>
          <w:p>
            <w:pPr>
              <w:pStyle w:val="Contenidodelatabla"/>
              <w:bidi w:val="0"/>
              <w:spacing w:before="114" w:after="114"/>
              <w:ind w:hanging="0" w:left="0"/>
              <w:jc w:val="center"/>
              <w:rPr>
                <w:highlight w:val="none"/>
                <w:shd w:fill="auto" w:val="clear"/>
              </w:rPr>
            </w:pPr>
            <w:r>
              <w:rPr>
                <w:shd w:fill="auto" w:val="clear"/>
              </w:rPr>
              <w:t xml:space="preserve"> </w:t>
            </w:r>
            <w:r>
              <w:rPr>
                <w:shd w:fill="auto" w:val="clear"/>
              </w:rPr>
              <w:t>Enfoques tradicionales (en la nube o de mayor consumo).</w:t>
            </w:r>
          </w:p>
        </w:tc>
        <w:tc>
          <w:tcPr>
            <w:tcW w:w="2633" w:type="dxa"/>
            <w:tcBorders>
              <w:left w:val="single" w:sz="4" w:space="0" w:color="CCCCCC"/>
              <w:bottom w:val="single" w:sz="4" w:space="0" w:color="CCCCCC"/>
              <w:right w:val="single" w:sz="4" w:space="0" w:color="CCCCCC"/>
            </w:tcBorders>
          </w:tcPr>
          <w:p>
            <w:pPr>
              <w:pStyle w:val="Contenidodelatabla"/>
              <w:bidi w:val="0"/>
              <w:spacing w:before="114" w:after="114"/>
              <w:ind w:hanging="0" w:left="0"/>
              <w:jc w:val="center"/>
              <w:rPr>
                <w:highlight w:val="none"/>
                <w:shd w:fill="auto" w:val="clear"/>
              </w:rPr>
            </w:pPr>
            <w:r>
              <w:rPr>
                <w:shd w:fill="auto" w:val="clear"/>
              </w:rPr>
              <w:t>Mejora de rendimiento, eficiencia energética o reducción de latencia.</w:t>
            </w:r>
          </w:p>
        </w:tc>
      </w:tr>
    </w:tbl>
    <w:p>
      <w:pPr>
        <w:pStyle w:val="Normal"/>
        <w:ind w:firstLine="720"/>
        <w:jc w:val="both"/>
        <w:rPr/>
      </w:pPr>
      <w:r>
        <w:rPr/>
      </w:r>
    </w:p>
    <w:p>
      <w:pPr>
        <w:pStyle w:val="Normal"/>
        <w:ind w:hanging="0"/>
        <w:jc w:val="center"/>
        <w:rPr/>
      </w:pPr>
      <w:r>
        <w:rPr>
          <w:rStyle w:val="Strong"/>
          <w:b w:val="false"/>
          <w:bCs w:val="false"/>
          <w:color w:val="1C1C1C"/>
        </w:rPr>
        <w:t>Tabla.</w:t>
      </w:r>
      <w:r>
        <w:rPr>
          <w:rStyle w:val="Strong"/>
          <w:b w:val="false"/>
          <w:bCs w:val="false"/>
          <w:color w:val="1C1C1C"/>
        </w:rPr>
        <w:t>2</w:t>
      </w:r>
      <w:r>
        <w:rPr>
          <w:rStyle w:val="Strong"/>
          <w:b w:val="false"/>
          <w:bCs w:val="false"/>
          <w:color w:val="1C1C1C"/>
        </w:rPr>
        <w:t xml:space="preserve">. </w:t>
      </w:r>
      <w:r>
        <w:rPr>
          <w:rStyle w:val="Strong"/>
          <w:b w:val="false"/>
          <w:bCs w:val="false"/>
          <w:color w:val="1C1C1C"/>
        </w:rPr>
        <w:t xml:space="preserve">Cuadro </w:t>
      </w:r>
      <w:r>
        <w:rPr>
          <w:rStyle w:val="Strong"/>
          <w:b w:val="false"/>
          <w:bCs w:val="false"/>
          <w:color w:val="1C1C1C"/>
        </w:rPr>
        <w:t>PICO</w:t>
      </w:r>
    </w:p>
    <w:p>
      <w:pPr>
        <w:pStyle w:val="Normal"/>
        <w:ind w:hanging="0"/>
        <w:jc w:val="center"/>
        <w:rPr>
          <w:rStyle w:val="Strong"/>
          <w:b w:val="false"/>
          <w:bCs w:val="false"/>
          <w:color w:val="1C1C1C"/>
        </w:rPr>
      </w:pPr>
      <w:r>
        <w:rPr/>
      </w:r>
    </w:p>
    <w:tbl>
      <w:tblPr>
        <w:tblW w:w="5000" w:type="pct"/>
        <w:jc w:val="left"/>
        <w:tblInd w:w="0" w:type="dxa"/>
        <w:tblLayout w:type="fixed"/>
        <w:tblCellMar>
          <w:top w:w="0" w:type="dxa"/>
          <w:left w:w="0" w:type="dxa"/>
          <w:bottom w:w="0" w:type="dxa"/>
          <w:right w:w="0" w:type="dxa"/>
        </w:tblCellMar>
      </w:tblPr>
      <w:tblGrid>
        <w:gridCol w:w="1303"/>
        <w:gridCol w:w="7484"/>
      </w:tblGrid>
      <w:tr>
        <w:trPr/>
        <w:tc>
          <w:tcPr>
            <w:tcW w:w="1303" w:type="dxa"/>
            <w:tcBorders/>
            <w:shd w:fill="DDDDDD" w:val="clear"/>
          </w:tcPr>
          <w:p>
            <w:pPr>
              <w:pStyle w:val="Ttulodelatabla"/>
              <w:bidi w:val="0"/>
              <w:spacing w:before="57" w:after="57"/>
              <w:jc w:val="center"/>
              <w:rPr/>
            </w:pPr>
            <w:r>
              <w:rPr/>
              <w:t>Código</w:t>
            </w:r>
          </w:p>
        </w:tc>
        <w:tc>
          <w:tcPr>
            <w:tcW w:w="7484" w:type="dxa"/>
            <w:tcBorders/>
            <w:shd w:fill="DDDDDD" w:val="clear"/>
          </w:tcPr>
          <w:p>
            <w:pPr>
              <w:pStyle w:val="Ttulodelatabla"/>
              <w:bidi w:val="0"/>
              <w:spacing w:before="57" w:after="57"/>
              <w:rPr/>
            </w:pPr>
            <w:r>
              <w:rPr/>
              <w:t>Sub Preguntas</w:t>
            </w:r>
          </w:p>
        </w:tc>
      </w:tr>
      <w:tr>
        <w:trPr/>
        <w:tc>
          <w:tcPr>
            <w:tcW w:w="1303" w:type="dxa"/>
            <w:tcBorders/>
            <w:vAlign w:val="center"/>
          </w:tcPr>
          <w:p>
            <w:pPr>
              <w:pStyle w:val="Contenidodelatabla"/>
              <w:bidi w:val="0"/>
              <w:spacing w:before="57" w:after="57"/>
              <w:jc w:val="center"/>
              <w:rPr/>
            </w:pPr>
            <w:r>
              <w:rPr>
                <w:rStyle w:val="Strong"/>
                <w:sz w:val="18"/>
                <w:szCs w:val="18"/>
              </w:rPr>
              <w:t>RQ1 (P)</w:t>
            </w:r>
          </w:p>
        </w:tc>
        <w:tc>
          <w:tcPr>
            <w:tcW w:w="7484" w:type="dxa"/>
            <w:tcBorders/>
          </w:tcPr>
          <w:p>
            <w:pPr>
              <w:pStyle w:val="Contenidodelatabla"/>
              <w:bidi w:val="0"/>
              <w:spacing w:before="57" w:after="57"/>
              <w:ind w:hanging="0" w:left="0"/>
              <w:jc w:val="center"/>
              <w:rPr/>
            </w:pPr>
            <w:r>
              <w:rPr/>
              <w:t>¿Qué modelos o arquitecturas de TinyML se implementan actualmente en dispositivos embebidos para aplicaciones IoT?</w:t>
            </w:r>
          </w:p>
        </w:tc>
      </w:tr>
      <w:tr>
        <w:trPr/>
        <w:tc>
          <w:tcPr>
            <w:tcW w:w="1303" w:type="dxa"/>
            <w:tcBorders/>
            <w:vAlign w:val="center"/>
          </w:tcPr>
          <w:p>
            <w:pPr>
              <w:pStyle w:val="Contenidodelatabla"/>
              <w:bidi w:val="0"/>
              <w:spacing w:before="57" w:after="57"/>
              <w:jc w:val="center"/>
              <w:rPr/>
            </w:pPr>
            <w:r>
              <w:rPr>
                <w:rStyle w:val="Strong"/>
                <w:sz w:val="18"/>
                <w:szCs w:val="18"/>
              </w:rPr>
              <w:t>RQ2 (I)</w:t>
            </w:r>
          </w:p>
        </w:tc>
        <w:tc>
          <w:tcPr>
            <w:tcW w:w="7484" w:type="dxa"/>
            <w:tcBorders/>
          </w:tcPr>
          <w:p>
            <w:pPr>
              <w:pStyle w:val="Contenidodelatabla"/>
              <w:bidi w:val="0"/>
              <w:spacing w:before="57" w:after="57"/>
              <w:ind w:hanging="0" w:left="0"/>
              <w:jc w:val="center"/>
              <w:rPr/>
            </w:pPr>
            <w:r>
              <w:rPr/>
              <w:t>¿Qué métricas se utilizan para evaluar la eficiencia energética y el rendimiento de los modelos TinyML en entornos IoT?</w:t>
            </w:r>
          </w:p>
        </w:tc>
      </w:tr>
      <w:tr>
        <w:trPr/>
        <w:tc>
          <w:tcPr>
            <w:tcW w:w="1303" w:type="dxa"/>
            <w:tcBorders/>
            <w:vAlign w:val="center"/>
          </w:tcPr>
          <w:p>
            <w:pPr>
              <w:pStyle w:val="Contenidodelatabla"/>
              <w:bidi w:val="0"/>
              <w:spacing w:before="57" w:after="57"/>
              <w:jc w:val="center"/>
              <w:rPr/>
            </w:pPr>
            <w:r>
              <w:rPr>
                <w:rStyle w:val="Strong"/>
                <w:sz w:val="18"/>
                <w:szCs w:val="18"/>
              </w:rPr>
              <w:t>RQ3 (C)</w:t>
            </w:r>
          </w:p>
        </w:tc>
        <w:tc>
          <w:tcPr>
            <w:tcW w:w="7484" w:type="dxa"/>
            <w:tcBorders/>
          </w:tcPr>
          <w:p>
            <w:pPr>
              <w:pStyle w:val="Contenidodelatabla"/>
              <w:bidi w:val="0"/>
              <w:spacing w:before="57" w:after="57"/>
              <w:ind w:hanging="0" w:left="0"/>
              <w:jc w:val="center"/>
              <w:rPr/>
            </w:pPr>
            <w:r>
              <w:rPr/>
              <w:t>¿Cómo se comparan las soluciones TinyML con los enfoques tradicionales de machine learning en términos de consumo energético y latencia?</w:t>
            </w:r>
          </w:p>
        </w:tc>
      </w:tr>
      <w:tr>
        <w:trPr/>
        <w:tc>
          <w:tcPr>
            <w:tcW w:w="1303" w:type="dxa"/>
            <w:tcBorders/>
            <w:vAlign w:val="center"/>
          </w:tcPr>
          <w:p>
            <w:pPr>
              <w:pStyle w:val="Contenidodelatabla"/>
              <w:bidi w:val="0"/>
              <w:spacing w:before="57" w:after="57"/>
              <w:jc w:val="center"/>
              <w:rPr/>
            </w:pPr>
            <w:r>
              <w:rPr>
                <w:rStyle w:val="Strong"/>
                <w:sz w:val="18"/>
                <w:szCs w:val="18"/>
              </w:rPr>
              <w:t>RQ4 (O)</w:t>
            </w:r>
          </w:p>
        </w:tc>
        <w:tc>
          <w:tcPr>
            <w:tcW w:w="7484" w:type="dxa"/>
            <w:tcBorders/>
          </w:tcPr>
          <w:p>
            <w:pPr>
              <w:pStyle w:val="Contenidodelatabla"/>
              <w:bidi w:val="0"/>
              <w:spacing w:before="57" w:after="57"/>
              <w:ind w:hanging="0" w:left="0"/>
              <w:jc w:val="center"/>
              <w:rPr/>
            </w:pPr>
            <w:r>
              <w:rPr/>
              <w:t>¿Cuáles son las principales limitaciones y oportunidades futuras del uso de TinyML en sistemas embebidos para IoT?</w:t>
            </w:r>
          </w:p>
        </w:tc>
      </w:tr>
    </w:tbl>
    <w:p>
      <w:pPr>
        <w:pStyle w:val="Normal"/>
        <w:ind w:hanging="0"/>
        <w:jc w:val="center"/>
        <w:rPr>
          <w:rStyle w:val="Strong"/>
          <w:b w:val="false"/>
          <w:bCs w:val="false"/>
          <w:color w:val="1C1C1C"/>
        </w:rPr>
      </w:pPr>
      <w:r>
        <w:rPr/>
      </w:r>
    </w:p>
    <w:p>
      <w:pPr>
        <w:pStyle w:val="Normal"/>
        <w:ind w:hanging="0"/>
        <w:jc w:val="center"/>
        <w:rPr>
          <w:b/>
          <w:bCs/>
        </w:rPr>
      </w:pPr>
      <w:r>
        <w:rPr>
          <w:b/>
          <w:bCs/>
        </w:rPr>
      </w:r>
    </w:p>
    <w:p>
      <w:pPr>
        <w:pStyle w:val="Normal"/>
        <w:numPr>
          <w:ilvl w:val="0"/>
          <w:numId w:val="0"/>
        </w:numPr>
        <w:tabs>
          <w:tab w:val="clear" w:pos="720"/>
          <w:tab w:val="left" w:pos="426" w:leader="none"/>
        </w:tabs>
        <w:ind w:hanging="0" w:left="426"/>
        <w:rPr>
          <w:b/>
          <w:bCs/>
        </w:rPr>
      </w:pPr>
      <w:r>
        <w:rPr>
          <w:b/>
          <w:bCs/>
        </w:rPr>
        <w:t>B</w:t>
      </w:r>
      <w:r>
        <w:rPr>
          <w:b/>
          <w:bCs/>
        </w:rPr>
        <w:t xml:space="preserve">. </w:t>
      </w:r>
      <w:r>
        <w:rPr>
          <w:b/>
          <w:bCs/>
        </w:rPr>
        <w:t>Base de datos y palabras clave</w:t>
      </w:r>
    </w:p>
    <w:p>
      <w:pPr>
        <w:pStyle w:val="Normal"/>
        <w:numPr>
          <w:ilvl w:val="0"/>
          <w:numId w:val="0"/>
        </w:numPr>
        <w:tabs>
          <w:tab w:val="clear" w:pos="720"/>
          <w:tab w:val="left" w:pos="426" w:leader="none"/>
        </w:tabs>
        <w:ind w:hanging="0" w:left="426"/>
        <w:rPr>
          <w:b/>
          <w:bCs/>
        </w:rPr>
      </w:pPr>
      <w:r>
        <w:rPr/>
      </w:r>
    </w:p>
    <w:p>
      <w:pPr>
        <w:pStyle w:val="Normal"/>
        <w:ind w:firstLine="720"/>
        <w:jc w:val="both"/>
        <w:rPr/>
      </w:pPr>
      <w:r>
        <w:rPr/>
        <w:t xml:space="preserve">La búsqueda fue realizada en </w:t>
      </w:r>
      <w:r>
        <w:rPr/>
        <w:t>tres</w:t>
      </w:r>
      <w:r>
        <w:rPr/>
        <w:t xml:space="preserve"> bases de datos: Scopus, </w:t>
      </w:r>
      <w:r>
        <w:rPr/>
        <w:t>Web Of Science y IEEE Xplorer</w:t>
      </w:r>
      <w:r>
        <w:rPr/>
        <w:t xml:space="preserve"> esto con </w:t>
      </w:r>
      <w:r>
        <w:rPr/>
        <w:t>el objetivo de expandir publicaciones y articulos</w:t>
      </w:r>
      <w:r>
        <w:rPr/>
        <w:t xml:space="preserve"> científic</w:t>
      </w:r>
      <w:r>
        <w:rPr/>
        <w:t>o</w:t>
      </w:r>
      <w:r>
        <w:rPr/>
        <w:t>s.</w:t>
      </w:r>
      <w:r>
        <w:rPr/>
        <w:t xml:space="preserve"> Además de l</w:t>
      </w:r>
      <w:r>
        <w:rPr/>
        <w:t xml:space="preserve">a combinación </w:t>
      </w:r>
      <w:r>
        <w:rPr/>
        <w:t>realizada</w:t>
      </w:r>
      <w:r>
        <w:rPr/>
        <w:t xml:space="preserve"> con los </w:t>
      </w:r>
      <w:r>
        <w:rPr/>
        <w:t>operadores</w:t>
      </w:r>
      <w:r>
        <w:rPr/>
        <w:t xml:space="preserve"> OR, </w:t>
      </w:r>
      <w:r>
        <w:rPr/>
        <w:t>comillas</w:t>
      </w:r>
      <w:r>
        <w:rPr/>
        <w:t xml:space="preserve"> y AND.</w:t>
      </w:r>
      <w:r>
        <w:br w:type="page"/>
      </w:r>
    </w:p>
    <w:p>
      <w:pPr>
        <w:pStyle w:val="Normal"/>
        <w:ind w:hanging="0"/>
        <w:jc w:val="center"/>
        <w:rPr/>
      </w:pPr>
      <w:r>
        <w:rPr/>
        <w:t>Tabla.</w:t>
      </w:r>
      <w:r>
        <w:rPr/>
        <w:t>3</w:t>
      </w:r>
      <w:r>
        <w:rPr/>
        <w:t xml:space="preserve">. </w:t>
      </w:r>
      <w:r>
        <w:rPr/>
        <w:t>Palabras clave</w:t>
      </w:r>
    </w:p>
    <w:p>
      <w:pPr>
        <w:pStyle w:val="Normal"/>
        <w:ind w:hanging="0"/>
        <w:jc w:val="center"/>
        <w:rPr/>
      </w:pPr>
      <w:r>
        <w:rPr/>
      </w:r>
    </w:p>
    <w:tbl>
      <w:tblPr>
        <w:tblW w:w="5000" w:type="pct"/>
        <w:jc w:val="left"/>
        <w:tblInd w:w="0" w:type="dxa"/>
        <w:tblLayout w:type="fixed"/>
        <w:tblCellMar>
          <w:top w:w="0" w:type="dxa"/>
          <w:left w:w="0" w:type="dxa"/>
          <w:bottom w:w="0" w:type="dxa"/>
          <w:right w:w="0" w:type="dxa"/>
        </w:tblCellMar>
      </w:tblPr>
      <w:tblGrid>
        <w:gridCol w:w="675"/>
        <w:gridCol w:w="3349"/>
        <w:gridCol w:w="4763"/>
      </w:tblGrid>
      <w:tr>
        <w:trPr/>
        <w:tc>
          <w:tcPr>
            <w:tcW w:w="4024" w:type="dxa"/>
            <w:gridSpan w:val="2"/>
            <w:tcBorders/>
            <w:shd w:fill="DDDDDD" w:val="clear"/>
          </w:tcPr>
          <w:p>
            <w:pPr>
              <w:pStyle w:val="Ttulodelatabla"/>
              <w:spacing w:before="57" w:after="57"/>
              <w:rPr/>
            </w:pPr>
            <w:r>
              <w:rPr>
                <w:rFonts w:ascii="Liberation Serif" w:hAnsi="Liberation Serif"/>
              </w:rPr>
              <w:t>Descripción</w:t>
            </w:r>
          </w:p>
        </w:tc>
        <w:tc>
          <w:tcPr>
            <w:tcW w:w="4763" w:type="dxa"/>
            <w:tcBorders/>
            <w:shd w:fill="DDDDDD" w:val="clear"/>
          </w:tcPr>
          <w:p>
            <w:pPr>
              <w:pStyle w:val="Ttulodelatabla"/>
              <w:spacing w:before="57" w:after="57"/>
              <w:rPr>
                <w:rFonts w:ascii="Liberation Serif" w:hAnsi="Liberation Serif"/>
              </w:rPr>
            </w:pPr>
            <w:r>
              <w:rPr>
                <w:rFonts w:ascii="Liberation Serif" w:hAnsi="Liberation Serif"/>
              </w:rPr>
              <w:t>Palabras clave (en inglés)</w:t>
            </w:r>
          </w:p>
        </w:tc>
      </w:tr>
      <w:tr>
        <w:trPr/>
        <w:tc>
          <w:tcPr>
            <w:tcW w:w="675" w:type="dxa"/>
            <w:tcBorders/>
            <w:vAlign w:val="center"/>
          </w:tcPr>
          <w:p>
            <w:pPr>
              <w:pStyle w:val="Contenidodelatabla"/>
              <w:spacing w:before="57" w:after="57"/>
              <w:ind w:hanging="0" w:left="0"/>
              <w:jc w:val="center"/>
              <w:rPr/>
            </w:pPr>
            <w:r>
              <w:rPr>
                <w:rStyle w:val="Strong"/>
                <w:rFonts w:ascii="Liberation Serif" w:hAnsi="Liberation Serif"/>
                <w:sz w:val="22"/>
                <w:szCs w:val="22"/>
              </w:rPr>
              <w:t>P</w:t>
            </w:r>
          </w:p>
        </w:tc>
        <w:tc>
          <w:tcPr>
            <w:tcW w:w="3349" w:type="dxa"/>
            <w:tcBorders/>
            <w:vAlign w:val="center"/>
          </w:tcPr>
          <w:p>
            <w:pPr>
              <w:pStyle w:val="Contenidodelatabla"/>
              <w:spacing w:before="57" w:after="57"/>
              <w:jc w:val="center"/>
              <w:rPr>
                <w:rFonts w:ascii="Liberation Serif" w:hAnsi="Liberation Serif"/>
              </w:rPr>
            </w:pPr>
            <w:r>
              <w:rPr>
                <w:rFonts w:ascii="Liberation Serif" w:hAnsi="Liberation Serif"/>
              </w:rPr>
              <w:t>Dispositivos IoT o sistemas embebidos donde se aplican modelos de IA.</w:t>
            </w:r>
          </w:p>
        </w:tc>
        <w:tc>
          <w:tcPr>
            <w:tcW w:w="4763" w:type="dxa"/>
            <w:tcBorders/>
          </w:tcPr>
          <w:p>
            <w:pPr>
              <w:pStyle w:val="Contenidodelatabla"/>
              <w:spacing w:before="57" w:after="57"/>
              <w:jc w:val="left"/>
              <w:rPr/>
            </w:pPr>
            <w:r>
              <w:rPr>
                <w:rStyle w:val="Textooriginal"/>
                <w:rFonts w:ascii="Liberation Serif" w:hAnsi="Liberation Serif"/>
              </w:rPr>
              <w:t>"IoT"</w:t>
            </w:r>
            <w:r>
              <w:rPr>
                <w:rFonts w:ascii="Liberation Serif" w:hAnsi="Liberation Serif"/>
              </w:rPr>
              <w:t xml:space="preserve">, </w:t>
            </w:r>
            <w:r>
              <w:rPr>
                <w:rStyle w:val="Textooriginal"/>
                <w:rFonts w:ascii="Liberation Serif" w:hAnsi="Liberation Serif"/>
              </w:rPr>
              <w:t>"Internet of Things"</w:t>
            </w:r>
            <w:r>
              <w:rPr>
                <w:rFonts w:ascii="Liberation Serif" w:hAnsi="Liberation Serif"/>
              </w:rPr>
              <w:t xml:space="preserve">, </w:t>
            </w:r>
            <w:r>
              <w:rPr>
                <w:rStyle w:val="Textooriginal"/>
                <w:rFonts w:ascii="Liberation Serif" w:hAnsi="Liberation Serif"/>
              </w:rPr>
              <w:t>"embedded system*"</w:t>
            </w:r>
            <w:r>
              <w:rPr>
                <w:rFonts w:ascii="Liberation Serif" w:hAnsi="Liberation Serif"/>
              </w:rPr>
              <w:t xml:space="preserve">, </w:t>
            </w:r>
            <w:r>
              <w:rPr>
                <w:rStyle w:val="Textooriginal"/>
                <w:rFonts w:ascii="Liberation Serif" w:hAnsi="Liberation Serif"/>
              </w:rPr>
              <w:t>"smart devices"</w:t>
            </w:r>
            <w:r>
              <w:rPr>
                <w:rFonts w:ascii="Liberation Serif" w:hAnsi="Liberation Serif"/>
              </w:rPr>
              <w:t xml:space="preserve">, </w:t>
            </w:r>
            <w:r>
              <w:rPr>
                <w:rStyle w:val="Textooriginal"/>
                <w:rFonts w:ascii="Liberation Serif" w:hAnsi="Liberation Serif"/>
              </w:rPr>
              <w:t>"sensor networks"</w:t>
            </w:r>
            <w:r>
              <w:rPr>
                <w:rFonts w:ascii="Liberation Serif" w:hAnsi="Liberation Serif"/>
              </w:rPr>
              <w:t xml:space="preserve">, </w:t>
            </w:r>
            <w:r>
              <w:rPr>
                <w:rStyle w:val="Textooriginal"/>
                <w:rFonts w:ascii="Liberation Serif" w:hAnsi="Liberation Serif"/>
              </w:rPr>
              <w:t>"connected devices"</w:t>
            </w:r>
          </w:p>
        </w:tc>
      </w:tr>
      <w:tr>
        <w:trPr/>
        <w:tc>
          <w:tcPr>
            <w:tcW w:w="675" w:type="dxa"/>
            <w:tcBorders/>
            <w:vAlign w:val="center"/>
          </w:tcPr>
          <w:p>
            <w:pPr>
              <w:pStyle w:val="Contenidodelatabla"/>
              <w:spacing w:before="57" w:after="57"/>
              <w:ind w:hanging="0" w:left="0"/>
              <w:jc w:val="center"/>
              <w:rPr/>
            </w:pPr>
            <w:r>
              <w:rPr>
                <w:rStyle w:val="Strong"/>
                <w:rFonts w:ascii="Liberation Serif" w:hAnsi="Liberation Serif"/>
                <w:sz w:val="22"/>
                <w:szCs w:val="22"/>
              </w:rPr>
              <w:t xml:space="preserve">I </w:t>
            </w:r>
          </w:p>
        </w:tc>
        <w:tc>
          <w:tcPr>
            <w:tcW w:w="3349" w:type="dxa"/>
            <w:tcBorders/>
            <w:vAlign w:val="center"/>
          </w:tcPr>
          <w:p>
            <w:pPr>
              <w:pStyle w:val="Contenidodelatabla"/>
              <w:spacing w:before="57" w:after="57"/>
              <w:jc w:val="center"/>
              <w:rPr>
                <w:rFonts w:ascii="Liberation Serif" w:hAnsi="Liberation Serif"/>
              </w:rPr>
            </w:pPr>
            <w:r>
              <w:rPr>
                <w:rFonts w:ascii="Liberation Serif" w:hAnsi="Liberation Serif"/>
              </w:rPr>
              <w:t>Implementación de TinyML o IA embebida.</w:t>
            </w:r>
          </w:p>
        </w:tc>
        <w:tc>
          <w:tcPr>
            <w:tcW w:w="4763" w:type="dxa"/>
            <w:tcBorders/>
          </w:tcPr>
          <w:p>
            <w:pPr>
              <w:pStyle w:val="Contenidodelatabla"/>
              <w:spacing w:before="57" w:after="57"/>
              <w:jc w:val="left"/>
              <w:rPr/>
            </w:pPr>
            <w:r>
              <w:rPr>
                <w:rStyle w:val="Textooriginal"/>
                <w:rFonts w:ascii="Liberation Serif" w:hAnsi="Liberation Serif"/>
              </w:rPr>
              <w:t>"TinyML"</w:t>
            </w:r>
            <w:r>
              <w:rPr>
                <w:rFonts w:ascii="Liberation Serif" w:hAnsi="Liberation Serif"/>
              </w:rPr>
              <w:t xml:space="preserve">, </w:t>
            </w:r>
            <w:r>
              <w:rPr>
                <w:rStyle w:val="Textooriginal"/>
                <w:rFonts w:ascii="Liberation Serif" w:hAnsi="Liberation Serif"/>
              </w:rPr>
              <w:t>"edge AI"</w:t>
            </w:r>
            <w:r>
              <w:rPr>
                <w:rFonts w:ascii="Liberation Serif" w:hAnsi="Liberation Serif"/>
              </w:rPr>
              <w:t xml:space="preserve">, </w:t>
            </w:r>
            <w:r>
              <w:rPr>
                <w:rStyle w:val="Textooriginal"/>
                <w:rFonts w:ascii="Liberation Serif" w:hAnsi="Liberation Serif"/>
              </w:rPr>
              <w:t>"embedded machine learning"</w:t>
            </w:r>
            <w:r>
              <w:rPr>
                <w:rFonts w:ascii="Liberation Serif" w:hAnsi="Liberation Serif"/>
              </w:rPr>
              <w:t xml:space="preserve">, </w:t>
            </w:r>
            <w:r>
              <w:rPr>
                <w:rStyle w:val="Textooriginal"/>
                <w:rFonts w:ascii="Liberation Serif" w:hAnsi="Liberation Serif"/>
              </w:rPr>
              <w:t>"on-device learning"</w:t>
            </w:r>
            <w:r>
              <w:rPr>
                <w:rFonts w:ascii="Liberation Serif" w:hAnsi="Liberation Serif"/>
              </w:rPr>
              <w:t xml:space="preserve">, </w:t>
            </w:r>
            <w:r>
              <w:rPr>
                <w:rStyle w:val="Textooriginal"/>
                <w:rFonts w:ascii="Liberation Serif" w:hAnsi="Liberation Serif"/>
              </w:rPr>
              <w:t>"AIoT"</w:t>
            </w:r>
            <w:r>
              <w:rPr>
                <w:rFonts w:ascii="Liberation Serif" w:hAnsi="Liberation Serif"/>
              </w:rPr>
              <w:t xml:space="preserve">, </w:t>
            </w:r>
            <w:r>
              <w:rPr>
                <w:rStyle w:val="Textooriginal"/>
                <w:rFonts w:ascii="Liberation Serif" w:hAnsi="Liberation Serif"/>
              </w:rPr>
              <w:t>"machine learning on microcontrollers"</w:t>
            </w:r>
          </w:p>
        </w:tc>
      </w:tr>
      <w:tr>
        <w:trPr/>
        <w:tc>
          <w:tcPr>
            <w:tcW w:w="675" w:type="dxa"/>
            <w:tcBorders/>
            <w:vAlign w:val="center"/>
          </w:tcPr>
          <w:p>
            <w:pPr>
              <w:pStyle w:val="Contenidodelatabla"/>
              <w:spacing w:before="57" w:after="57"/>
              <w:ind w:hanging="0" w:left="0"/>
              <w:jc w:val="center"/>
              <w:rPr/>
            </w:pPr>
            <w:r>
              <w:rPr>
                <w:rStyle w:val="Strong"/>
                <w:rFonts w:ascii="Liberation Serif" w:hAnsi="Liberation Serif"/>
                <w:sz w:val="22"/>
                <w:szCs w:val="22"/>
              </w:rPr>
              <w:t>C</w:t>
            </w:r>
          </w:p>
        </w:tc>
        <w:tc>
          <w:tcPr>
            <w:tcW w:w="3349" w:type="dxa"/>
            <w:tcBorders/>
            <w:vAlign w:val="center"/>
          </w:tcPr>
          <w:p>
            <w:pPr>
              <w:pStyle w:val="Contenidodelatabla"/>
              <w:spacing w:before="57" w:after="57"/>
              <w:jc w:val="center"/>
              <w:rPr>
                <w:rFonts w:ascii="Liberation Serif" w:hAnsi="Liberation Serif"/>
              </w:rPr>
            </w:pPr>
            <w:r>
              <w:rPr>
                <w:rFonts w:ascii="Liberation Serif" w:hAnsi="Liberation Serif"/>
              </w:rPr>
              <w:t>Comparación con enfoques tradicionales (en la nube o de mayor consumo).</w:t>
            </w:r>
          </w:p>
        </w:tc>
        <w:tc>
          <w:tcPr>
            <w:tcW w:w="4763" w:type="dxa"/>
            <w:tcBorders/>
          </w:tcPr>
          <w:p>
            <w:pPr>
              <w:pStyle w:val="Contenidodelatabla"/>
              <w:spacing w:before="57" w:after="57"/>
              <w:jc w:val="left"/>
              <w:rPr/>
            </w:pPr>
            <w:r>
              <w:rPr>
                <w:rStyle w:val="Textooriginal"/>
                <w:rFonts w:ascii="Liberation Serif" w:hAnsi="Liberation Serif"/>
              </w:rPr>
              <w:t>"cloud-based machine learning"</w:t>
            </w:r>
            <w:r>
              <w:rPr>
                <w:rFonts w:ascii="Liberation Serif" w:hAnsi="Liberation Serif"/>
              </w:rPr>
              <w:t xml:space="preserve">, </w:t>
            </w:r>
            <w:r>
              <w:rPr>
                <w:rStyle w:val="Textooriginal"/>
                <w:rFonts w:ascii="Liberation Serif" w:hAnsi="Liberation Serif"/>
              </w:rPr>
              <w:t>"traditional machine learning"</w:t>
            </w:r>
            <w:r>
              <w:rPr>
                <w:rFonts w:ascii="Liberation Serif" w:hAnsi="Liberation Serif"/>
              </w:rPr>
              <w:t xml:space="preserve">, </w:t>
            </w:r>
            <w:r>
              <w:rPr>
                <w:rStyle w:val="Textooriginal"/>
                <w:rFonts w:ascii="Liberation Serif" w:hAnsi="Liberation Serif"/>
              </w:rPr>
              <w:t>"server-side AI"</w:t>
            </w:r>
            <w:r>
              <w:rPr>
                <w:rFonts w:ascii="Liberation Serif" w:hAnsi="Liberation Serif"/>
              </w:rPr>
              <w:t xml:space="preserve">, </w:t>
            </w:r>
            <w:r>
              <w:rPr>
                <w:rStyle w:val="Textooriginal"/>
                <w:rFonts w:ascii="Liberation Serif" w:hAnsi="Liberation Serif"/>
              </w:rPr>
              <w:t>"cloud computing"</w:t>
            </w:r>
            <w:r>
              <w:rPr>
                <w:rFonts w:ascii="Liberation Serif" w:hAnsi="Liberation Serif"/>
              </w:rPr>
              <w:t xml:space="preserve">, </w:t>
            </w:r>
            <w:r>
              <w:rPr>
                <w:rStyle w:val="Textooriginal"/>
                <w:rFonts w:ascii="Liberation Serif" w:hAnsi="Liberation Serif"/>
              </w:rPr>
              <w:t>"fog computing"</w:t>
            </w:r>
            <w:r>
              <w:rPr>
                <w:rFonts w:ascii="Liberation Serif" w:hAnsi="Liberation Serif"/>
              </w:rPr>
              <w:t xml:space="preserve">, </w:t>
            </w:r>
            <w:r>
              <w:rPr>
                <w:rStyle w:val="Textooriginal"/>
                <w:rFonts w:ascii="Liberation Serif" w:hAnsi="Liberation Serif"/>
              </w:rPr>
              <w:t>"edge computing"</w:t>
            </w:r>
          </w:p>
        </w:tc>
      </w:tr>
      <w:tr>
        <w:trPr/>
        <w:tc>
          <w:tcPr>
            <w:tcW w:w="675" w:type="dxa"/>
            <w:tcBorders/>
            <w:vAlign w:val="center"/>
          </w:tcPr>
          <w:p>
            <w:pPr>
              <w:pStyle w:val="Contenidodelatabla"/>
              <w:spacing w:before="57" w:after="57"/>
              <w:ind w:hanging="0" w:left="0"/>
              <w:jc w:val="center"/>
              <w:rPr/>
            </w:pPr>
            <w:r>
              <w:rPr>
                <w:rStyle w:val="Strong"/>
                <w:rFonts w:ascii="Liberation Serif" w:hAnsi="Liberation Serif"/>
                <w:sz w:val="22"/>
                <w:szCs w:val="22"/>
              </w:rPr>
              <w:t>O</w:t>
            </w:r>
          </w:p>
        </w:tc>
        <w:tc>
          <w:tcPr>
            <w:tcW w:w="3349" w:type="dxa"/>
            <w:tcBorders/>
            <w:vAlign w:val="center"/>
          </w:tcPr>
          <w:p>
            <w:pPr>
              <w:pStyle w:val="Contenidodelatabla"/>
              <w:spacing w:before="57" w:after="57"/>
              <w:jc w:val="center"/>
              <w:rPr>
                <w:rFonts w:ascii="Liberation Serif" w:hAnsi="Liberation Serif"/>
              </w:rPr>
            </w:pPr>
            <w:r>
              <w:rPr>
                <w:rFonts w:ascii="Liberation Serif" w:hAnsi="Liberation Serif"/>
              </w:rPr>
              <w:t>Eficiencia energética, rendimiento o reducción de latencia.</w:t>
            </w:r>
          </w:p>
        </w:tc>
        <w:tc>
          <w:tcPr>
            <w:tcW w:w="4763" w:type="dxa"/>
            <w:tcBorders/>
          </w:tcPr>
          <w:p>
            <w:pPr>
              <w:pStyle w:val="Contenidodelatabla"/>
              <w:spacing w:before="57" w:after="57"/>
              <w:jc w:val="left"/>
              <w:rPr/>
            </w:pPr>
            <w:r>
              <w:rPr>
                <w:rStyle w:val="Textooriginal"/>
                <w:rFonts w:ascii="Liberation Serif" w:hAnsi="Liberation Serif"/>
              </w:rPr>
              <w:t>"energy efficiency"</w:t>
            </w:r>
            <w:r>
              <w:rPr>
                <w:rFonts w:ascii="Liberation Serif" w:hAnsi="Liberation Serif"/>
              </w:rPr>
              <w:t xml:space="preserve">, </w:t>
            </w:r>
            <w:r>
              <w:rPr>
                <w:rStyle w:val="Textooriginal"/>
                <w:rFonts w:ascii="Liberation Serif" w:hAnsi="Liberation Serif"/>
              </w:rPr>
              <w:t>"low power"</w:t>
            </w:r>
            <w:r>
              <w:rPr>
                <w:rFonts w:ascii="Liberation Serif" w:hAnsi="Liberation Serif"/>
              </w:rPr>
              <w:t xml:space="preserve">, </w:t>
            </w:r>
            <w:r>
              <w:rPr>
                <w:rStyle w:val="Textooriginal"/>
                <w:rFonts w:ascii="Liberation Serif" w:hAnsi="Liberation Serif"/>
              </w:rPr>
              <w:t>"battery life"</w:t>
            </w:r>
            <w:r>
              <w:rPr>
                <w:rFonts w:ascii="Liberation Serif" w:hAnsi="Liberation Serif"/>
              </w:rPr>
              <w:t xml:space="preserve">, </w:t>
            </w:r>
            <w:r>
              <w:rPr>
                <w:rStyle w:val="Textooriginal"/>
                <w:rFonts w:ascii="Liberation Serif" w:hAnsi="Liberation Serif"/>
              </w:rPr>
              <w:t>"latency"</w:t>
            </w:r>
            <w:r>
              <w:rPr>
                <w:rFonts w:ascii="Liberation Serif" w:hAnsi="Liberation Serif"/>
              </w:rPr>
              <w:t xml:space="preserve">, </w:t>
            </w:r>
            <w:r>
              <w:rPr>
                <w:rStyle w:val="Textooriginal"/>
                <w:rFonts w:ascii="Liberation Serif" w:hAnsi="Liberation Serif"/>
              </w:rPr>
              <w:t>"performance"</w:t>
            </w:r>
            <w:r>
              <w:rPr>
                <w:rFonts w:ascii="Liberation Serif" w:hAnsi="Liberation Serif"/>
              </w:rPr>
              <w:t xml:space="preserve">, </w:t>
            </w:r>
            <w:r>
              <w:rPr>
                <w:rStyle w:val="Textooriginal"/>
                <w:rFonts w:ascii="Liberation Serif" w:hAnsi="Liberation Serif"/>
              </w:rPr>
              <w:t>"optimization"</w:t>
            </w:r>
          </w:p>
        </w:tc>
      </w:tr>
    </w:tbl>
    <w:p>
      <w:pPr>
        <w:pStyle w:val="Normal"/>
        <w:ind w:hanging="0"/>
        <w:jc w:val="center"/>
        <w:rPr/>
      </w:pPr>
      <w:r>
        <w:rPr/>
      </w:r>
    </w:p>
    <w:p>
      <w:pPr>
        <w:pStyle w:val="Normal"/>
        <w:ind w:hanging="0"/>
        <w:jc w:val="center"/>
        <w:rPr/>
      </w:pPr>
      <w:r>
        <w:rPr/>
        <w:t>Tabla.</w:t>
      </w:r>
      <w:r>
        <w:rPr/>
        <w:t>4</w:t>
      </w:r>
      <w:r>
        <w:rPr/>
        <w:t xml:space="preserve">. </w:t>
      </w:r>
      <w:r>
        <w:rPr/>
        <w:t>Ecuación de buśqueda</w:t>
      </w:r>
    </w:p>
    <w:p>
      <w:pPr>
        <w:pStyle w:val="Normal"/>
        <w:ind w:hanging="0"/>
        <w:jc w:val="center"/>
        <w:rPr/>
      </w:pPr>
      <w:r>
        <w:rPr/>
      </w:r>
    </w:p>
    <w:tbl>
      <w:tblPr>
        <w:tblW w:w="5000" w:type="pct"/>
        <w:jc w:val="left"/>
        <w:tblInd w:w="0" w:type="dxa"/>
        <w:tblLayout w:type="fixed"/>
        <w:tblCellMar>
          <w:top w:w="0" w:type="dxa"/>
          <w:left w:w="0" w:type="dxa"/>
          <w:bottom w:w="0" w:type="dxa"/>
          <w:right w:w="0" w:type="dxa"/>
        </w:tblCellMar>
      </w:tblPr>
      <w:tblGrid>
        <w:gridCol w:w="1591"/>
        <w:gridCol w:w="5991"/>
        <w:gridCol w:w="1205"/>
      </w:tblGrid>
      <w:tr>
        <w:trPr/>
        <w:tc>
          <w:tcPr>
            <w:tcW w:w="1591" w:type="dxa"/>
            <w:tcBorders/>
            <w:shd w:fill="DDDDDD" w:val="clear"/>
            <w:vAlign w:val="center"/>
          </w:tcPr>
          <w:p>
            <w:pPr>
              <w:pStyle w:val="Contenidodelatabla"/>
              <w:spacing w:before="0" w:after="0"/>
              <w:jc w:val="center"/>
              <w:rPr>
                <w:b/>
                <w:bCs/>
              </w:rPr>
            </w:pPr>
            <w:r>
              <w:rPr>
                <w:b/>
                <w:bCs/>
              </w:rPr>
              <w:t>B</w:t>
            </w:r>
            <w:r>
              <w:rPr>
                <w:b/>
                <w:bCs/>
              </w:rPr>
              <w:t xml:space="preserve">ase de datos </w:t>
            </w:r>
          </w:p>
        </w:tc>
        <w:tc>
          <w:tcPr>
            <w:tcW w:w="5991" w:type="dxa"/>
            <w:tcBorders/>
            <w:shd w:fill="DDDDDD" w:val="clear"/>
            <w:vAlign w:val="center"/>
          </w:tcPr>
          <w:p>
            <w:pPr>
              <w:pStyle w:val="Contenidodelatabla"/>
              <w:spacing w:before="0" w:after="0"/>
              <w:jc w:val="center"/>
              <w:rPr>
                <w:b/>
                <w:bCs/>
              </w:rPr>
            </w:pPr>
            <w:r>
              <w:rPr>
                <w:b/>
                <w:bCs/>
              </w:rPr>
              <w:t>Formula Booleana</w:t>
            </w:r>
          </w:p>
        </w:tc>
        <w:tc>
          <w:tcPr>
            <w:tcW w:w="1205" w:type="dxa"/>
            <w:tcBorders/>
            <w:shd w:fill="DDDDDD" w:val="clear"/>
            <w:vAlign w:val="center"/>
          </w:tcPr>
          <w:p>
            <w:pPr>
              <w:pStyle w:val="Contenidodelatabla"/>
              <w:spacing w:before="0" w:after="0"/>
              <w:jc w:val="center"/>
              <w:rPr>
                <w:b/>
                <w:bCs/>
              </w:rPr>
            </w:pPr>
            <w:r>
              <w:rPr>
                <w:b/>
                <w:bCs/>
              </w:rPr>
              <w:t>Artículos hallados</w:t>
            </w:r>
          </w:p>
        </w:tc>
      </w:tr>
      <w:tr>
        <w:trPr/>
        <w:tc>
          <w:tcPr>
            <w:tcW w:w="1591" w:type="dxa"/>
            <w:tcBorders/>
            <w:vAlign w:val="center"/>
          </w:tcPr>
          <w:p>
            <w:pPr>
              <w:pStyle w:val="Contenidodelatabla"/>
              <w:jc w:val="center"/>
              <w:rPr/>
            </w:pPr>
            <w:r>
              <w:rPr/>
              <w:t>Scopus</w:t>
            </w:r>
          </w:p>
        </w:tc>
        <w:tc>
          <w:tcPr>
            <w:tcW w:w="5991" w:type="dxa"/>
            <w:tcBorders/>
            <w:vAlign w:val="center"/>
          </w:tcPr>
          <w:p>
            <w:pPr>
              <w:pStyle w:val="BodyText"/>
              <w:bidi w:val="0"/>
              <w:spacing w:before="114" w:after="114"/>
              <w:jc w:val="center"/>
              <w:rPr>
                <w:color w:val="1C1C1C"/>
                <w:sz w:val="20"/>
                <w:szCs w:val="20"/>
              </w:rPr>
            </w:pPr>
            <w:r>
              <w:rPr>
                <w:color w:val="1C1C1C"/>
                <w:sz w:val="20"/>
                <w:szCs w:val="20"/>
              </w:rPr>
              <w:t>(TITLE-ABS-KEY ("IoT" OR "Internet of Things" OR "embedded system*" OR "smart devices" OR "sensor networks" OR "connected devices"))AND (TITLE-ABS-KEY ("TinyML" OR "edge AI" OR "embedded machine learning" OR "on-device learning" OR "AIoT" OR "machine learning on microcontrollers")) AND (TITLE-ABS-KEY ("cloud-based machine learning" OR "traditional machine learning" OR "server-side AI" OR "cloud computing" OR "fog computing" OR "edge computing")) AND (TITLE-ABS-KEY ("energy efficiency" OR "low power" OR "battery life" OR "latency" OR "performance" OR "optimization"))</w:t>
            </w:r>
          </w:p>
        </w:tc>
        <w:tc>
          <w:tcPr>
            <w:tcW w:w="1205" w:type="dxa"/>
            <w:tcBorders/>
            <w:vAlign w:val="center"/>
          </w:tcPr>
          <w:p>
            <w:pPr>
              <w:pStyle w:val="Contenidodelatabla"/>
              <w:jc w:val="center"/>
              <w:rPr/>
            </w:pPr>
            <w:r>
              <w:rPr/>
              <w:t>473</w:t>
            </w:r>
          </w:p>
        </w:tc>
      </w:tr>
      <w:tr>
        <w:trPr/>
        <w:tc>
          <w:tcPr>
            <w:tcW w:w="1591" w:type="dxa"/>
            <w:tcBorders/>
            <w:vAlign w:val="center"/>
          </w:tcPr>
          <w:p>
            <w:pPr>
              <w:pStyle w:val="Contenidodelatabla"/>
              <w:jc w:val="center"/>
              <w:rPr/>
            </w:pPr>
            <w:r>
              <w:rPr/>
              <w:t>Web Of Science</w:t>
            </w:r>
          </w:p>
        </w:tc>
        <w:tc>
          <w:tcPr>
            <w:tcW w:w="5991" w:type="dxa"/>
            <w:tcBorders/>
            <w:vAlign w:val="center"/>
          </w:tcPr>
          <w:p>
            <w:pPr>
              <w:pStyle w:val="BodyText"/>
              <w:bidi w:val="0"/>
              <w:spacing w:before="114" w:after="114"/>
              <w:jc w:val="center"/>
              <w:rPr>
                <w:color w:val="1C1C1C"/>
                <w:sz w:val="20"/>
                <w:szCs w:val="20"/>
              </w:rPr>
            </w:pPr>
            <w:r>
              <w:rPr>
                <w:b w:val="false"/>
                <w:i w:val="false"/>
                <w:caps w:val="false"/>
                <w:smallCaps w:val="false"/>
                <w:color w:val="1C1C1C"/>
                <w:spacing w:val="0"/>
                <w:sz w:val="20"/>
                <w:szCs w:val="20"/>
                <w:shd w:fill="auto" w:val="clear"/>
              </w:rPr>
              <w:t>TS=("IoT" OR "Internet of Things" OR embedded system* OR "smart devices" OR "sensor networks" OR "connected devices") AND TS=("TinyML" OR "edge AI" OR "embedded machine learning" OR "on-device learning" OR AIoT OR "machine learning on microcontrollers") AND TS=("cloud-based machine learning" OR "traditional machine learning" OR "server-side AI" OR "cloud computing" OR "fog computing" OR "edge computing") AND TS=("energy efficiency" OR "low power" OR "battery life" OR "latency" OR "performance" OR "optimization")</w:t>
            </w:r>
          </w:p>
        </w:tc>
        <w:tc>
          <w:tcPr>
            <w:tcW w:w="1205" w:type="dxa"/>
            <w:tcBorders/>
            <w:vAlign w:val="center"/>
          </w:tcPr>
          <w:p>
            <w:pPr>
              <w:pStyle w:val="Contenidodelatabla"/>
              <w:jc w:val="center"/>
              <w:rPr/>
            </w:pPr>
            <w:r>
              <w:rPr/>
              <w:t>225</w:t>
            </w:r>
          </w:p>
        </w:tc>
      </w:tr>
      <w:tr>
        <w:trPr>
          <w:trHeight w:val="205" w:hRule="atLeast"/>
        </w:trPr>
        <w:tc>
          <w:tcPr>
            <w:tcW w:w="1591" w:type="dxa"/>
            <w:tcBorders/>
            <w:vAlign w:val="center"/>
          </w:tcPr>
          <w:p>
            <w:pPr>
              <w:pStyle w:val="Contenidodelatabla"/>
              <w:jc w:val="center"/>
              <w:rPr/>
            </w:pPr>
            <w:r>
              <w:rPr/>
              <w:t>IEEE Xplorer</w:t>
            </w:r>
          </w:p>
        </w:tc>
        <w:tc>
          <w:tcPr>
            <w:tcW w:w="5991" w:type="dxa"/>
            <w:tcBorders/>
            <w:vAlign w:val="center"/>
          </w:tcPr>
          <w:p>
            <w:pPr>
              <w:pStyle w:val="Contenidodelatabla"/>
              <w:spacing w:before="114" w:after="114"/>
              <w:jc w:val="center"/>
              <w:rPr>
                <w:color w:val="1C1C1C"/>
              </w:rPr>
            </w:pPr>
            <w:r>
              <w:rPr>
                <w:color w:val="1C1C1C"/>
              </w:rPr>
              <w:t>("All Metadata":"IoT" OR "All Metadata":"Internet of Things" OR "All Metadata":"embedded system" OR "All Metadata":"smart devices" OR "All Metadata":"sensor networks" OR "All Metadata":"connected devices")AND("All Metadata":"TinyML" OR "All Metadata":"edge AI" OR "All Metadata":"embedded machine learning" OR "All Metadata":"on-device learning" OR "All Metadata":"AIoT" OR "All Metadata":"machine learning on microcontrollers")AND("All Metadata":"cloud-based machine learning" OR "All Metadata":"traditional machine learning" OR "All Metadata":"server-side AI" OR "All Metadata":"cloud computing" OR "All Metadata":"fog computing" OR "All Metadata":"edge computing")AND("All Metadata":"energy efficiency" OR "All Metadata":"low power" OR "All Metadata":"battery life" OR "All Metadata":"latency" OR "All Metadata":"performance" OR "optimization")</w:t>
            </w:r>
          </w:p>
        </w:tc>
        <w:tc>
          <w:tcPr>
            <w:tcW w:w="1205" w:type="dxa"/>
            <w:tcBorders/>
            <w:vAlign w:val="center"/>
          </w:tcPr>
          <w:p>
            <w:pPr>
              <w:pStyle w:val="Contenidodelatabla"/>
              <w:jc w:val="center"/>
              <w:rPr/>
            </w:pPr>
            <w:r>
              <w:rPr/>
              <w:t>578</w:t>
            </w:r>
          </w:p>
        </w:tc>
      </w:tr>
    </w:tbl>
    <w:p>
      <w:pPr>
        <w:pStyle w:val="Normal"/>
        <w:ind w:hanging="0"/>
        <w:jc w:val="center"/>
        <w:rPr/>
      </w:pPr>
      <w:r>
        <w:rPr/>
      </w:r>
    </w:p>
    <w:p>
      <w:pPr>
        <w:pStyle w:val="Normal"/>
        <w:ind w:hanging="0"/>
        <w:jc w:val="center"/>
        <w:rPr/>
      </w:pPr>
      <w:r>
        <w:rPr/>
      </w:r>
    </w:p>
    <w:p>
      <w:pPr>
        <w:pStyle w:val="Normal"/>
        <w:ind w:hanging="0"/>
        <w:jc w:val="center"/>
        <w:rPr/>
      </w:pPr>
      <w:r>
        <w:rPr/>
      </w:r>
    </w:p>
    <w:p>
      <w:pPr>
        <w:pStyle w:val="Normal"/>
        <w:numPr>
          <w:ilvl w:val="0"/>
          <w:numId w:val="0"/>
        </w:numPr>
        <w:tabs>
          <w:tab w:val="clear" w:pos="720"/>
          <w:tab w:val="left" w:pos="426" w:leader="none"/>
        </w:tabs>
        <w:ind w:hanging="0" w:left="426"/>
        <w:rPr>
          <w:b/>
          <w:bCs/>
        </w:rPr>
      </w:pPr>
      <w:r>
        <w:rPr>
          <w:b/>
          <w:bCs/>
        </w:rPr>
        <w:t>C</w:t>
      </w:r>
      <w:r>
        <w:rPr>
          <w:b/>
          <w:bCs/>
        </w:rPr>
        <w:t xml:space="preserve">. </w:t>
      </w:r>
      <w:r>
        <w:rPr>
          <w:b/>
          <w:bCs/>
        </w:rPr>
        <w:t>Criterios de inclusión y exclusión</w:t>
      </w:r>
    </w:p>
    <w:p>
      <w:pPr>
        <w:pStyle w:val="Normal"/>
        <w:numPr>
          <w:ilvl w:val="0"/>
          <w:numId w:val="0"/>
        </w:numPr>
        <w:ind w:hanging="0" w:left="426"/>
        <w:jc w:val="center"/>
        <w:rPr>
          <w:b/>
          <w:bCs/>
        </w:rPr>
      </w:pPr>
      <w:r>
        <w:rPr/>
      </w:r>
    </w:p>
    <w:p>
      <w:pPr>
        <w:pStyle w:val="Normal"/>
        <w:numPr>
          <w:ilvl w:val="0"/>
          <w:numId w:val="0"/>
        </w:numPr>
        <w:ind w:hanging="0" w:left="426"/>
        <w:jc w:val="center"/>
        <w:rPr>
          <w:b w:val="false"/>
          <w:bCs w:val="false"/>
        </w:rPr>
      </w:pPr>
      <w:r>
        <w:rPr>
          <w:b w:val="false"/>
          <w:bCs w:val="false"/>
        </w:rPr>
        <w:t>Tabla.5. Criterios de inclusión y exclusión segun PICO</w:t>
      </w:r>
    </w:p>
    <w:p>
      <w:pPr>
        <w:pStyle w:val="Normal"/>
        <w:tabs>
          <w:tab w:val="clear" w:pos="720"/>
          <w:tab w:val="left" w:pos="426" w:leader="none"/>
        </w:tabs>
        <w:ind w:hanging="426" w:left="426"/>
        <w:rPr>
          <w:b/>
          <w:bCs/>
        </w:rPr>
      </w:pPr>
      <w:r>
        <w:rPr/>
      </w:r>
    </w:p>
    <w:tbl>
      <w:tblPr>
        <w:tblW w:w="5000" w:type="pct"/>
        <w:jc w:val="left"/>
        <w:tblInd w:w="0" w:type="dxa"/>
        <w:tblLayout w:type="fixed"/>
        <w:tblCellMar>
          <w:top w:w="0" w:type="dxa"/>
          <w:left w:w="0" w:type="dxa"/>
          <w:bottom w:w="0" w:type="dxa"/>
          <w:right w:w="0" w:type="dxa"/>
        </w:tblCellMar>
      </w:tblPr>
      <w:tblGrid>
        <w:gridCol w:w="736"/>
        <w:gridCol w:w="3651"/>
        <w:gridCol w:w="710"/>
        <w:gridCol w:w="3690"/>
      </w:tblGrid>
      <w:tr>
        <w:trPr/>
        <w:tc>
          <w:tcPr>
            <w:tcW w:w="4387" w:type="dxa"/>
            <w:gridSpan w:val="2"/>
            <w:tcBorders/>
            <w:shd w:fill="DDDDDD" w:val="clear"/>
          </w:tcPr>
          <w:p>
            <w:pPr>
              <w:pStyle w:val="BodyText"/>
              <w:bidi w:val="0"/>
              <w:spacing w:before="0" w:after="0"/>
              <w:ind w:hanging="0" w:left="709"/>
              <w:jc w:val="left"/>
              <w:rPr>
                <w:b/>
                <w:bCs/>
              </w:rPr>
            </w:pPr>
            <w:r>
              <w:rPr>
                <w:b/>
                <w:bCs/>
                <w:i w:val="false"/>
                <w:caps w:val="false"/>
                <w:smallCaps w:val="false"/>
                <w:color w:val="333333"/>
                <w:spacing w:val="0"/>
                <w:shd w:fill="auto" w:val="clear"/>
              </w:rPr>
              <w:t>Criterios de Inclusión</w:t>
            </w:r>
          </w:p>
        </w:tc>
        <w:tc>
          <w:tcPr>
            <w:tcW w:w="4400" w:type="dxa"/>
            <w:gridSpan w:val="2"/>
            <w:tcBorders/>
            <w:shd w:fill="DDDDDD" w:val="clear"/>
          </w:tcPr>
          <w:p>
            <w:pPr>
              <w:pStyle w:val="BodyText"/>
              <w:bidi w:val="0"/>
              <w:spacing w:before="0" w:after="0"/>
              <w:ind w:hanging="0" w:left="709"/>
              <w:jc w:val="left"/>
              <w:rPr>
                <w:b/>
                <w:bCs/>
              </w:rPr>
            </w:pPr>
            <w:r>
              <w:rPr>
                <w:b/>
                <w:bCs/>
                <w:i w:val="false"/>
                <w:caps w:val="false"/>
                <w:smallCaps w:val="false"/>
                <w:color w:val="333333"/>
                <w:spacing w:val="0"/>
                <w:shd w:fill="auto" w:val="clear"/>
              </w:rPr>
              <w:t>Criterios de Exclusión</w:t>
            </w:r>
          </w:p>
        </w:tc>
      </w:tr>
      <w:tr>
        <w:trPr/>
        <w:tc>
          <w:tcPr>
            <w:tcW w:w="736" w:type="dxa"/>
            <w:tcBorders/>
            <w:vAlign w:val="center"/>
          </w:tcPr>
          <w:p>
            <w:pPr>
              <w:pStyle w:val="Contenidodelatabla"/>
              <w:jc w:val="center"/>
              <w:rPr>
                <w:b w:val="false"/>
                <w:bCs w:val="false"/>
                <w:sz w:val="20"/>
                <w:szCs w:val="20"/>
              </w:rPr>
            </w:pPr>
            <w:r>
              <w:rPr>
                <w:b w:val="false"/>
                <w:bCs w:val="false"/>
                <w:color w:val="333333"/>
                <w:sz w:val="20"/>
                <w:szCs w:val="20"/>
              </w:rPr>
              <w:t>CI1</w:t>
            </w:r>
          </w:p>
        </w:tc>
        <w:tc>
          <w:tcPr>
            <w:tcW w:w="3651" w:type="dxa"/>
            <w:tcBorders/>
            <w:vAlign w:val="center"/>
          </w:tcPr>
          <w:p>
            <w:pPr>
              <w:pStyle w:val="Contenidodelatabla"/>
              <w:jc w:val="center"/>
              <w:rPr/>
            </w:pPr>
            <w:r>
              <w:rPr>
                <w:b w:val="false"/>
                <w:bCs w:val="false"/>
                <w:color w:val="333333"/>
                <w:sz w:val="20"/>
                <w:szCs w:val="20"/>
              </w:rPr>
              <w:t>P</w:t>
            </w:r>
            <w:r>
              <w:rPr>
                <w:b w:val="false"/>
                <w:bCs w:val="false"/>
                <w:color w:val="333333"/>
                <w:sz w:val="20"/>
                <w:szCs w:val="20"/>
              </w:rPr>
              <w:t xml:space="preserve">ublicaciones centradas en </w:t>
            </w:r>
            <w:r>
              <w:rPr>
                <w:rStyle w:val="Strong"/>
                <w:b w:val="false"/>
                <w:bCs w:val="false"/>
                <w:color w:val="333333"/>
                <w:sz w:val="20"/>
                <w:szCs w:val="20"/>
              </w:rPr>
              <w:t>dispositivos embebidos</w:t>
            </w:r>
            <w:r>
              <w:rPr>
                <w:b w:val="false"/>
                <w:bCs w:val="false"/>
                <w:color w:val="333333"/>
                <w:sz w:val="20"/>
                <w:szCs w:val="20"/>
              </w:rPr>
              <w:t xml:space="preserve">, </w:t>
            </w:r>
            <w:r>
              <w:rPr>
                <w:rStyle w:val="Strong"/>
                <w:b w:val="false"/>
                <w:bCs w:val="false"/>
                <w:color w:val="333333"/>
                <w:sz w:val="20"/>
                <w:szCs w:val="20"/>
              </w:rPr>
              <w:t>microcontroladores</w:t>
            </w:r>
            <w:r>
              <w:rPr>
                <w:b w:val="false"/>
                <w:bCs w:val="false"/>
                <w:color w:val="333333"/>
                <w:sz w:val="20"/>
                <w:szCs w:val="20"/>
              </w:rPr>
              <w:t xml:space="preserve"> o </w:t>
            </w:r>
            <w:r>
              <w:rPr>
                <w:rStyle w:val="Strong"/>
                <w:b w:val="false"/>
                <w:bCs w:val="false"/>
                <w:color w:val="333333"/>
                <w:sz w:val="20"/>
                <w:szCs w:val="20"/>
              </w:rPr>
              <w:t>nodos IoT de bajo consumo</w:t>
            </w:r>
            <w:r>
              <w:rPr>
                <w:b w:val="false"/>
                <w:bCs w:val="false"/>
                <w:color w:val="333333"/>
                <w:sz w:val="20"/>
                <w:szCs w:val="20"/>
              </w:rPr>
              <w:t>.</w:t>
            </w:r>
          </w:p>
        </w:tc>
        <w:tc>
          <w:tcPr>
            <w:tcW w:w="710" w:type="dxa"/>
            <w:tcBorders/>
            <w:vAlign w:val="center"/>
          </w:tcPr>
          <w:p>
            <w:pPr>
              <w:pStyle w:val="Contenidodelatabla"/>
              <w:jc w:val="center"/>
              <w:rPr>
                <w:b w:val="false"/>
                <w:bCs w:val="false"/>
                <w:sz w:val="20"/>
                <w:szCs w:val="20"/>
              </w:rPr>
            </w:pPr>
            <w:r>
              <w:rPr>
                <w:b w:val="false"/>
                <w:bCs w:val="false"/>
                <w:color w:val="333333"/>
                <w:sz w:val="20"/>
                <w:szCs w:val="20"/>
              </w:rPr>
              <w:t>CE1</w:t>
            </w:r>
          </w:p>
        </w:tc>
        <w:tc>
          <w:tcPr>
            <w:tcW w:w="3690" w:type="dxa"/>
            <w:tcBorders/>
            <w:vAlign w:val="center"/>
          </w:tcPr>
          <w:p>
            <w:pPr>
              <w:pStyle w:val="Contenidodelatabla"/>
              <w:jc w:val="center"/>
              <w:rPr/>
            </w:pPr>
            <w:r>
              <w:rPr>
                <w:b w:val="false"/>
                <w:bCs w:val="false"/>
                <w:color w:val="333333"/>
                <w:sz w:val="20"/>
                <w:szCs w:val="20"/>
              </w:rPr>
              <w:t xml:space="preserve">Trabajos de naturaleza </w:t>
            </w:r>
            <w:r>
              <w:rPr>
                <w:rStyle w:val="Strong"/>
                <w:b w:val="false"/>
                <w:bCs w:val="false"/>
                <w:color w:val="333333"/>
                <w:sz w:val="20"/>
                <w:szCs w:val="20"/>
              </w:rPr>
              <w:t>teórico o conceptual</w:t>
            </w:r>
            <w:r>
              <w:rPr>
                <w:b w:val="false"/>
                <w:bCs w:val="false"/>
                <w:color w:val="333333"/>
                <w:sz w:val="20"/>
                <w:szCs w:val="20"/>
              </w:rPr>
              <w:t xml:space="preserve"> sin experimentación o aplicación práctica.</w:t>
            </w:r>
          </w:p>
        </w:tc>
      </w:tr>
      <w:tr>
        <w:trPr/>
        <w:tc>
          <w:tcPr>
            <w:tcW w:w="736" w:type="dxa"/>
            <w:tcBorders/>
            <w:vAlign w:val="center"/>
          </w:tcPr>
          <w:p>
            <w:pPr>
              <w:pStyle w:val="Contenidodelatabla"/>
              <w:jc w:val="center"/>
              <w:rPr>
                <w:b w:val="false"/>
                <w:bCs w:val="false"/>
                <w:sz w:val="20"/>
                <w:szCs w:val="20"/>
              </w:rPr>
            </w:pPr>
            <w:r>
              <w:rPr>
                <w:b w:val="false"/>
                <w:bCs w:val="false"/>
                <w:color w:val="333333"/>
                <w:sz w:val="20"/>
                <w:szCs w:val="20"/>
              </w:rPr>
              <w:t>CI2</w:t>
            </w:r>
          </w:p>
        </w:tc>
        <w:tc>
          <w:tcPr>
            <w:tcW w:w="3651" w:type="dxa"/>
            <w:tcBorders/>
            <w:vAlign w:val="center"/>
          </w:tcPr>
          <w:p>
            <w:pPr>
              <w:pStyle w:val="Contenidodelatabla"/>
              <w:jc w:val="center"/>
              <w:rPr/>
            </w:pPr>
            <w:r>
              <w:rPr>
                <w:b w:val="false"/>
                <w:bCs w:val="false"/>
                <w:color w:val="333333"/>
                <w:sz w:val="20"/>
                <w:szCs w:val="20"/>
              </w:rPr>
              <w:t xml:space="preserve">Estudios que investiguen la aplicación de </w:t>
            </w:r>
            <w:r>
              <w:rPr>
                <w:rStyle w:val="Strong"/>
                <w:b w:val="false"/>
                <w:bCs w:val="false"/>
                <w:color w:val="333333"/>
                <w:sz w:val="20"/>
                <w:szCs w:val="20"/>
              </w:rPr>
              <w:t>TinyML o Edge Machine Learning</w:t>
            </w:r>
            <w:r>
              <w:rPr>
                <w:b w:val="false"/>
                <w:bCs w:val="false"/>
                <w:color w:val="333333"/>
                <w:sz w:val="20"/>
                <w:szCs w:val="20"/>
              </w:rPr>
              <w:t xml:space="preserve"> en </w:t>
            </w:r>
            <w:r>
              <w:rPr>
                <w:rStyle w:val="Strong"/>
                <w:b w:val="false"/>
                <w:bCs w:val="false"/>
                <w:color w:val="333333"/>
                <w:sz w:val="20"/>
                <w:szCs w:val="20"/>
              </w:rPr>
              <w:t>dispositivos IoT o sistemas embebidos.</w:t>
            </w:r>
          </w:p>
        </w:tc>
        <w:tc>
          <w:tcPr>
            <w:tcW w:w="710" w:type="dxa"/>
            <w:tcBorders/>
            <w:vAlign w:val="center"/>
          </w:tcPr>
          <w:p>
            <w:pPr>
              <w:pStyle w:val="Contenidodelatabla"/>
              <w:jc w:val="center"/>
              <w:rPr>
                <w:b w:val="false"/>
                <w:bCs w:val="false"/>
                <w:sz w:val="20"/>
                <w:szCs w:val="20"/>
              </w:rPr>
            </w:pPr>
            <w:r>
              <w:rPr>
                <w:b w:val="false"/>
                <w:bCs w:val="false"/>
                <w:color w:val="333333"/>
                <w:sz w:val="20"/>
                <w:szCs w:val="20"/>
              </w:rPr>
              <w:t>CE2</w:t>
            </w:r>
          </w:p>
        </w:tc>
        <w:tc>
          <w:tcPr>
            <w:tcW w:w="3690" w:type="dxa"/>
            <w:tcBorders/>
            <w:vAlign w:val="center"/>
          </w:tcPr>
          <w:p>
            <w:pPr>
              <w:pStyle w:val="Contenidodelatabla"/>
              <w:jc w:val="center"/>
              <w:rPr/>
            </w:pPr>
            <w:r>
              <w:rPr>
                <w:b w:val="false"/>
                <w:bCs w:val="false"/>
                <w:color w:val="333333"/>
                <w:sz w:val="20"/>
                <w:szCs w:val="20"/>
              </w:rPr>
              <w:t xml:space="preserve">Publicaciones en </w:t>
            </w:r>
            <w:r>
              <w:rPr>
                <w:rStyle w:val="Strong"/>
                <w:b w:val="false"/>
                <w:bCs w:val="false"/>
                <w:color w:val="333333"/>
                <w:sz w:val="20"/>
                <w:szCs w:val="20"/>
              </w:rPr>
              <w:t>idiomas distintos al inglés o español</w:t>
            </w:r>
            <w:r>
              <w:rPr>
                <w:b w:val="false"/>
                <w:bCs w:val="false"/>
                <w:color w:val="333333"/>
                <w:sz w:val="20"/>
                <w:szCs w:val="20"/>
              </w:rPr>
              <w:t xml:space="preserve">. </w:t>
            </w:r>
          </w:p>
        </w:tc>
      </w:tr>
      <w:tr>
        <w:trPr/>
        <w:tc>
          <w:tcPr>
            <w:tcW w:w="736" w:type="dxa"/>
            <w:tcBorders/>
            <w:vAlign w:val="center"/>
          </w:tcPr>
          <w:p>
            <w:pPr>
              <w:pStyle w:val="Contenidodelatabla"/>
              <w:jc w:val="center"/>
              <w:rPr>
                <w:b w:val="false"/>
                <w:bCs w:val="false"/>
                <w:sz w:val="20"/>
                <w:szCs w:val="20"/>
              </w:rPr>
            </w:pPr>
            <w:r>
              <w:rPr>
                <w:b w:val="false"/>
                <w:bCs w:val="false"/>
                <w:color w:val="333333"/>
                <w:sz w:val="20"/>
                <w:szCs w:val="20"/>
              </w:rPr>
              <w:t>CI3</w:t>
            </w:r>
          </w:p>
        </w:tc>
        <w:tc>
          <w:tcPr>
            <w:tcW w:w="3651" w:type="dxa"/>
            <w:tcBorders/>
            <w:vAlign w:val="center"/>
          </w:tcPr>
          <w:p>
            <w:pPr>
              <w:pStyle w:val="Contenidodelatabla"/>
              <w:jc w:val="center"/>
              <w:rPr/>
            </w:pPr>
            <w:r>
              <w:rPr>
                <w:b w:val="false"/>
                <w:bCs w:val="false"/>
                <w:color w:val="333333"/>
                <w:sz w:val="20"/>
                <w:szCs w:val="20"/>
              </w:rPr>
              <w:t xml:space="preserve">Investigaciones que evalúen el </w:t>
            </w:r>
            <w:r>
              <w:rPr>
                <w:rStyle w:val="Strong"/>
                <w:b w:val="false"/>
                <w:bCs w:val="false"/>
                <w:color w:val="333333"/>
                <w:sz w:val="20"/>
                <w:szCs w:val="20"/>
              </w:rPr>
              <w:t>rendimiento energético</w:t>
            </w:r>
            <w:r>
              <w:rPr>
                <w:b w:val="false"/>
                <w:bCs w:val="false"/>
                <w:color w:val="333333"/>
                <w:sz w:val="20"/>
                <w:szCs w:val="20"/>
              </w:rPr>
              <w:t xml:space="preserve">, </w:t>
            </w:r>
            <w:r>
              <w:rPr>
                <w:rStyle w:val="Strong"/>
                <w:b w:val="false"/>
                <w:bCs w:val="false"/>
                <w:color w:val="333333"/>
                <w:sz w:val="20"/>
                <w:szCs w:val="20"/>
              </w:rPr>
              <w:t>latencia</w:t>
            </w:r>
            <w:r>
              <w:rPr>
                <w:b w:val="false"/>
                <w:bCs w:val="false"/>
                <w:color w:val="333333"/>
                <w:sz w:val="20"/>
                <w:szCs w:val="20"/>
              </w:rPr>
              <w:t xml:space="preserve"> o </w:t>
            </w:r>
            <w:r>
              <w:rPr>
                <w:rStyle w:val="Strong"/>
                <w:b w:val="false"/>
                <w:bCs w:val="false"/>
                <w:color w:val="333333"/>
                <w:sz w:val="20"/>
                <w:szCs w:val="20"/>
              </w:rPr>
              <w:t>eficiencia</w:t>
            </w:r>
            <w:r>
              <w:rPr>
                <w:b w:val="false"/>
                <w:bCs w:val="false"/>
                <w:color w:val="333333"/>
                <w:sz w:val="20"/>
                <w:szCs w:val="20"/>
              </w:rPr>
              <w:t xml:space="preserve"> de los dispositivos IoT con IA embebida.</w:t>
            </w:r>
          </w:p>
        </w:tc>
        <w:tc>
          <w:tcPr>
            <w:tcW w:w="710" w:type="dxa"/>
            <w:tcBorders/>
            <w:vAlign w:val="center"/>
          </w:tcPr>
          <w:p>
            <w:pPr>
              <w:pStyle w:val="Contenidodelatabla"/>
              <w:jc w:val="center"/>
              <w:rPr>
                <w:b w:val="false"/>
                <w:bCs w:val="false"/>
                <w:sz w:val="20"/>
                <w:szCs w:val="20"/>
              </w:rPr>
            </w:pPr>
            <w:r>
              <w:rPr>
                <w:b w:val="false"/>
                <w:bCs w:val="false"/>
                <w:color w:val="333333"/>
                <w:sz w:val="20"/>
                <w:szCs w:val="20"/>
              </w:rPr>
              <w:t>CE3</w:t>
            </w:r>
          </w:p>
        </w:tc>
        <w:tc>
          <w:tcPr>
            <w:tcW w:w="3690" w:type="dxa"/>
            <w:tcBorders/>
            <w:vAlign w:val="center"/>
          </w:tcPr>
          <w:p>
            <w:pPr>
              <w:pStyle w:val="Contenidodelatabla"/>
              <w:jc w:val="center"/>
              <w:rPr/>
            </w:pPr>
            <w:r>
              <w:rPr>
                <w:rStyle w:val="Strong"/>
                <w:b w:val="false"/>
                <w:bCs w:val="false"/>
                <w:color w:val="333333"/>
                <w:sz w:val="20"/>
                <w:szCs w:val="20"/>
              </w:rPr>
              <w:t xml:space="preserve">Investigaciones publicadas </w:t>
            </w:r>
            <w:r>
              <w:rPr>
                <w:rStyle w:val="Strong"/>
                <w:b w:val="false"/>
                <w:bCs w:val="false"/>
                <w:i w:val="false"/>
                <w:iCs w:val="false"/>
                <w:color w:val="333333"/>
                <w:sz w:val="20"/>
                <w:szCs w:val="20"/>
              </w:rPr>
              <w:t>anteriores</w:t>
            </w:r>
            <w:r>
              <w:rPr>
                <w:rStyle w:val="Strong"/>
                <w:b w:val="false"/>
                <w:bCs w:val="false"/>
                <w:color w:val="333333"/>
                <w:sz w:val="20"/>
                <w:szCs w:val="20"/>
              </w:rPr>
              <w:t xml:space="preserve"> al año 2019</w:t>
            </w:r>
          </w:p>
        </w:tc>
      </w:tr>
      <w:tr>
        <w:trPr/>
        <w:tc>
          <w:tcPr>
            <w:tcW w:w="736" w:type="dxa"/>
            <w:tcBorders/>
            <w:vAlign w:val="center"/>
          </w:tcPr>
          <w:p>
            <w:pPr>
              <w:pStyle w:val="Contenidodelatabla"/>
              <w:jc w:val="center"/>
              <w:rPr>
                <w:b w:val="false"/>
                <w:bCs w:val="false"/>
                <w:sz w:val="20"/>
                <w:szCs w:val="20"/>
              </w:rPr>
            </w:pPr>
            <w:r>
              <w:rPr>
                <w:b w:val="false"/>
                <w:bCs w:val="false"/>
                <w:color w:val="333333"/>
                <w:sz w:val="20"/>
                <w:szCs w:val="20"/>
              </w:rPr>
              <w:t>CI4</w:t>
            </w:r>
          </w:p>
        </w:tc>
        <w:tc>
          <w:tcPr>
            <w:tcW w:w="3651" w:type="dxa"/>
            <w:tcBorders/>
            <w:vAlign w:val="center"/>
          </w:tcPr>
          <w:p>
            <w:pPr>
              <w:pStyle w:val="Contenidodelatabla"/>
              <w:jc w:val="center"/>
              <w:rPr/>
            </w:pPr>
            <w:r>
              <w:rPr>
                <w:rStyle w:val="Strong"/>
                <w:b w:val="false"/>
                <w:bCs w:val="false"/>
                <w:color w:val="333333"/>
                <w:sz w:val="20"/>
                <w:szCs w:val="20"/>
              </w:rPr>
              <w:t>Publicaciones que reporten métricas cuantitativas o cualitativas sobre eficiencia energética, rendimiento, latencia o consumo de recursos.</w:t>
            </w:r>
          </w:p>
        </w:tc>
        <w:tc>
          <w:tcPr>
            <w:tcW w:w="710" w:type="dxa"/>
            <w:tcBorders/>
            <w:vAlign w:val="center"/>
          </w:tcPr>
          <w:p>
            <w:pPr>
              <w:pStyle w:val="Contenidodelatabla"/>
              <w:jc w:val="center"/>
              <w:rPr>
                <w:b w:val="false"/>
                <w:bCs w:val="false"/>
                <w:sz w:val="20"/>
                <w:szCs w:val="20"/>
              </w:rPr>
            </w:pPr>
            <w:r>
              <w:rPr>
                <w:b w:val="false"/>
                <w:bCs w:val="false"/>
                <w:color w:val="333333"/>
                <w:sz w:val="20"/>
                <w:szCs w:val="20"/>
              </w:rPr>
              <w:t>CE4</w:t>
            </w:r>
          </w:p>
        </w:tc>
        <w:tc>
          <w:tcPr>
            <w:tcW w:w="3690" w:type="dxa"/>
            <w:tcBorders/>
            <w:vAlign w:val="center"/>
          </w:tcPr>
          <w:p>
            <w:pPr>
              <w:pStyle w:val="Contenidodelatabla"/>
              <w:jc w:val="center"/>
              <w:rPr/>
            </w:pPr>
            <w:r>
              <w:rPr>
                <w:rStyle w:val="Strong"/>
                <w:b w:val="false"/>
                <w:bCs w:val="false"/>
                <w:color w:val="333333"/>
                <w:sz w:val="20"/>
                <w:szCs w:val="20"/>
              </w:rPr>
              <w:t>Artículos y/o publicaciones que no tengan resultados originales (excluir libros, notas, cartas)</w:t>
            </w:r>
          </w:p>
        </w:tc>
      </w:tr>
    </w:tbl>
    <w:p>
      <w:pPr>
        <w:pStyle w:val="Normal"/>
        <w:tabs>
          <w:tab w:val="clear" w:pos="720"/>
          <w:tab w:val="left" w:pos="426" w:leader="none"/>
        </w:tabs>
        <w:ind w:hanging="426" w:left="426"/>
        <w:rPr>
          <w:b/>
          <w:bCs/>
        </w:rPr>
      </w:pPr>
      <w:r>
        <w:rPr/>
      </w:r>
    </w:p>
    <w:p>
      <w:pPr>
        <w:pStyle w:val="Normal"/>
        <w:numPr>
          <w:ilvl w:val="0"/>
          <w:numId w:val="0"/>
        </w:numPr>
        <w:tabs>
          <w:tab w:val="clear" w:pos="720"/>
          <w:tab w:val="left" w:pos="426" w:leader="none"/>
        </w:tabs>
        <w:ind w:hanging="0" w:left="426"/>
        <w:rPr>
          <w:b/>
          <w:bCs/>
        </w:rPr>
      </w:pPr>
      <w:r>
        <w:rPr>
          <w:b/>
          <w:bCs/>
        </w:rPr>
        <w:t>D</w:t>
      </w:r>
      <w:r>
        <w:rPr>
          <w:b/>
          <w:bCs/>
        </w:rPr>
        <w:t xml:space="preserve">. </w:t>
      </w:r>
      <w:r>
        <w:rPr>
          <w:b/>
          <w:bCs/>
        </w:rPr>
        <w:t>Proceso de selección de estudios</w:t>
      </w:r>
    </w:p>
    <w:p>
      <w:pPr>
        <w:pStyle w:val="Normal"/>
        <w:tabs>
          <w:tab w:val="clear" w:pos="720"/>
          <w:tab w:val="left" w:pos="426" w:leader="none"/>
        </w:tabs>
        <w:jc w:val="center"/>
        <w:rPr/>
      </w:pPr>
      <w:r>
        <w:rPr/>
        <w:t xml:space="preserve"> </w:t>
      </w:r>
    </w:p>
    <w:p>
      <w:pPr>
        <w:pStyle w:val="Normal"/>
        <w:ind w:firstLine="720"/>
        <w:jc w:val="both"/>
        <w:rPr/>
      </w:pPr>
      <w:r>
        <w:rPr/>
        <w:t xml:space="preserve">Continuado con el proceso, se aplicó el método PRISMA para la identificación y selección de estudios, ver figura 1. Como lo señalado anteriormente, se usó tres bases de datos; donde se obtuvó 473 articulos encontrados en Scopus, 225 en Web Of Science y 578 en IEEE Xplores, sumando un total de 1276. Posteriormente se detectaron </w:t>
      </w:r>
      <w:r>
        <w:rPr>
          <w:color w:val="BF0041"/>
        </w:rPr>
        <w:t xml:space="preserve">? </w:t>
      </w:r>
      <w:r>
        <w:rPr/>
        <w:t xml:space="preserve">articulos duplicados lo cual se excluyeron, dejando </w:t>
      </w:r>
      <w:r>
        <w:rPr>
          <w:color w:val="BF0041"/>
        </w:rPr>
        <w:t xml:space="preserve">? </w:t>
      </w:r>
      <w:r>
        <w:rPr>
          <w:b w:val="false"/>
          <w:bCs w:val="false"/>
          <w:color w:val="000000"/>
        </w:rPr>
        <w:t>con</w:t>
      </w:r>
      <w:r>
        <w:rPr>
          <w:color w:val="000000"/>
        </w:rPr>
        <w:t xml:space="preserve"> el primer criterio establecido. Mediante el uso de herramientas automatizadas se lograron excluir </w:t>
      </w:r>
      <w:r>
        <w:rPr>
          <w:color w:val="BF0041"/>
        </w:rPr>
        <w:t>?</w:t>
      </w:r>
      <w:r>
        <w:rPr>
          <w:color w:val="000000"/>
        </w:rPr>
        <w:t xml:space="preserve"> articulos de Scopus quedando</w:t>
      </w:r>
      <w:r>
        <w:rPr>
          <w:color w:val="BF0041"/>
        </w:rPr>
        <w:t xml:space="preserve"> ?</w:t>
      </w:r>
      <w:r>
        <w:rPr>
          <w:color w:val="000000"/>
        </w:rPr>
        <w:t>. Luego</w:t>
      </w:r>
    </w:p>
    <w:p>
      <w:pPr>
        <w:pStyle w:val="Normal"/>
        <w:ind w:firstLine="720"/>
        <w:jc w:val="both"/>
        <w:rPr/>
      </w:pPr>
      <w:r>
        <w:rPr/>
      </w:r>
    </w:p>
    <w:p>
      <w:pPr>
        <w:pStyle w:val="Normal"/>
        <w:ind w:firstLine="720"/>
        <w:jc w:val="both"/>
        <w:rPr/>
      </w:pPr>
      <w:r>
        <w:rPr/>
        <w:t>Siguiendo el método señalado en PRISMA, se escogió por medio de una selección las publicacionesa ser estudiadas en la revisión, ver figura 1. Como resultado inicial las primeras búsquedas dieron un total de471 artículos obtenidos de la bases de datos Scopus y Scielo (414 de Scopus y 57 de Scielo).Se detectaron 3articulos duplicados en el cual han sido excluidos para la revision sistematica, dejando 468 articulos. Mediantela utilización de las herramientas de automatización se lograron excluir 131 artículos de Scopus quedando 377.A partir de la revisión de los títulos y resumenes se excluyeron 229 artículos de los cuales 199 fueron de Scopusy 30 de Scielo, quedando solo 108 estudios. Con la validación de artículos no recuperados se excluyeron 46quedando un total de 62 articulos.Con la lectura de resúmenes se excluyeron 9 estudios por no centrarse en laaplicacion la telemedicina en los hospitales, dejando asi un total de 53 articulos. Por medio de una lecturaprofunda de estos artículos se descartaron 4, 3 de los cuales fueron extraido de Scopus y 1 de Scielo por noincluir métodos de la telemedicina en la atención medica lo cual dejo 49 artículos. Por último se descartaron 4estudios por no mencionar los beneficios acerca del uso de la telemedicina. Finalmente se obtuvieron 45artículos los cuales serán añadidos en esta revisión sistemática.</w:t>
      </w:r>
    </w:p>
    <w:p>
      <w:pPr>
        <w:pStyle w:val="Normal"/>
        <w:ind w:firstLine="720"/>
        <w:jc w:val="both"/>
        <w:rPr/>
      </w:pPr>
      <w:r>
        <w:rPr/>
      </w:r>
      <w:bookmarkStart w:id="15" w:name="_Hlk78354443_Copia_1"/>
      <w:bookmarkStart w:id="16" w:name="_Hlk78354443_Copia_1"/>
      <w:bookmarkEnd w:id="16"/>
    </w:p>
    <w:p>
      <w:pPr>
        <w:pStyle w:val="Normal"/>
        <w:ind w:firstLine="720"/>
        <w:jc w:val="both"/>
        <w:rPr/>
      </w:pPr>
      <w:bookmarkStart w:id="17" w:name="_Hlk78354310_Copia_1"/>
      <w:bookmarkEnd w:id="17"/>
      <w:r>
        <w:rPr/>
        <w:t>Este diagrama es fundamental para proporcionar una visión clara y transparente del proceso de selección de estudios, asegurando que se mantengan los criterios de inclusión y exclusión de manera rigurosa y sistemática.</w:t>
      </w:r>
    </w:p>
    <w:p>
      <w:pPr>
        <w:pStyle w:val="Normal"/>
        <w:ind w:firstLine="720"/>
        <w:jc w:val="both"/>
        <w:rPr/>
      </w:pPr>
      <w:r>
        <w:rPr/>
      </w:r>
    </w:p>
    <w:p>
      <w:pPr>
        <w:pStyle w:val="Normal"/>
        <w:numPr>
          <w:ilvl w:val="0"/>
          <w:numId w:val="4"/>
        </w:numPr>
        <w:tabs>
          <w:tab w:val="clear" w:pos="720"/>
          <w:tab w:val="left" w:pos="426" w:leader="none"/>
        </w:tabs>
        <w:ind w:hanging="426" w:left="426"/>
        <w:rPr>
          <w:b/>
          <w:bCs/>
        </w:rPr>
      </w:pPr>
      <w:r>
        <w:rPr>
          <w:b/>
          <w:bCs/>
        </w:rPr>
        <w:t>RESULTS AND DISCUSSION (10 PT)</w:t>
      </w:r>
    </w:p>
    <w:p>
      <w:pPr>
        <w:pStyle w:val="Normal"/>
        <w:ind w:firstLine="720"/>
        <w:jc w:val="both"/>
        <w:rPr/>
      </w:pPr>
      <w:r>
        <w:rPr/>
        <w:t xml:space="preserve">In this section, it is explained the results of research and at the same time is given </w:t>
        <w:br/>
        <w:t xml:space="preserve">the comprehensive discussion. Results can be presented in figures, graphs, tables and others that make </w:t>
        <w:br/>
        <w:t xml:space="preserve">the reader understand easily </w:t>
      </w:r>
      <w:r>
        <w:fldChar w:fldCharType="begin"/>
      </w:r>
      <w:r>
        <w:rPr/>
        <w:instrText xml:space="preserve">ADDIN CSL_CITATION {"citationItems":[{"id":"ITEM-1","itemData":{"DOI":"10.1177/2053951718820549","ISSN":"20539517","abstract":"The collection and circulation of data is now a central element of increasingly more sectors of contemporary capitalism. This article analyses data as a form of capital that is distinct from, but has its roots in, economic capital. Data collection is driven by the perpetual cycle of capital accumulation, which in turn drives capital to construct and rely upon a universe in which everything is made of data. The imperative to capture all data, from all sources, by any means possible influences many key decisions about business models, political governance, and technological development. This article argues that many common practices of data accumulation should actually be understood in terms of data extraction, wherein data is taken with little regard for consent and compensation. By understanding data as a form capital, we can better analyse the meaning, practices, and implications of datafication as a political economic regime.","author":[{"dropping-particle":"","family":"Sadowski","given":"Jathan","non-dropping-particle":"","parse-names":false,"suffix":""}],"container-title":"Big Data and Society","id":"ITEM-1","issue":"1","issued":{"date-parts":[["2019"]]},"page":"1-12","title":"When data is capital: Datafication, accumulation, and extraction","type":"article-journal","volume":"6"},"uris":["http://www.mendeley.com/documents/?uuid=68c1212d-4bd1-42ff-b4ea-3108c9b096d6"]},{"id":"ITEM-2","itemData":{"DOI":"10.1109/ACCESS.2019.2905301","ISSN":"21693536","abstract":"Although large amounts of data are now available to companies, mere possession of these data is not sufficient, and for better business decisions, it is necessary to perform thorough data analysis. Nowadays, social networks services (SNS) have become important data sources. The rapid growth of SNS has led to their wide use in various research trends in social sciences. In this paper, we aim to enhance the current understanding of the possibilities offered by social data for brand communication analysis in the financial sector. To this end, a traditional methodology and a digital methodology are used to investigate the brand image of the financial entities. The traditional methodology is the Periodic Evaluation of the Image (PEI). The digital methodology is sentiment analysis, a machine learning technique for big data analytics in social sciences using an algorithm developed in Python. The data are analyzed using both methodologies, and then, their results are compared. The findings suggest that while the results obtained using the method based on big data are consistent with the results obtained with the traditional methodology, the former method allows for easier and faster data analysis. The limitations of this paper relate to the size of the sample, the studied sector, and the scope of the reviewed literature.","author":[{"dropping-particle":"","family":"Saura","given":"Jose Ramon","non-dropping-particle":"","parse-names":false,"suffix":""},{"dropping-particle":"","family":"Herraez","given":"Beatriz Rodriguez","non-dropping-particle":"","parse-names":false,"suffix":""},{"dropping-particle":"","family":"Reyes-Menendez","given":"Ana","non-dropping-particle":"","parse-names":false,"suffix":""}],"container-title":"IEEE Access","id":"ITEM-2","issued":{"date-parts":[["2019"]]},"page":"37100-37108","title":"Comparing a traditional approach for financial brand communication analysis with a big data analytics technique","type":"article-journal","volume":"7"},"uris":["http://www.mendeley.com/documents/?uuid=90933663-e9f5-408f-bea9-1e10797ad61d"]}],"mendeley":{"formattedCitation":"[14], [15]","plainTextFormattedCitation":"[14], [15]","previouslyFormattedCitation":"[14], [15]"},"properties":{"noteIndex":0},"schema":"https://github.com/citation-style-language/schema/raw/master/csl-citation.json"}</w:instrText>
      </w:r>
      <w:r>
        <w:rPr/>
      </w:r>
      <w:r>
        <w:rPr/>
        <w:fldChar w:fldCharType="separate"/>
      </w:r>
      <w:r>
        <w:rPr/>
        <w:t>[14], [15]</w:t>
      </w:r>
      <w:r>
        <w:rPr/>
      </w:r>
      <w:r>
        <w:rPr/>
        <w:fldChar w:fldCharType="end"/>
      </w:r>
      <w:r>
        <w:rPr/>
        <w:t xml:space="preserve">. The discussion can be made in several </w:t>
      </w:r>
      <w:bookmarkStart w:id="18" w:name="_Hlk78354443"/>
      <w:r>
        <w:rPr/>
        <w:t>sub-sections.</w:t>
      </w:r>
      <w:bookmarkEnd w:id="18"/>
    </w:p>
    <w:p>
      <w:pPr>
        <w:pStyle w:val="Normal"/>
        <w:ind w:firstLine="720"/>
        <w:jc w:val="both"/>
        <w:rPr/>
      </w:pPr>
      <w:r>
        <w:rPr/>
      </w:r>
    </w:p>
    <w:p>
      <w:pPr>
        <w:pStyle w:val="Normal"/>
        <w:rPr>
          <w:b/>
          <w:bCs/>
        </w:rPr>
      </w:pPr>
      <w:r>
        <w:rPr>
          <w:b/>
          <w:bCs/>
        </w:rPr>
        <w:t>3.1.  Sub section 1</w:t>
      </w:r>
    </w:p>
    <w:p>
      <w:pPr>
        <w:pStyle w:val="Normal"/>
        <w:ind w:firstLine="709"/>
        <w:jc w:val="both"/>
        <w:rPr>
          <w:bCs/>
        </w:rPr>
      </w:pPr>
      <w:r>
        <w:rPr/>
        <w:t>Equations</w:t>
      </w:r>
      <w:r>
        <w:rPr>
          <w:bCs/>
        </w:rPr>
        <w:t xml:space="preserve"> should be placed at the center of the line and provided consecutively with equation numbers in </w:t>
      </w:r>
      <w:r>
        <w:rPr/>
        <w:t>parentheses</w:t>
      </w:r>
      <w:r>
        <w:rPr>
          <w:bCs/>
        </w:rPr>
        <w:t xml:space="preserve"> flushed to the right margin, as in (1). The use of Microsoft Equation Editor or MathType is preferred.</w:t>
      </w:r>
      <w:bookmarkStart w:id="19" w:name="_Hlk79141485"/>
    </w:p>
    <w:p>
      <w:pPr>
        <w:pStyle w:val="Normal"/>
        <w:rPr>
          <w:bCs/>
        </w:rPr>
      </w:pPr>
      <w:r>
        <w:rPr>
          <w:bCs/>
        </w:rPr>
      </w:r>
    </w:p>
    <w:p>
      <w:pPr>
        <w:pStyle w:val="Normal"/>
        <w:tabs>
          <w:tab w:val="clear" w:pos="720"/>
          <w:tab w:val="right" w:pos="8505" w:leader="none"/>
        </w:tabs>
        <w:ind w:firstLine="709"/>
        <w:rPr>
          <w:bCs/>
        </w:rPr>
      </w:pPr>
      <w:r>
        <w:rPr/>
      </w:r>
      <m:oMath xmlns:m="http://schemas.openxmlformats.org/officeDocument/2006/math">
        <m:sSub>
          <m:e>
            <m:r>
              <w:rPr>
                <w:rFonts w:ascii="Cambria Math" w:hAnsi="Cambria Math"/>
              </w:rPr>
              <m:t xml:space="preserve">E</m:t>
            </m:r>
          </m:e>
          <m:sub>
            <m:r>
              <w:rPr>
                <w:rFonts w:ascii="Cambria Math" w:hAnsi="Cambria Math"/>
              </w:rPr>
              <m:t xml:space="preserve">v</m:t>
            </m:r>
          </m:sub>
        </m:sSub>
        <m:r>
          <w:rPr>
            <w:rFonts w:ascii="Cambria Math" w:hAnsi="Cambria Math"/>
          </w:rPr>
          <m:t xml:space="preserve">−</m:t>
        </m:r>
        <m:r>
          <w:rPr>
            <w:rFonts w:ascii="Cambria Math" w:hAnsi="Cambria Math"/>
          </w:rPr>
          <m:t xml:space="preserve">E</m:t>
        </m:r>
        <m:r>
          <w:rPr>
            <w:rFonts w:ascii="Cambria Math" w:hAnsi="Cambria Math"/>
          </w:rPr>
          <m:t xml:space="preserve">=</m:t>
        </m:r>
        <m:f>
          <m:num>
            <m:r>
              <w:rPr>
                <w:rFonts w:ascii="Cambria Math" w:hAnsi="Cambria Math"/>
              </w:rPr>
              <m:t xml:space="preserve">h</m:t>
            </m:r>
          </m:num>
          <m:den>
            <m:r>
              <w:rPr>
                <w:rFonts w:ascii="Cambria Math" w:hAnsi="Cambria Math"/>
              </w:rPr>
              <m:t xml:space="preserve">2.</m:t>
            </m:r>
            <m:r>
              <w:rPr>
                <w:rFonts w:ascii="Cambria Math" w:hAnsi="Cambria Math"/>
              </w:rPr>
              <m:t xml:space="preserve">m</m:t>
            </m:r>
          </m:den>
        </m:f>
        <m:r>
          <w:rPr>
            <w:rFonts w:ascii="Cambria Math" w:hAnsi="Cambria Math"/>
          </w:rPr>
          <m:t xml:space="preserve">(</m:t>
        </m:r>
        <m:sSubSup>
          <m:e>
            <m:r>
              <w:rPr>
                <w:rFonts w:ascii="Cambria Math" w:hAnsi="Cambria Math"/>
              </w:rPr>
              <m:t xml:space="preserve">k</m:t>
            </m:r>
          </m:e>
          <m:sub>
            <m:r>
              <w:rPr>
                <w:rFonts w:ascii="Cambria Math" w:hAnsi="Cambria Math"/>
              </w:rPr>
              <m:t xml:space="preserve">x</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k</m:t>
            </m:r>
          </m:e>
          <m:sub>
            <m:r>
              <w:rPr>
                <w:rFonts w:ascii="Cambria Math" w:hAnsi="Cambria Math"/>
              </w:rPr>
              <m:t xml:space="preserve">y</m:t>
            </m:r>
          </m:sub>
          <m:sup>
            <m:r>
              <w:rPr>
                <w:rFonts w:ascii="Cambria Math" w:hAnsi="Cambria Math"/>
              </w:rPr>
              <m:t xml:space="preserve">2</m:t>
            </m:r>
          </m:sup>
        </m:sSubSup>
      </m:oMath>
      <w:r>
        <w:rPr>
          <w:bCs/>
        </w:rPr>
        <w:t>)</w:t>
        <w:tab/>
        <w:t>(1)</w:t>
      </w:r>
    </w:p>
    <w:p>
      <w:pPr>
        <w:pStyle w:val="Normal"/>
        <w:rPr>
          <w:bCs/>
        </w:rPr>
      </w:pPr>
      <w:r>
        <w:rPr>
          <w:bCs/>
        </w:rPr>
      </w:r>
    </w:p>
    <w:p>
      <w:pPr>
        <w:pStyle w:val="Normal"/>
        <w:rPr>
          <w:bCs/>
        </w:rPr>
      </w:pPr>
      <w:bookmarkStart w:id="20" w:name="_Hlk79140867"/>
      <w:r>
        <w:rPr>
          <w:bCs/>
        </w:rPr>
        <w:t>All symbols that have been used in the equations should be defined in the following text.</w:t>
      </w:r>
      <w:bookmarkEnd w:id="19"/>
      <w:bookmarkEnd w:id="20"/>
    </w:p>
    <w:p>
      <w:pPr>
        <w:pStyle w:val="Normal"/>
        <w:rPr>
          <w:b/>
          <w:bCs/>
        </w:rPr>
      </w:pPr>
      <w:r>
        <w:rPr>
          <w:b/>
          <w:bCs/>
        </w:rPr>
      </w:r>
    </w:p>
    <w:p>
      <w:pPr>
        <w:pStyle w:val="Normal"/>
        <w:rPr>
          <w:b/>
          <w:bCs/>
        </w:rPr>
      </w:pPr>
      <w:r>
        <w:rPr>
          <w:b/>
          <w:bCs/>
        </w:rPr>
        <w:t>3.2.  Sub section 2</w:t>
      </w:r>
    </w:p>
    <w:p>
      <w:pPr>
        <w:pStyle w:val="Normal"/>
        <w:ind w:firstLine="709"/>
        <w:jc w:val="both"/>
        <w:rPr>
          <w:bCs/>
        </w:rPr>
      </w:pPr>
      <w:r>
        <w:rPr>
          <w:bCs/>
        </w:rPr>
        <w:t xml:space="preserve">Proper citation of other works should be made to avoid plagiarism. When referring to a reference item, please use the reference number as in </w:t>
      </w:r>
      <w:r>
        <w:fldChar w:fldCharType="begin"/>
      </w:r>
      <w:r>
        <w:rPr>
          <w:bCs/>
        </w:rPr>
        <w:instrText xml:space="preserve">ADDIN CSL_CITATION {"citationItems":[{"id":"ITEM-1","itemData":{"DOI":"10.1109/TITS.2019.2924883","ISSN":"15580016","abstract":"The technological landscape of intelligent transport systems (ITS) has been radically transformed by the emergence of the big data streams generated by the Internet of Things (IoT), smart sensors, surveillance feeds, social media, as well as growing infrastructure needs. It is timely and pertinent that ITS harness the potential of an artificial intelligence (AI) to develop the big data-driven smart traffic management solutions for effective decision-making. The existing AI techniques that function in isolation exhibit clear limitations in developing a comprehensive platform due to the dynamicity of big data streams, high-frequency unlabeled data generation from the heterogeneous data sources, and volatility of traffic conditions. In this paper, we propose an expansive smart traffic management platform (STMP) based on the unsupervised online incremental machine learning, deep learning, and deep reinforcement learning to address these limitations. The STMP integrates the heterogeneous big data streams, such as the IoT, smart sensors, and social media, to detect concept drifts, distinguish between the recurrent and non-recurrent traffic events, and impact propagation, traffic flow forecasting, commuter sentiment analysis, and optimized traffic control decisions. The platform is successfully demonstrated on 190 million records of smart sensor network traffic data generated by 545,851 commuters and corresponding social media data on the arterial road network of Victoria, Australia.","author":[{"dropping-particle":"","family":"Nallaperuma","given":"Dinithi","non-dropping-particle":"","parse-names":false,"suffix":""},{"dropping-particle":"","family":"Nawaratne","given":"Rashmika","non-dropping-particle":"","parse-names":false,"suffix":""},{"dropping-particle":"","family":"Bandaragoda","given":"Tharindu","non-dropping-particle":"","parse-names":false,"suffix":""},{"dropping-particle":"","family":"Adikari","given":"Achini","non-dropping-particle":"","parse-names":false,"suffix":""},{"dropping-particle":"","family":"Nguyen","given":"Su","non-dropping-particle":"","parse-names":false,"suffix":""},{"dropping-particle":"","family":"Kempitiya","given":"Thimal","non-dropping-particle":"","parse-names":false,"suffix":""},{"dropping-particle":"","family":"Silva","given":"Daswin","non-dropping-particle":"De","parse-names":false,"suffix":""},{"dropping-particle":"","family":"Alahakoon","given":"Damminda","non-dropping-particle":"","parse-names":false,"suffix":""},{"dropping-particle":"","family":"Pothuhera","given":"Dakshan","non-dropping-particle":"","parse-names":false,"suffix":""}],"container-title":"IEEE Transactions on Intelligent Transportation Systems","id":"ITEM-1","issue":"12","issued":{"date-parts":[["2019"]]},"page":"4679-4690","publisher":"IEEE","title":"Online Incremental Machine Learning Platform for Big Data-Driven Smart Traffic Management","type":"article-journal","volume":"20"},"uris":["http://www.mendeley.com/documents/?uuid=84011880-07e5-4d16-88ef-4a381d84498a"]}],"mendeley":{"formattedCitation":"[16]","plainTextFormattedCitation":"[16]","previouslyFormattedCitation":"[16]"},"properties":{"noteIndex":0},"schema":"https://github.com/citation-style-language/schema/raw/master/csl-citation.json"}</w:instrText>
      </w:r>
      <w:r>
        <w:rPr>
          <w:bCs/>
        </w:rPr>
      </w:r>
      <w:r>
        <w:rPr>
          <w:bCs/>
        </w:rPr>
        <w:fldChar w:fldCharType="separate"/>
      </w:r>
      <w:r>
        <w:rPr>
          <w:bCs/>
        </w:rPr>
        <w:t>[16]</w:t>
      </w:r>
      <w:r>
        <w:rPr>
          <w:bCs/>
        </w:rPr>
      </w:r>
      <w:r>
        <w:rPr>
          <w:bCs/>
        </w:rPr>
        <w:fldChar w:fldCharType="end"/>
      </w:r>
      <w:r>
        <w:rPr>
          <w:bCs/>
        </w:rPr>
        <w:t xml:space="preserve"> or </w:t>
      </w:r>
      <w:r>
        <w:fldChar w:fldCharType="begin"/>
      </w:r>
      <w:r>
        <w:rPr>
          <w:bCs/>
        </w:rPr>
        <w:instrText xml:space="preserve">ADDIN CSL_CITATION {"citationItems":[{"id":"ITEM-1","itemData":{"DOI":"10.1016/j.copbio.2018.08.003","ISSN":"18790429","PMID":"30153614","abstract":"Matrix-assisted laser desorption/ionization mass spectrometry imaging (MALDI MSI) has emerged as a key technology for label-free bioanalysis of the spatial distribution of biomolecules, pharmaceuticals and other xenobiotics in tissue sections. Recent advances in instrumentation, sample preparation, multimodal workflows, quantification, analytical standardization and ‘big data’ processing have led to widespread utilization of MALDI MSI in pharmaceutical research. These developments have led to applications of the technology in drug discovery beyond drug disposition analysis, most notably in pharmacodynamic biomarker research and in toxicology.","author":[{"dropping-particle":"","family":"Schulz","given":"Sandra","non-dropping-particle":"","parse-names":false,"suffix":""},{"dropping-particle":"","family":"Becker","given":"Michael","non-dropping-particle":"","parse-names":false,"suffix":""},{"dropping-particle":"","family":"Groseclose","given":"M. Reid","non-dropping-particle":"","parse-names":false,"suffix":""},{"dropping-particle":"","family":"Schadt","given":"Simone","non-dropping-particle":"","parse-names":false,"suffix":""},{"dropping-particle":"","family":"Hopf","given":"Carsten","non-dropping-particle":"","parse-names":false,"suffix":""}],"container-title":"Current Opinion in Biotechnology","id":"ITEM-1","issued":{"date-parts":[["2019"]]},"page":"51-59","publisher":"Elsevier Ltd","title":"Advanced MALDI mass spectrometry imaging in pharmaceutical research and drug development","type":"article-journal","volume":"55"},"uris":["http://www.mendeley.com/documents/?uuid=f5fe6c7e-85a6-44bf-a354-44af2e50ead0"]}],"mendeley":{"formattedCitation":"[17]","plainTextFormattedCitation":"[17]","previouslyFormattedCitation":"[17]"},"properties":{"noteIndex":0},"schema":"https://github.com/citation-style-language/schema/raw/master/csl-citation.json"}</w:instrText>
      </w:r>
      <w:r>
        <w:rPr>
          <w:bCs/>
        </w:rPr>
      </w:r>
      <w:r>
        <w:rPr>
          <w:bCs/>
        </w:rPr>
        <w:fldChar w:fldCharType="separate"/>
      </w:r>
      <w:r>
        <w:rPr>
          <w:bCs/>
        </w:rPr>
        <w:t>[17]</w:t>
      </w:r>
      <w:r>
        <w:rPr>
          <w:bCs/>
        </w:rPr>
      </w:r>
      <w:r>
        <w:rPr>
          <w:bCs/>
        </w:rPr>
        <w:fldChar w:fldCharType="end"/>
      </w:r>
      <w:r>
        <w:rPr>
          <w:bCs/>
        </w:rPr>
        <w:t xml:space="preserve"> for multiple references. The use of ”Ref </w:t>
      </w:r>
      <w:r>
        <w:fldChar w:fldCharType="begin"/>
      </w:r>
      <w:r>
        <w:rPr>
          <w:bCs/>
        </w:rPr>
        <w:instrText xml:space="preserve">ADDIN CSL_CITATION {"citationItems":[{"id":"ITEM-1","itemData":{"DOI":"10.1016/j.eng.2019.01.019","ISSN":"20958099","abstract":"Safe, efficient, and sustainable operations and control are primary objectives in industrial manufacturing processes. State-of-the-art technologies heavily rely on human intervention, thereby showing apparent limitations in practice. The burgeoning era of big data is influencing the process industries tremendously, providing unprecedented opportunities to achieve smart manufacturing. This kind of manufacturing requires machines to not only be capable of relieving humans from intensive physical work, but also be effective in taking on intellectual labor and even producing innovations on their own. To attain this goal, data analytics and machine learning are indispensable. In this paper, we review recent advances in data analytics and machine learning applied to the monitoring, control, and optimization of industrial processes, paying particular attention to the interpretability and functionality of machine learning models. By analyzing the gap between practical requirements and the current research status, promising future research directions are identified.","author":[{"dropping-particle":"","family":"Shang","given":"Chao","non-dropping-particle":"","parse-names":false,"suffix":""},{"dropping-particle":"","family":"You","given":"Fengqi","non-dropping-particle":"","parse-names":false,"suffix":""}],"container-title":"Engineering","id":"ITEM-1","issue":"6","issued":{"date-parts":[["2019"]]},"page":"1010-1016","publisher":"Chinese Academy of Engineering","title":"Data Analytics and Machine Learning for Smart Process Manufacturing: Recent Advances and Perspectives in the Big Data Era","type":"article-journal","volume":"5"},"uris":["http://www.mendeley.com/documents/?uuid=72265640-48e8-4ec5-a62b-19b132377a67"]}],"mendeley":{"formattedCitation":"[18]","plainTextFormattedCitation":"[18]","previouslyFormattedCitation":"[18]"},"properties":{"noteIndex":0},"schema":"https://github.com/citation-style-language/schema/raw/master/csl-citation.json"}</w:instrText>
      </w:r>
      <w:r>
        <w:rPr>
          <w:bCs/>
        </w:rPr>
      </w:r>
      <w:r>
        <w:rPr>
          <w:bCs/>
        </w:rPr>
        <w:fldChar w:fldCharType="separate"/>
      </w:r>
      <w:r>
        <w:rPr>
          <w:bCs/>
        </w:rPr>
        <w:t>[18]</w:t>
      </w:r>
      <w:r>
        <w:rPr>
          <w:bCs/>
        </w:rPr>
      </w:r>
      <w:r>
        <w:rPr>
          <w:bCs/>
        </w:rPr>
        <w:fldChar w:fldCharType="end"/>
      </w:r>
      <w:r>
        <w:rPr>
          <w:bCs/>
        </w:rPr>
        <w:t xml:space="preserve">...” should be employed for any reference citation at the beginning of sentence. For any reference with more than 3 or more authors, only the first author is to be written followed by </w:t>
      </w:r>
      <w:r>
        <w:rPr>
          <w:bCs/>
          <w:i/>
          <w:iCs/>
        </w:rPr>
        <w:t>et al</w:t>
      </w:r>
      <w:r>
        <w:rPr>
          <w:bCs/>
        </w:rPr>
        <w:t xml:space="preserve">. (e.g. in </w:t>
      </w:r>
      <w:r>
        <w:fldChar w:fldCharType="begin"/>
      </w:r>
      <w:r>
        <w:rPr>
          <w:bCs/>
        </w:rPr>
        <w:instrText xml:space="preserve">ADDIN CSL_CITATION {"citationItems":[{"id":"ITEM-1","itemData":{"DOI":"10.26599/BDMA.2019.9020007","ISSN":"20960654","abstract":"The explosion of digital healthcare data has led to a surge of data-driven medical research based on machine learning. In recent years, as a powerful technique for big data, deep learning has gained a central position in machine learning circles for its great advantages in feature representation and pattern recognition. This article presents a comprehensive overview of studies that employ deep learning methods to deal with clinical data. Firstly, based on the analysis of the characteristics of clinical data, various types of clinical data (e.g., medical images, clinical notes, lab results, vital signs, and demographic informatics) are discussed and details provided of some public clinical datasets. Secondly, a brief review of common deep learning models and their characteristics is conducted. Then, considering the wide range of clinical research and the diversity of data types, several deep learning applications for clinical data are illustrated: auxiliary diagnosis, prognosis, early warning, and other tasks. Although there are challenges involved in applying deep learning techniques to clinical data, it is still worthwhile to look forward to a promising future for deep learning applications in clinical big data in the direction of precision medicine.","author":[{"dropping-particle":"","family":"Yu","given":"Ying","non-dropping-particle":"","parse-names":false,"suffix":""},{"dropping-particle":"","family":"Li","given":"Min","non-dropping-particle":"","parse-names":false,"suffix":""},{"dropping-particle":"","family":"Liu","given":"Liangliang","non-dropping-particle":"","parse-names":false,"suffix":""},{"dropping-particle":"","family":"Li","given":"Yaohang","non-dropping-particle":"","parse-names":false,"suffix":""},{"dropping-particle":"","family":"Wang","given":"Jianxin","non-dropping-particle":"","parse-names":false,"suffix":""}],"container-title":"Big Data Mining and Analytics","id":"ITEM-1","issue":"4","issued":{"date-parts":[["2019"]]},"page":"288-305","title":"Clinical big data and deep learning: Applications, challenges, and future outlooks","type":"article-journal","volume":"2"},"uris":["http://www.mendeley.com/documents/?uuid=dc530d84-ac5a-4515-9d73-9b7787b32589"]}],"mendeley":{"formattedCitation":"[19]","plainTextFormattedCitation":"[19]","previouslyFormattedCitation":"[19]"},"properties":{"noteIndex":0},"schema":"https://github.com/citation-style-language/schema/raw/master/csl-citation.json"}</w:instrText>
      </w:r>
      <w:r>
        <w:rPr>
          <w:bCs/>
        </w:rPr>
      </w:r>
      <w:r>
        <w:rPr>
          <w:bCs/>
        </w:rPr>
        <w:fldChar w:fldCharType="separate"/>
      </w:r>
      <w:r>
        <w:rPr>
          <w:bCs/>
        </w:rPr>
        <w:t>[19]</w:t>
      </w:r>
      <w:r>
        <w:rPr>
          <w:bCs/>
        </w:rPr>
      </w:r>
      <w:r>
        <w:rPr>
          <w:bCs/>
        </w:rPr>
        <w:fldChar w:fldCharType="end"/>
      </w:r>
      <w:r>
        <w:rPr>
          <w:bCs/>
        </w:rPr>
        <w:t xml:space="preserve">). Examples of reference items of different categories shown in the References section. Each item in the references section should be typed using 8 pt font size </w:t>
      </w:r>
      <w:r>
        <w:fldChar w:fldCharType="begin"/>
      </w:r>
      <w:r>
        <w:rPr>
          <w:bCs/>
        </w:rPr>
        <w:instrText xml:space="preserve">ADDIN CSL_CITATION {"citationItems":[{"id":"ITEM-1","itemData":{"DOI":"10.1109/ACCESS.2019.2899402","ISSN":"21693536","abstract":"In services-oriented computing networks, packets in the process of routing to a data center must wait for a sufficient amount of data before service aggregation to reduce the network transmission load. However, packets must be uploaded to the data center as soon as possible to reduce delay. With the exponential growth in the number of IoT connected devices, the wait time for packets is longer at routers due to massive amounts of data, which causes a large queuing delay. If this queuing time can be utilized for service aggregation in a service-oriented computing network, the network performance will be substantially improved. Therefore, a queuing delay utilization scheme for on-path service aggregation (SAQD) is proposed in this paper. This scheme has the following innovations: 1) SAQD fully utilizes the queuing delay of packets for service aggregation, which can effectively reduce the transmission volume and communication overhead. Based on the proposed service aggregation algorithm, packets are divided into forwarding packets and aggregating packets, and the service aggregation of aggregating packets is completed by utilizing the transmission time of forwarding packets to ensure that the transmission volume and communication overhead are effectively reduced without additional latency. 2) SAQD can effectively alleviate the traffic pressure of the data center and balance the workload of routers. By the service aggregation and intranet cache of routers, some requests for the data center can be handled by routers, which reduces the traffic pressure of the data center, especially in the peak period. Compared with conventional schemes, the experimental results demonstrate that SAQD reduces the workload of the data center by 55.8%-66.26% and provides users with a better quality of experience by reducing the request response delay by 31.33%51.41%.","author":[{"dropping-particle":"","family":"Huang","given":"Mingfeng","non-dropping-particle":"","parse-names":false,"suffix":""},{"dropping-particle":"","family":"Liu","given":"Wei","non-dropping-particle":"","parse-names":false,"suffix":""},{"dropping-particle":"","family":"Wang","given":"Tian","non-dropping-particle":"","parse-names":false,"suffix":""},{"dropping-particle":"","family":"Song","given":"Houbing","non-dropping-particle":"","parse-names":false,"suffix":""},{"dropping-particle":"","family":"Li","given":"Xiong","non-dropping-particle":"","parse-names":false,"suffix":""},{"dropping-particle":"","family":"Liu","given":"Anfeng","non-dropping-particle":"","parse-names":false,"suffix":""}],"container-title":"IEEE Access","id":"ITEM-1","issued":{"date-parts":[["2019"]]},"page":"23816-23833","publisher":"IEEE","title":"A queuing delay utilization scheme for on-path service aggregation in services-oriented computing networks","type":"article-journal","volume":"7"},"uris":["http://www.mendeley.com/documents/?uuid=1af4668e-cf37-4e48-aaac-7170d7a8cea1"]},{"id":"ITEM-2","itemData":{"DOI":"10.3390/s19071711","ISSN":"14248220","PMID":"30974791","abstract":"Marine environment monitoring has attracted more and more attention due to the growing concern about climate change. During the past couple of decades, advanced information and communication technologies have been applied to the development of various marine environment monitoring systems. Among others, the Internet of Things (IoT) has been playing an important role in this area. This paper presents a review of the application of the Internet of Things in the field of marine environment monitoring. New technologies including advanced Big Data analytics and their applications in this area are briefly reviewed. It also discusses key research challenges and opportunities in this area, including the potential application of IoT and Big Data in marine environment protection.","author":[{"dropping-particle":"","family":"Xu","given":"Guobao","non-dropping-particle":"","parse-names":false,"suffix":""},{"dropping-particle":"","family":"Shi","given":"Yanjun","non-dropping-particle":"","parse-names":false,"suffix":""},{"dropping-particle":"","family":"Sun","given":"Xueyan","non-dropping-particle":"","parse-names":false,"suffix":""},{"dropping-particle":"","family":"Shen","given":"Weiming","non-dropping-particle":"","parse-names":false,"suffix":""}],"container-title":"Sensors (Switzerland)","id":"ITEM-2","issue":"7","issued":{"date-parts":[["2019"]]},"page":"1-21","title":"Internet of things in marine environment monitoring: A review","type":"article-journal","volume":"19"},"uris":["http://www.mendeley.com/documents/?uuid=4a9417a8-a2e7-4b45-9210-a4a912c84db7"]},{"id":"ITEM-3","itemData":{"DOI":"10.3390/s19092206","ISBN":"9665370693","ISSN":"14248220","PMID":"31086055","abstract":"Road transportation is the backbone of modern economies, albeit it annually costs 1.25 million deaths and trillions of dollars to the global economy, and damages public health and the environment. Deep learning is among the leading-edge methods used for transportation-related predictions, however, the existing works are in their infancy, and fall short in multiple respects, including the use of datasets with limited sizes and scopes, and insufficient depth of the deep learning studies. This paper provides a novel and comprehensive approach toward large-scale, faster, and real-time traffic prediction by bringing four complementary cutting-edge technologies together: Big data, deep learning, in-memory computing, and Graphics Processing Units (GPUs). We trained deep networks using over 11 years of data provided by the California Department of Transportation (Caltrans), the largest dataset that has been used in deep learning studies. Several combinations of the input attributes of the data along with various network configurations of the deep learning models were investigated for training and prediction purposes. The use of the pre-trained model for real-time prediction was explored. The paper contributes novel deep learning models, algorithms, implementation, analytics methodology, and software tool for smart cities, big data, high performance computing, and their convergence.","author":[{"dropping-particle":"","family":"Aqib","given":"Muhammad","non-dropping-particle":"","parse-names":false,"suffix":""},{"dropping-particle":"","family":"Mehmood","given":"Rashid","non-dropping-particle":"","parse-names":false,"suffix":""},{"dropping-particle":"","family":"Alzahrani","given":"Ahmed","non-dropping-particle":"","parse-names":false,"suffix":""},{"dropping-particle":"","family":"Katib","given":"Iyad","non-dropping-particle":"","parse-names":false,"suffix":""},{"dropping-particle":"","family":"Albeshri","given":"Aiiad","non-dropping-particle":"","parse-names":false,"suffix":""},{"dropping-particle":"","family":"Altowaijri","given":"Saleh M.","non-dropping-particle":"","parse-names":false,"suffix":""}],"container-title":"Sensors (Switzerland)","id":"ITEM-3","issue":"9","issued":{"date-parts":[["2019"]]},"number-of-pages":"1-34","title":"Smarter traffic prediction using big data, in-memory computing, deep learning and gpus","type":"book","volume":"19"},"uris":["http://www.mendeley.com/documents/?uuid=9c01dc08-28f9-4055-acc8-bddbf4c80c7a"]},{"id":"ITEM-4","itemData":{"abstract":"This groundbreaking, open access volume analyses and compares data practices across several fields through the analysis of specific cases of data journeys. It brings together leading scholars in the philosophy, history and social studies of science to achieve two goals: tracking the travel of data across different spaces, times and domains of research practice; and documenting how such journeys affect the use of data as evidence and the knowledge being produced. The volume captures the opportunities, challenges and concerns involved in making data move from the sites in which they are originally produced to sites where they can be integrated with other data, analysed and re-used for a variety of purposes. The in-depth study of data journeys provides the necessary ground to examine disciplinary, geographical and historical differences and similarities in data management, processing and interpretation, thus identifying the key conditions of possibility for the widespread data sharing associated with Big and Open Data. The chapters are ordered in sections that broadly correspond to different stages of the journeys of data, from their generation to the legitimisation of their use for specific purposes. Additionally, the preface to the volume provides a variety of alternative “roadmaps” aimed to serve the different interests and entry points of readers; and the introduction provides a substantive overview of what data journeys can teach about the methods and epistemology of research.","author":[{"dropping-particle":"","family":"Leonelli","given":"Sabina","non-dropping-particle":"","parse-names":false,"suffix":""},{"dropping-particle":"","family":"Tempini","given":"Niccolò","non-dropping-particle":"","parse-names":false,"suffix":""}],"id":"ITEM-4","issued":{"date-parts":[["2020"]]},"number-of-pages":"27-44","title":"Data Journeys in the Sciences","type":"book"},"uris":["http://www.mendeley.com/documents/?uuid=9f5cf8f4-5c83-4c60-96e6-53325754ac4d"]},{"id":"ITEM-5","itemData":{"author":[{"dropping-particle":"","family":"Stylos","given":"Nikolaos","non-dropping-particle":"","parse-names":false,"suffix":""},{"dropping-particle":"","family":"Zwiegelaar","given":"Jeremy","non-dropping-particle":"","parse-names":false,"suffix":""}],"id":"ITEM-5","issued":{"date-parts":[["2019"]]},"number-of-pages":"163-181","title":"Big Data as a Game Changer: How Does It Shape Business Intelligence Within a Tourism and Hospitality Industry Context?","type":"book"},"uris":["http://www.mendeley.com/documents/?uuid=6e4f0ab0-a592-4a04-a0ed-5d33ecdd2e1c"]},{"id":"ITEM-6","itemData":{"ISSN":"23318422","abstract":"Tensor completion is a problem of filling the missing or unobserved entries of partially observed tensors. Due to the multidimensional character of tensors in describing complex datasets, tensor completion algorithms and their applications have received wide attention and achievement in areas like data mining, computer vision, signal processing, and neuroscience. In this survey, we provide a modern overview of recent advances in tensor completion algorithms from the perspective of big data analytics characterized by diverse variety, large volume, and high velocity. We characterize these advances from four perspectives: general tensor completion algorithms, tensor completion with auxiliary information (variety), scalable tensor completion algorithms (volume), and dynamic tensor completion algorithms (velocity). Further, we identify several tensor completion applications on real-world data-driven problems and present some common experimental frameworks popularized in the literature. Our goal is to summarize these popular methods and introduce them to researchers and practitioners for promoting future research and applications. We conclude with a discussion of key challenges and promising research directions in this community for future exploration.","author":[{"dropping-particle":"","family":"Song","given":"Qingquan","non-dropping-particle":"","parse-names":false,"suffix":""},{"dropping-particle":"","family":"Ge","given":"Hancheng","non-dropping-particle":"","parse-names":false,"suffix":""},{"dropping-particle":"","family":"Caverlee","given":"James","non-dropping-particle":"","parse-names":false,"suffix":""},{"dropping-particle":"","family":"Hu","given":"Xia","non-dropping-particle":"","parse-names":false,"suffix":""}],"container-title":"arXiv","id":"ITEM-6","issue":"1","issued":{"date-parts":[["2017"]]},"title":"Tensor completion algorithms in big data analytics","type":"article-journal","volume":"13"},"uris":["http://www.mendeley.com/documents/?uuid=27a05a45-94b5-4818-b3eb-005b6528df75"]}],"mendeley":{"formattedCitation":"[20]–[25]","plainTextFormattedCitation":"[20]–[25]"},"properties":{"noteIndex":0},"schema":"https://github.com/citation-style-language/schema/raw/master/csl-citation.json"}</w:instrText>
      </w:r>
      <w:r>
        <w:rPr>
          <w:bCs/>
        </w:rPr>
      </w:r>
      <w:r>
        <w:rPr>
          <w:bCs/>
        </w:rPr>
        <w:fldChar w:fldCharType="separate"/>
      </w:r>
      <w:r>
        <w:rPr>
          <w:bCs/>
        </w:rPr>
        <w:t>[20]–[25]</w:t>
      </w:r>
      <w:r>
        <w:rPr>
          <w:bCs/>
        </w:rPr>
      </w:r>
      <w:r>
        <w:rPr>
          <w:bCs/>
        </w:rPr>
        <w:fldChar w:fldCharType="end"/>
      </w:r>
      <w:r>
        <w:rPr>
          <w:bCs/>
        </w:rPr>
        <w:t>.</w:t>
      </w:r>
    </w:p>
    <w:p>
      <w:pPr>
        <w:pStyle w:val="Normal"/>
        <w:ind w:firstLine="720"/>
        <w:jc w:val="both"/>
        <w:rPr>
          <w:bCs/>
        </w:rPr>
      </w:pPr>
      <w:r>
        <w:rPr>
          <w:bCs/>
        </w:rPr>
      </w:r>
    </w:p>
    <w:p>
      <w:pPr>
        <w:pStyle w:val="Normal"/>
        <w:rPr>
          <w:rStyle w:val="fontstyle21"/>
          <w:rFonts w:ascii="Times New Roman" w:hAnsi="Times New Roman"/>
        </w:rPr>
      </w:pPr>
      <w:r>
        <w:rPr>
          <w:rStyle w:val="fontstyle01"/>
        </w:rPr>
        <w:t>3.2.1. Subsub section 1</w:t>
      </w:r>
    </w:p>
    <w:p>
      <w:pPr>
        <w:pStyle w:val="Normal"/>
        <w:ind w:firstLine="720"/>
        <w:jc w:val="both"/>
        <w:rPr>
          <w:rStyle w:val="fontstyle01"/>
          <w:rFonts w:ascii="Times New Roman" w:hAnsi="Times New Roman"/>
        </w:rPr>
      </w:pPr>
      <w:r>
        <w:rPr/>
        <w:t>yy</w:t>
      </w:r>
      <w:r>
        <w:rPr>
          <w:color w:val="000000"/>
        </w:rPr>
        <w:br/>
      </w:r>
    </w:p>
    <w:p>
      <w:pPr>
        <w:pStyle w:val="Normal"/>
        <w:rPr>
          <w:rStyle w:val="fontstyle21"/>
          <w:rFonts w:ascii="Times New Roman" w:hAnsi="Times New Roman"/>
        </w:rPr>
      </w:pPr>
      <w:r>
        <w:rPr>
          <w:rStyle w:val="fontstyle01"/>
        </w:rPr>
        <w:t>3.2.2. Subsub section 2</w:t>
      </w:r>
    </w:p>
    <w:p>
      <w:pPr>
        <w:pStyle w:val="Normal"/>
        <w:ind w:firstLine="720"/>
        <w:jc w:val="both"/>
        <w:rPr>
          <w:b/>
          <w:bCs/>
        </w:rPr>
      </w:pPr>
      <w:r>
        <w:rPr/>
        <w:t>zz</w:t>
      </w:r>
    </w:p>
    <w:p>
      <w:pPr>
        <w:pStyle w:val="Normal"/>
        <w:rPr/>
      </w:pPr>
      <w:r>
        <w:rPr/>
      </w:r>
    </w:p>
    <w:p>
      <w:pPr>
        <w:pStyle w:val="Normal"/>
        <w:rPr/>
      </w:pPr>
      <w:r>
        <w:rPr/>
      </w:r>
    </w:p>
    <w:p>
      <w:pPr>
        <w:pStyle w:val="Normal"/>
        <w:numPr>
          <w:ilvl w:val="0"/>
          <w:numId w:val="4"/>
        </w:numPr>
        <w:tabs>
          <w:tab w:val="clear" w:pos="720"/>
          <w:tab w:val="left" w:pos="426" w:leader="none"/>
        </w:tabs>
        <w:ind w:hanging="426" w:left="426"/>
        <w:rPr>
          <w:b/>
          <w:bCs/>
        </w:rPr>
      </w:pPr>
      <w:r>
        <w:rPr>
          <w:b/>
          <w:bCs/>
        </w:rPr>
        <w:t>CONCLUSION (10 PT)</w:t>
      </w:r>
    </w:p>
    <w:p>
      <w:pPr>
        <w:pStyle w:val="Normal"/>
        <w:ind w:firstLine="709"/>
        <w:jc w:val="both"/>
        <w:rPr/>
      </w:pPr>
      <w:r>
        <w:rPr/>
        <w:t>Provide a statement that what is expected, as stated in the "INTRODUCTION" section can ultimately result in "RESULTS AND DISCUSSION" section, so there is compatibility. Moreover, the prospects for the development of research results and the application of further studies can also be added to the next (based on the results and discussion).</w:t>
      </w:r>
    </w:p>
    <w:p>
      <w:pPr>
        <w:pStyle w:val="Normal"/>
        <w:jc w:val="both"/>
        <w:rPr>
          <w:b/>
          <w:bCs/>
        </w:rPr>
      </w:pPr>
      <w:r>
        <w:rPr>
          <w:b/>
          <w:bCs/>
        </w:rPr>
        <w:t xml:space="preserve">ACKNOWLEDGMENTS </w:t>
      </w:r>
      <w:r>
        <w:rPr>
          <w:b/>
          <w:bCs/>
          <w:i/>
          <w:iCs/>
        </w:rPr>
        <w:t xml:space="preserve">(if applicable) </w:t>
      </w:r>
      <w:r>
        <w:rPr>
          <w:b/>
          <w:bCs/>
        </w:rPr>
        <w:t>(10 PT)</w:t>
      </w:r>
    </w:p>
    <w:p>
      <w:pPr>
        <w:pStyle w:val="Normal"/>
        <w:tabs>
          <w:tab w:val="clear" w:pos="720"/>
          <w:tab w:val="left" w:pos="284" w:leader="none"/>
          <w:tab w:val="left" w:pos="426" w:leader="none"/>
        </w:tabs>
        <w:ind w:firstLine="709"/>
        <w:jc w:val="both"/>
        <w:rPr/>
      </w:pPr>
      <w:r>
        <w:rPr/>
        <w:t>This section should acknowledge individuals who provided personal assistance to the work but do not meet the criteria for authorship, detailing their contributions. It is imperative to obtain consent from all individuals listed in the acknowledgments.</w:t>
      </w:r>
    </w:p>
    <w:p>
      <w:pPr>
        <w:pStyle w:val="Normal"/>
        <w:jc w:val="both"/>
        <w:rPr>
          <w:b/>
          <w:bCs/>
        </w:rPr>
      </w:pPr>
      <w:r>
        <w:rPr>
          <w:b/>
          <w:bCs/>
        </w:rPr>
      </w:r>
    </w:p>
    <w:p>
      <w:pPr>
        <w:pStyle w:val="Normal"/>
        <w:jc w:val="both"/>
        <w:rPr>
          <w:b/>
          <w:bCs/>
        </w:rPr>
      </w:pPr>
      <w:r>
        <w:rPr>
          <w:b/>
          <w:bCs/>
        </w:rPr>
      </w:r>
    </w:p>
    <w:p>
      <w:pPr>
        <w:pStyle w:val="Normal"/>
        <w:jc w:val="both"/>
        <w:rPr>
          <w:b/>
          <w:bCs/>
        </w:rPr>
      </w:pPr>
      <w:r>
        <w:rPr>
          <w:b/>
          <w:bCs/>
        </w:rPr>
        <w:t xml:space="preserve">FUNDING INFORMATION </w:t>
      </w:r>
      <w:r>
        <w:rPr>
          <w:b/>
          <w:bCs/>
          <w:i/>
          <w:iCs/>
        </w:rPr>
        <w:t>(mandatory)</w:t>
      </w:r>
      <w:r>
        <w:rPr>
          <w:b/>
          <w:bCs/>
        </w:rPr>
        <w:t xml:space="preserve"> (10 PT)</w:t>
      </w:r>
    </w:p>
    <w:p>
      <w:pPr>
        <w:pStyle w:val="Normal"/>
        <w:tabs>
          <w:tab w:val="clear" w:pos="720"/>
          <w:tab w:val="left" w:pos="284" w:leader="none"/>
          <w:tab w:val="left" w:pos="426" w:leader="none"/>
        </w:tabs>
        <w:ind w:firstLine="709"/>
        <w:jc w:val="both"/>
        <w:rPr/>
      </w:pPr>
      <w:r>
        <w:rPr/>
        <w:t>This section should describe sources of funding agency that have supported the work. Authors should state how the research described in their article was funded, including grant numbers if applicable. Include the following (or similar) statement if there is no funding involved: Authors state no funding involved.</w:t>
      </w:r>
    </w:p>
    <w:p>
      <w:pPr>
        <w:pStyle w:val="Normal"/>
        <w:tabs>
          <w:tab w:val="clear" w:pos="720"/>
          <w:tab w:val="left" w:pos="284" w:leader="none"/>
          <w:tab w:val="left" w:pos="426" w:leader="none"/>
        </w:tabs>
        <w:ind w:firstLine="709"/>
        <w:jc w:val="both"/>
        <w:rPr/>
      </w:pPr>
      <w:r>
        <w:rPr/>
      </w:r>
    </w:p>
    <w:p>
      <w:pPr>
        <w:pStyle w:val="Normal"/>
        <w:tabs>
          <w:tab w:val="clear" w:pos="720"/>
          <w:tab w:val="left" w:pos="284" w:leader="none"/>
          <w:tab w:val="left" w:pos="426" w:leader="none"/>
        </w:tabs>
        <w:ind w:firstLine="709"/>
        <w:jc w:val="both"/>
        <w:rPr/>
      </w:pPr>
      <w:r>
        <w:rPr/>
      </w:r>
    </w:p>
    <w:p>
      <w:pPr>
        <w:pStyle w:val="Normal"/>
        <w:jc w:val="both"/>
        <w:rPr>
          <w:b/>
          <w:bCs/>
        </w:rPr>
      </w:pPr>
      <w:r>
        <w:rPr>
          <w:b/>
          <w:bCs/>
        </w:rPr>
        <w:t xml:space="preserve">AUTHOR CONTRIBUTIONS STATEMENT </w:t>
      </w:r>
      <w:r>
        <w:rPr>
          <w:b/>
          <w:bCs/>
          <w:i/>
          <w:iCs/>
        </w:rPr>
        <w:t>(mandatory)</w:t>
      </w:r>
      <w:r>
        <w:rPr>
          <w:b/>
          <w:bCs/>
        </w:rPr>
        <w:t xml:space="preserve"> (10 PT)</w:t>
      </w:r>
    </w:p>
    <w:p>
      <w:pPr>
        <w:pStyle w:val="Normal"/>
        <w:tabs>
          <w:tab w:val="clear" w:pos="720"/>
          <w:tab w:val="left" w:pos="284" w:leader="none"/>
          <w:tab w:val="left" w:pos="426" w:leader="none"/>
        </w:tabs>
        <w:ind w:firstLine="709"/>
        <w:jc w:val="both"/>
        <w:rPr/>
      </w:pPr>
      <w:r>
        <w:rPr/>
        <w:t>This journal uses the Contributor Roles Taxonomy (CRediT) to recognize individual author contributions, reduce authorship disputes, and facilitate collaboration.</w:t>
      </w:r>
      <w:r>
        <w:rPr>
          <w:b/>
        </w:rPr>
        <w:t xml:space="preserve"> The recommended number of authors is at least two, with one of them designated as the corresponding author.</w:t>
      </w:r>
      <w:r>
        <w:rPr/>
        <w:t xml:space="preserve"> The corresponding author will be responsible for all correspondence related to the paper and must ensure that the other authors are included in the communication regarding submission, revision, and publication processes.  We encourage authors to include a statement in the paper that shares and accurately describes each author's contribution. </w:t>
      </w:r>
      <w:r>
        <w:rPr>
          <w:b/>
          <w:bCs/>
        </w:rPr>
        <w:t>To be eligible for authorship, each individual must have contributed to at least one of the following: conceptualization, methodology, formal analysis, or investigation, as well as at least one aspect of writing (either original draft preparation or writing reviews and editing).</w:t>
      </w:r>
    </w:p>
    <w:p>
      <w:pPr>
        <w:pStyle w:val="Normal"/>
        <w:tabs>
          <w:tab w:val="clear" w:pos="720"/>
          <w:tab w:val="left" w:pos="284" w:leader="none"/>
          <w:tab w:val="left" w:pos="426" w:leader="none"/>
        </w:tabs>
        <w:jc w:val="both"/>
        <w:rPr/>
      </w:pPr>
      <w:r>
        <w:rPr/>
      </w:r>
    </w:p>
    <w:tbl>
      <w:tblPr>
        <w:tblStyle w:val="TableGrid"/>
        <w:tblW w:w="877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05"/>
        <w:gridCol w:w="473"/>
        <w:gridCol w:w="474"/>
        <w:gridCol w:w="482"/>
        <w:gridCol w:w="488"/>
        <w:gridCol w:w="486"/>
        <w:gridCol w:w="470"/>
        <w:gridCol w:w="468"/>
        <w:gridCol w:w="472"/>
        <w:gridCol w:w="468"/>
        <w:gridCol w:w="472"/>
        <w:gridCol w:w="477"/>
        <w:gridCol w:w="486"/>
        <w:gridCol w:w="468"/>
        <w:gridCol w:w="489"/>
      </w:tblGrid>
      <w:tr>
        <w:trPr/>
        <w:tc>
          <w:tcPr>
            <w:tcW w:w="2105" w:type="dxa"/>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Name of Author</w:t>
            </w:r>
          </w:p>
        </w:tc>
        <w:tc>
          <w:tcPr>
            <w:tcW w:w="473" w:type="dxa"/>
            <w:tcBorders/>
            <w:shd w:color="auto" w:fill="DAEEF3" w:themeFill="accent5" w:themeFillTint="33" w:val="clear"/>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C</w:t>
            </w:r>
          </w:p>
        </w:tc>
        <w:tc>
          <w:tcPr>
            <w:tcW w:w="474" w:type="dxa"/>
            <w:tcBorders/>
            <w:shd w:color="auto" w:fill="DAEEF3" w:themeFill="accent5" w:themeFillTint="33" w:val="clear"/>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M</w:t>
            </w:r>
          </w:p>
        </w:tc>
        <w:tc>
          <w:tcPr>
            <w:tcW w:w="482" w:type="dxa"/>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So</w:t>
            </w:r>
          </w:p>
        </w:tc>
        <w:tc>
          <w:tcPr>
            <w:tcW w:w="488" w:type="dxa"/>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Va</w:t>
            </w:r>
          </w:p>
        </w:tc>
        <w:tc>
          <w:tcPr>
            <w:tcW w:w="486" w:type="dxa"/>
            <w:tcBorders/>
            <w:shd w:color="auto" w:fill="DAEEF3" w:themeFill="accent5" w:themeFillTint="33" w:val="clear"/>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Fo</w:t>
            </w:r>
          </w:p>
        </w:tc>
        <w:tc>
          <w:tcPr>
            <w:tcW w:w="470" w:type="dxa"/>
            <w:tcBorders/>
            <w:shd w:color="auto" w:fill="DAEEF3" w:themeFill="accent5" w:themeFillTint="33" w:val="clear"/>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I</w:t>
            </w:r>
          </w:p>
        </w:tc>
        <w:tc>
          <w:tcPr>
            <w:tcW w:w="468" w:type="dxa"/>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R</w:t>
            </w:r>
          </w:p>
        </w:tc>
        <w:tc>
          <w:tcPr>
            <w:tcW w:w="472" w:type="dxa"/>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D</w:t>
            </w:r>
          </w:p>
        </w:tc>
        <w:tc>
          <w:tcPr>
            <w:tcW w:w="468" w:type="dxa"/>
            <w:tcBorders/>
            <w:shd w:color="auto" w:fill="FDE9D9" w:themeFill="accent6" w:themeFillTint="33" w:val="clear"/>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O</w:t>
            </w:r>
          </w:p>
        </w:tc>
        <w:tc>
          <w:tcPr>
            <w:tcW w:w="472" w:type="dxa"/>
            <w:tcBorders/>
            <w:shd w:color="auto" w:fill="FDE9D9" w:themeFill="accent6" w:themeFillTint="33" w:val="clear"/>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E</w:t>
            </w:r>
          </w:p>
        </w:tc>
        <w:tc>
          <w:tcPr>
            <w:tcW w:w="477" w:type="dxa"/>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Vi</w:t>
            </w:r>
          </w:p>
        </w:tc>
        <w:tc>
          <w:tcPr>
            <w:tcW w:w="486" w:type="dxa"/>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Su</w:t>
            </w:r>
          </w:p>
        </w:tc>
        <w:tc>
          <w:tcPr>
            <w:tcW w:w="468" w:type="dxa"/>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P</w:t>
            </w:r>
          </w:p>
        </w:tc>
        <w:tc>
          <w:tcPr>
            <w:tcW w:w="489" w:type="dxa"/>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Fu</w:t>
            </w:r>
          </w:p>
        </w:tc>
      </w:tr>
      <w:tr>
        <w:trPr/>
        <w:tc>
          <w:tcPr>
            <w:tcW w:w="2105"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Author 1 name</w:t>
            </w:r>
          </w:p>
        </w:tc>
        <w:tc>
          <w:tcPr>
            <w:tcW w:w="473"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4"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2"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8"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6"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0"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8"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2"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8" w:type="dxa"/>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2" w:type="dxa"/>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7"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6"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8"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9"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r>
      <w:tr>
        <w:trPr/>
        <w:tc>
          <w:tcPr>
            <w:tcW w:w="2105"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Author 2 name</w:t>
            </w:r>
          </w:p>
        </w:tc>
        <w:tc>
          <w:tcPr>
            <w:tcW w:w="473"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4"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2"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8"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6"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0"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8"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2"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8" w:type="dxa"/>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2" w:type="dxa"/>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7"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6"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8"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9"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r>
      <w:tr>
        <w:trPr/>
        <w:tc>
          <w:tcPr>
            <w:tcW w:w="2105"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Author 3 name</w:t>
            </w:r>
          </w:p>
        </w:tc>
        <w:tc>
          <w:tcPr>
            <w:tcW w:w="473"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4"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2"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8"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6"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0"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8"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2"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8" w:type="dxa"/>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2" w:type="dxa"/>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7"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6"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8"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9"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r>
      <w:tr>
        <w:trPr/>
        <w:tc>
          <w:tcPr>
            <w:tcW w:w="2105"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w:t>
            </w:r>
            <w:r>
              <w:rPr>
                <w:rFonts w:eastAsia="Times New Roman" w:cs="Times New Roman"/>
                <w:kern w:val="0"/>
                <w:sz w:val="20"/>
                <w:szCs w:val="20"/>
                <w:lang w:val="en-US" w:eastAsia="en-US" w:bidi="ar-SA"/>
              </w:rPr>
              <w:t>..</w:t>
            </w:r>
          </w:p>
        </w:tc>
        <w:tc>
          <w:tcPr>
            <w:tcW w:w="473"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4"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2"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8"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6"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0"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8"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2"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8" w:type="dxa"/>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2" w:type="dxa"/>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7"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6"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8"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9"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r>
      <w:tr>
        <w:trPr/>
        <w:tc>
          <w:tcPr>
            <w:tcW w:w="2105"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Author x name</w:t>
            </w:r>
          </w:p>
        </w:tc>
        <w:tc>
          <w:tcPr>
            <w:tcW w:w="473"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4"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2"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8"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6"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0"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8"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2"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8" w:type="dxa"/>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2" w:type="dxa"/>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7"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6"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8"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9"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r>
    </w:tbl>
    <w:p>
      <w:pPr>
        <w:pStyle w:val="Normal"/>
        <w:tabs>
          <w:tab w:val="clear" w:pos="720"/>
          <w:tab w:val="left" w:pos="284" w:leader="none"/>
          <w:tab w:val="left" w:pos="426" w:leader="none"/>
        </w:tabs>
        <w:jc w:val="both"/>
        <w:rPr/>
      </w:pPr>
      <w:r>
        <w:rPr/>
      </w:r>
    </w:p>
    <w:tbl>
      <w:tblPr>
        <w:tblStyle w:val="TableGrid"/>
        <w:tblW w:w="87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62"/>
        <w:gridCol w:w="3258"/>
        <w:gridCol w:w="2648"/>
      </w:tblGrid>
      <w:tr>
        <w:trPr/>
        <w:tc>
          <w:tcPr>
            <w:tcW w:w="2862" w:type="dxa"/>
            <w:tcBorders>
              <w:top w:val="nil"/>
              <w:left w:val="nil"/>
              <w:bottom w:val="nil"/>
              <w:right w:val="nil"/>
            </w:tcBorders>
          </w:tcPr>
          <w:p>
            <w:pPr>
              <w:pStyle w:val="Normal"/>
              <w:widowControl/>
              <w:tabs>
                <w:tab w:val="clear" w:pos="720"/>
                <w:tab w:val="left" w:pos="284" w:leader="none"/>
                <w:tab w:val="left" w:pos="426" w:leader="none"/>
              </w:tabs>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C</w:t>
              <w:tab/>
              <w:t xml:space="preserve">: </w:t>
              <w:tab/>
            </w:r>
            <w:r>
              <w:rPr>
                <w:rFonts w:eastAsia="Times New Roman" w:cs="Times New Roman"/>
                <w:b/>
                <w:bCs/>
                <w:kern w:val="0"/>
                <w:sz w:val="20"/>
                <w:szCs w:val="20"/>
                <w:lang w:val="en-US" w:eastAsia="en-US" w:bidi="ar-SA"/>
              </w:rPr>
              <w:t>C</w:t>
            </w:r>
            <w:r>
              <w:rPr>
                <w:rFonts w:eastAsia="Times New Roman" w:cs="Times New Roman"/>
                <w:kern w:val="0"/>
                <w:sz w:val="16"/>
                <w:szCs w:val="16"/>
                <w:lang w:val="en-US" w:eastAsia="en-US" w:bidi="ar-SA"/>
              </w:rPr>
              <w:t>onceptualization</w:t>
            </w:r>
          </w:p>
          <w:p>
            <w:pPr>
              <w:pStyle w:val="Normal"/>
              <w:widowControl/>
              <w:tabs>
                <w:tab w:val="clear" w:pos="720"/>
                <w:tab w:val="left" w:pos="284" w:leader="none"/>
                <w:tab w:val="left" w:pos="426" w:leader="none"/>
              </w:tabs>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w:t>
              <w:tab/>
              <w:t xml:space="preserve">: </w:t>
              <w:tab/>
            </w:r>
            <w:r>
              <w:rPr>
                <w:rFonts w:eastAsia="Times New Roman" w:cs="Times New Roman"/>
                <w:b/>
                <w:bCs/>
                <w:kern w:val="0"/>
                <w:sz w:val="20"/>
                <w:szCs w:val="20"/>
                <w:lang w:val="en-US" w:eastAsia="en-US" w:bidi="ar-SA"/>
              </w:rPr>
              <w:t>M</w:t>
            </w:r>
            <w:r>
              <w:rPr>
                <w:rFonts w:eastAsia="Times New Roman" w:cs="Times New Roman"/>
                <w:kern w:val="0"/>
                <w:sz w:val="16"/>
                <w:szCs w:val="16"/>
                <w:lang w:val="en-US" w:eastAsia="en-US" w:bidi="ar-SA"/>
              </w:rPr>
              <w:t>ethodology</w:t>
            </w:r>
          </w:p>
          <w:p>
            <w:pPr>
              <w:pStyle w:val="Normal"/>
              <w:widowControl/>
              <w:tabs>
                <w:tab w:val="clear" w:pos="720"/>
                <w:tab w:val="left" w:pos="284" w:leader="none"/>
                <w:tab w:val="left" w:pos="426" w:leader="none"/>
              </w:tabs>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So</w:t>
              <w:tab/>
              <w:t xml:space="preserve">: </w:t>
              <w:tab/>
            </w:r>
            <w:r>
              <w:rPr>
                <w:rFonts w:eastAsia="Times New Roman" w:cs="Times New Roman"/>
                <w:b/>
                <w:bCs/>
                <w:kern w:val="0"/>
                <w:sz w:val="20"/>
                <w:szCs w:val="20"/>
                <w:lang w:val="en-US" w:eastAsia="en-US" w:bidi="ar-SA"/>
              </w:rPr>
              <w:t>So</w:t>
            </w:r>
            <w:r>
              <w:rPr>
                <w:rFonts w:eastAsia="Times New Roman" w:cs="Times New Roman"/>
                <w:kern w:val="0"/>
                <w:sz w:val="16"/>
                <w:szCs w:val="16"/>
                <w:lang w:val="en-US" w:eastAsia="en-US" w:bidi="ar-SA"/>
              </w:rPr>
              <w:t>ftware</w:t>
            </w:r>
          </w:p>
          <w:p>
            <w:pPr>
              <w:pStyle w:val="Normal"/>
              <w:widowControl/>
              <w:tabs>
                <w:tab w:val="clear" w:pos="720"/>
                <w:tab w:val="left" w:pos="284" w:leader="none"/>
                <w:tab w:val="left" w:pos="426" w:leader="none"/>
              </w:tabs>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Va</w:t>
              <w:tab/>
              <w:t xml:space="preserve">: </w:t>
              <w:tab/>
            </w:r>
            <w:r>
              <w:rPr>
                <w:rFonts w:eastAsia="Times New Roman" w:cs="Times New Roman"/>
                <w:b/>
                <w:bCs/>
                <w:kern w:val="0"/>
                <w:sz w:val="20"/>
                <w:szCs w:val="20"/>
                <w:lang w:val="en-US" w:eastAsia="en-US" w:bidi="ar-SA"/>
              </w:rPr>
              <w:t>Va</w:t>
            </w:r>
            <w:r>
              <w:rPr>
                <w:rFonts w:eastAsia="Times New Roman" w:cs="Times New Roman"/>
                <w:kern w:val="0"/>
                <w:sz w:val="16"/>
                <w:szCs w:val="16"/>
                <w:lang w:val="en-US" w:eastAsia="en-US" w:bidi="ar-SA"/>
              </w:rPr>
              <w:t>lidation</w:t>
            </w:r>
          </w:p>
          <w:p>
            <w:pPr>
              <w:pStyle w:val="Normal"/>
              <w:widowControl/>
              <w:tabs>
                <w:tab w:val="clear" w:pos="720"/>
                <w:tab w:val="left" w:pos="284" w:leader="none"/>
                <w:tab w:val="left" w:pos="426" w:leader="none"/>
              </w:tabs>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Fo</w:t>
              <w:tab/>
              <w:t xml:space="preserve">: </w:t>
              <w:tab/>
            </w:r>
            <w:r>
              <w:rPr>
                <w:rFonts w:eastAsia="Times New Roman" w:cs="Times New Roman"/>
                <w:b/>
                <w:bCs/>
                <w:kern w:val="0"/>
                <w:sz w:val="20"/>
                <w:szCs w:val="20"/>
                <w:lang w:val="en-US" w:eastAsia="en-US" w:bidi="ar-SA"/>
              </w:rPr>
              <w:t>Fo</w:t>
            </w:r>
            <w:r>
              <w:rPr>
                <w:rFonts w:eastAsia="Times New Roman" w:cs="Times New Roman"/>
                <w:kern w:val="0"/>
                <w:sz w:val="16"/>
                <w:szCs w:val="16"/>
                <w:lang w:val="en-US" w:eastAsia="en-US" w:bidi="ar-SA"/>
              </w:rPr>
              <w:t>rmal analysis</w:t>
            </w:r>
          </w:p>
        </w:tc>
        <w:tc>
          <w:tcPr>
            <w:tcW w:w="3258" w:type="dxa"/>
            <w:tcBorders>
              <w:top w:val="nil"/>
              <w:left w:val="nil"/>
              <w:bottom w:val="nil"/>
              <w:right w:val="nil"/>
            </w:tcBorders>
          </w:tcPr>
          <w:p>
            <w:pPr>
              <w:pStyle w:val="Normal"/>
              <w:widowControl/>
              <w:tabs>
                <w:tab w:val="clear" w:pos="720"/>
                <w:tab w:val="left" w:pos="284" w:leader="none"/>
                <w:tab w:val="left" w:pos="426" w:leader="none"/>
              </w:tabs>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I</w:t>
              <w:tab/>
              <w:t xml:space="preserve">: </w:t>
              <w:tab/>
            </w:r>
            <w:r>
              <w:rPr>
                <w:rFonts w:eastAsia="Times New Roman" w:cs="Times New Roman"/>
                <w:b/>
                <w:bCs/>
                <w:kern w:val="0"/>
                <w:sz w:val="20"/>
                <w:szCs w:val="20"/>
                <w:lang w:val="en-US" w:eastAsia="en-US" w:bidi="ar-SA"/>
              </w:rPr>
              <w:t>I</w:t>
            </w:r>
            <w:r>
              <w:rPr>
                <w:rFonts w:eastAsia="Times New Roman" w:cs="Times New Roman"/>
                <w:kern w:val="0"/>
                <w:sz w:val="16"/>
                <w:szCs w:val="16"/>
                <w:lang w:val="en-US" w:eastAsia="en-US" w:bidi="ar-SA"/>
              </w:rPr>
              <w:t>nvestigation</w:t>
            </w:r>
          </w:p>
          <w:p>
            <w:pPr>
              <w:pStyle w:val="Normal"/>
              <w:widowControl/>
              <w:tabs>
                <w:tab w:val="clear" w:pos="720"/>
                <w:tab w:val="left" w:pos="284" w:leader="none"/>
                <w:tab w:val="left" w:pos="426" w:leader="none"/>
              </w:tabs>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w:t>
              <w:tab/>
              <w:t xml:space="preserve">: </w:t>
              <w:tab/>
            </w:r>
            <w:r>
              <w:rPr>
                <w:rFonts w:eastAsia="Times New Roman" w:cs="Times New Roman"/>
                <w:b/>
                <w:bCs/>
                <w:kern w:val="0"/>
                <w:sz w:val="20"/>
                <w:szCs w:val="20"/>
                <w:lang w:val="en-US" w:eastAsia="en-US" w:bidi="ar-SA"/>
              </w:rPr>
              <w:t>R</w:t>
            </w:r>
            <w:r>
              <w:rPr>
                <w:rFonts w:eastAsia="Times New Roman" w:cs="Times New Roman"/>
                <w:kern w:val="0"/>
                <w:sz w:val="16"/>
                <w:szCs w:val="16"/>
                <w:lang w:val="en-US" w:eastAsia="en-US" w:bidi="ar-SA"/>
              </w:rPr>
              <w:t>esources</w:t>
            </w:r>
          </w:p>
          <w:p>
            <w:pPr>
              <w:pStyle w:val="Normal"/>
              <w:widowControl/>
              <w:tabs>
                <w:tab w:val="clear" w:pos="720"/>
                <w:tab w:val="left" w:pos="284" w:leader="none"/>
                <w:tab w:val="left" w:pos="426" w:leader="none"/>
              </w:tabs>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D</w:t>
              <w:tab/>
              <w:t>:</w:t>
              <w:tab/>
            </w:r>
            <w:r>
              <w:rPr>
                <w:rFonts w:eastAsia="Times New Roman" w:cs="Times New Roman"/>
                <w:b/>
                <w:bCs/>
                <w:kern w:val="0"/>
                <w:sz w:val="20"/>
                <w:szCs w:val="20"/>
                <w:lang w:val="en-US" w:eastAsia="en-US" w:bidi="ar-SA"/>
              </w:rPr>
              <w:t>D</w:t>
            </w:r>
            <w:r>
              <w:rPr>
                <w:rFonts w:eastAsia="Times New Roman" w:cs="Times New Roman"/>
                <w:kern w:val="0"/>
                <w:sz w:val="16"/>
                <w:szCs w:val="16"/>
                <w:lang w:val="en-US" w:eastAsia="en-US" w:bidi="ar-SA"/>
              </w:rPr>
              <w:t>ata Curation</w:t>
            </w:r>
          </w:p>
          <w:p>
            <w:pPr>
              <w:pStyle w:val="Normal"/>
              <w:widowControl/>
              <w:tabs>
                <w:tab w:val="clear" w:pos="720"/>
                <w:tab w:val="left" w:pos="284" w:leader="none"/>
                <w:tab w:val="left" w:pos="426" w:leader="none"/>
              </w:tabs>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w:t>
              <w:tab/>
              <w:t>:</w:t>
              <w:tab/>
            </w:r>
            <w:r>
              <w:rPr>
                <w:rFonts w:eastAsia="Times New Roman" w:cs="Times New Roman"/>
                <w:kern w:val="0"/>
                <w:sz w:val="16"/>
                <w:szCs w:val="16"/>
                <w:lang w:val="en-US" w:eastAsia="en-US" w:bidi="ar-SA"/>
              </w:rPr>
              <w:t>Writing -</w:t>
            </w:r>
            <w:r>
              <w:rPr>
                <w:rFonts w:eastAsia="Times New Roman" w:cs="Times New Roman"/>
                <w:kern w:val="0"/>
                <w:sz w:val="20"/>
                <w:szCs w:val="20"/>
                <w:lang w:val="en-US" w:eastAsia="en-US" w:bidi="ar-SA"/>
              </w:rPr>
              <w:t xml:space="preserve"> </w:t>
            </w:r>
            <w:r>
              <w:rPr>
                <w:rFonts w:eastAsia="Times New Roman" w:cs="Times New Roman"/>
                <w:b/>
                <w:bCs/>
                <w:kern w:val="0"/>
                <w:sz w:val="20"/>
                <w:szCs w:val="20"/>
                <w:lang w:val="en-US" w:eastAsia="en-US" w:bidi="ar-SA"/>
              </w:rPr>
              <w:t>O</w:t>
            </w:r>
            <w:r>
              <w:rPr>
                <w:rFonts w:eastAsia="Times New Roman" w:cs="Times New Roman"/>
                <w:kern w:val="0"/>
                <w:sz w:val="16"/>
                <w:szCs w:val="16"/>
                <w:lang w:val="en-US" w:eastAsia="en-US" w:bidi="ar-SA"/>
              </w:rPr>
              <w:t>riginal Draft</w:t>
            </w:r>
          </w:p>
          <w:p>
            <w:pPr>
              <w:pStyle w:val="Normal"/>
              <w:widowControl/>
              <w:tabs>
                <w:tab w:val="clear" w:pos="720"/>
                <w:tab w:val="left" w:pos="284" w:leader="none"/>
                <w:tab w:val="left" w:pos="426" w:leader="none"/>
              </w:tabs>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E</w:t>
              <w:tab/>
              <w:t>:</w:t>
              <w:tab/>
            </w:r>
            <w:r>
              <w:rPr>
                <w:rFonts w:eastAsia="Times New Roman" w:cs="Times New Roman"/>
                <w:kern w:val="0"/>
                <w:sz w:val="16"/>
                <w:szCs w:val="16"/>
                <w:lang w:val="en-US" w:eastAsia="en-US" w:bidi="ar-SA"/>
              </w:rPr>
              <w:t>Writing - Review &amp;</w:t>
            </w:r>
            <w:r>
              <w:rPr>
                <w:rFonts w:eastAsia="Times New Roman" w:cs="Times New Roman"/>
                <w:kern w:val="0"/>
                <w:sz w:val="20"/>
                <w:szCs w:val="20"/>
                <w:lang w:val="en-US" w:eastAsia="en-US" w:bidi="ar-SA"/>
              </w:rPr>
              <w:t xml:space="preserve"> </w:t>
            </w:r>
            <w:r>
              <w:rPr>
                <w:rFonts w:eastAsia="Times New Roman" w:cs="Times New Roman"/>
                <w:b/>
                <w:bCs/>
                <w:kern w:val="0"/>
                <w:sz w:val="20"/>
                <w:szCs w:val="20"/>
                <w:lang w:val="en-US" w:eastAsia="en-US" w:bidi="ar-SA"/>
              </w:rPr>
              <w:t>E</w:t>
            </w:r>
            <w:r>
              <w:rPr>
                <w:rFonts w:eastAsia="Times New Roman" w:cs="Times New Roman"/>
                <w:kern w:val="0"/>
                <w:sz w:val="16"/>
                <w:szCs w:val="16"/>
                <w:lang w:val="en-US" w:eastAsia="en-US" w:bidi="ar-SA"/>
              </w:rPr>
              <w:t>diting</w:t>
            </w:r>
          </w:p>
        </w:tc>
        <w:tc>
          <w:tcPr>
            <w:tcW w:w="2648" w:type="dxa"/>
            <w:tcBorders>
              <w:top w:val="nil"/>
              <w:left w:val="nil"/>
              <w:bottom w:val="nil"/>
              <w:right w:val="nil"/>
            </w:tcBorders>
          </w:tcPr>
          <w:p>
            <w:pPr>
              <w:pStyle w:val="Normal"/>
              <w:widowControl/>
              <w:tabs>
                <w:tab w:val="clear" w:pos="720"/>
                <w:tab w:val="left" w:pos="284" w:leader="none"/>
                <w:tab w:val="left" w:pos="426" w:leader="none"/>
              </w:tabs>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Vi</w:t>
              <w:tab/>
              <w:t xml:space="preserve">: </w:t>
              <w:tab/>
            </w:r>
            <w:r>
              <w:rPr>
                <w:rFonts w:eastAsia="Times New Roman" w:cs="Times New Roman"/>
                <w:b/>
                <w:bCs/>
                <w:kern w:val="0"/>
                <w:sz w:val="20"/>
                <w:szCs w:val="20"/>
                <w:lang w:val="en-US" w:eastAsia="en-US" w:bidi="ar-SA"/>
              </w:rPr>
              <w:t>Vi</w:t>
            </w:r>
            <w:r>
              <w:rPr>
                <w:rFonts w:eastAsia="Times New Roman" w:cs="Times New Roman"/>
                <w:kern w:val="0"/>
                <w:sz w:val="16"/>
                <w:szCs w:val="16"/>
                <w:lang w:val="en-US" w:eastAsia="en-US" w:bidi="ar-SA"/>
              </w:rPr>
              <w:t>sualization</w:t>
            </w:r>
          </w:p>
          <w:p>
            <w:pPr>
              <w:pStyle w:val="Normal"/>
              <w:widowControl/>
              <w:tabs>
                <w:tab w:val="clear" w:pos="720"/>
                <w:tab w:val="left" w:pos="284" w:leader="none"/>
                <w:tab w:val="left" w:pos="426" w:leader="none"/>
              </w:tabs>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Su</w:t>
              <w:tab/>
              <w:t xml:space="preserve">: </w:t>
              <w:tab/>
            </w:r>
            <w:r>
              <w:rPr>
                <w:rFonts w:eastAsia="Times New Roman" w:cs="Times New Roman"/>
                <w:b/>
                <w:bCs/>
                <w:kern w:val="0"/>
                <w:sz w:val="20"/>
                <w:szCs w:val="20"/>
                <w:lang w:val="en-US" w:eastAsia="en-US" w:bidi="ar-SA"/>
              </w:rPr>
              <w:t>Su</w:t>
            </w:r>
            <w:r>
              <w:rPr>
                <w:rFonts w:eastAsia="Times New Roman" w:cs="Times New Roman"/>
                <w:kern w:val="0"/>
                <w:sz w:val="16"/>
                <w:szCs w:val="16"/>
                <w:lang w:val="en-US" w:eastAsia="en-US" w:bidi="ar-SA"/>
              </w:rPr>
              <w:t>pervision</w:t>
            </w:r>
          </w:p>
          <w:p>
            <w:pPr>
              <w:pStyle w:val="Normal"/>
              <w:widowControl/>
              <w:tabs>
                <w:tab w:val="clear" w:pos="720"/>
                <w:tab w:val="left" w:pos="284" w:leader="none"/>
                <w:tab w:val="left" w:pos="426" w:leader="none"/>
              </w:tabs>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P</w:t>
              <w:tab/>
              <w:t xml:space="preserve">: </w:t>
              <w:tab/>
            </w:r>
            <w:r>
              <w:rPr>
                <w:rFonts w:eastAsia="Times New Roman" w:cs="Times New Roman"/>
                <w:b/>
                <w:bCs/>
                <w:kern w:val="0"/>
                <w:sz w:val="20"/>
                <w:szCs w:val="20"/>
                <w:lang w:val="en-US" w:eastAsia="en-US" w:bidi="ar-SA"/>
              </w:rPr>
              <w:t>P</w:t>
            </w:r>
            <w:r>
              <w:rPr>
                <w:rFonts w:eastAsia="Times New Roman" w:cs="Times New Roman"/>
                <w:kern w:val="0"/>
                <w:sz w:val="16"/>
                <w:szCs w:val="16"/>
                <w:lang w:val="en-US" w:eastAsia="en-US" w:bidi="ar-SA"/>
              </w:rPr>
              <w:t>roject administration</w:t>
            </w:r>
          </w:p>
          <w:p>
            <w:pPr>
              <w:pStyle w:val="Normal"/>
              <w:widowControl/>
              <w:tabs>
                <w:tab w:val="clear" w:pos="720"/>
                <w:tab w:val="left" w:pos="284" w:leader="none"/>
                <w:tab w:val="left" w:pos="426" w:leader="none"/>
              </w:tabs>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Fu</w:t>
              <w:tab/>
              <w:t xml:space="preserve">: </w:t>
              <w:tab/>
            </w:r>
            <w:r>
              <w:rPr>
                <w:rFonts w:eastAsia="Times New Roman" w:cs="Times New Roman"/>
                <w:b/>
                <w:bCs/>
                <w:kern w:val="0"/>
                <w:sz w:val="20"/>
                <w:szCs w:val="20"/>
                <w:lang w:val="en-US" w:eastAsia="en-US" w:bidi="ar-SA"/>
              </w:rPr>
              <w:t>Fu</w:t>
            </w:r>
            <w:r>
              <w:rPr>
                <w:rFonts w:eastAsia="Times New Roman" w:cs="Times New Roman"/>
                <w:kern w:val="0"/>
                <w:sz w:val="16"/>
                <w:szCs w:val="16"/>
                <w:lang w:val="en-US" w:eastAsia="en-US" w:bidi="ar-SA"/>
              </w:rPr>
              <w:t>nding acquisition</w:t>
            </w:r>
          </w:p>
          <w:p>
            <w:pPr>
              <w:pStyle w:val="Normal"/>
              <w:widowControl/>
              <w:tabs>
                <w:tab w:val="clear" w:pos="720"/>
                <w:tab w:val="left" w:pos="284" w:leader="none"/>
                <w:tab w:val="left" w:pos="426" w:leader="none"/>
              </w:tabs>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r>
    </w:tbl>
    <w:p>
      <w:pPr>
        <w:pStyle w:val="Normal"/>
        <w:jc w:val="both"/>
        <w:rPr/>
      </w:pPr>
      <w:r>
        <w:rPr/>
      </w:r>
    </w:p>
    <w:p>
      <w:pPr>
        <w:pStyle w:val="Normal"/>
        <w:jc w:val="both"/>
        <w:rPr>
          <w:i/>
          <w:i/>
          <w:iCs/>
        </w:rPr>
      </w:pPr>
      <w:r>
        <w:rPr>
          <w:i/>
          <w:iCs/>
        </w:rPr>
        <w:t>See the examples below:</w:t>
      </w:r>
    </w:p>
    <w:tbl>
      <w:tblPr>
        <w:tblStyle w:val="TableGrid"/>
        <w:tblW w:w="485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59"/>
        <w:gridCol w:w="462"/>
        <w:gridCol w:w="462"/>
        <w:gridCol w:w="462"/>
        <w:gridCol w:w="462"/>
        <w:gridCol w:w="462"/>
        <w:gridCol w:w="462"/>
        <w:gridCol w:w="464"/>
        <w:gridCol w:w="462"/>
        <w:gridCol w:w="462"/>
        <w:gridCol w:w="462"/>
        <w:gridCol w:w="462"/>
        <w:gridCol w:w="461"/>
        <w:gridCol w:w="462"/>
        <w:gridCol w:w="457"/>
      </w:tblGrid>
      <w:tr>
        <w:trPr/>
        <w:tc>
          <w:tcPr>
            <w:tcW w:w="2059" w:type="dxa"/>
            <w:tcBorders>
              <w:left w:val="nil"/>
              <w:right w:val="nil"/>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Name of Author</w:t>
            </w:r>
          </w:p>
        </w:tc>
        <w:tc>
          <w:tcPr>
            <w:tcW w:w="462" w:type="dxa"/>
            <w:tcBorders>
              <w:left w:val="nil"/>
              <w:right w:val="nil"/>
            </w:tcBorders>
            <w:shd w:color="auto" w:fill="DAEEF3" w:themeFill="accent5" w:themeFillTint="33" w:val="clear"/>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C</w:t>
            </w:r>
          </w:p>
        </w:tc>
        <w:tc>
          <w:tcPr>
            <w:tcW w:w="462" w:type="dxa"/>
            <w:tcBorders>
              <w:left w:val="nil"/>
              <w:right w:val="nil"/>
            </w:tcBorders>
            <w:shd w:color="auto" w:fill="DAEEF3" w:themeFill="accent5" w:themeFillTint="33" w:val="clear"/>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M</w:t>
            </w:r>
          </w:p>
        </w:tc>
        <w:tc>
          <w:tcPr>
            <w:tcW w:w="462" w:type="dxa"/>
            <w:tcBorders>
              <w:left w:val="nil"/>
              <w:right w:val="nil"/>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So</w:t>
            </w:r>
          </w:p>
        </w:tc>
        <w:tc>
          <w:tcPr>
            <w:tcW w:w="462" w:type="dxa"/>
            <w:tcBorders>
              <w:left w:val="nil"/>
              <w:right w:val="nil"/>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Va</w:t>
            </w:r>
          </w:p>
        </w:tc>
        <w:tc>
          <w:tcPr>
            <w:tcW w:w="462" w:type="dxa"/>
            <w:tcBorders>
              <w:left w:val="nil"/>
              <w:right w:val="nil"/>
            </w:tcBorders>
            <w:shd w:color="auto" w:fill="DAEEF3" w:themeFill="accent5" w:themeFillTint="33" w:val="clear"/>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Fo</w:t>
            </w:r>
          </w:p>
        </w:tc>
        <w:tc>
          <w:tcPr>
            <w:tcW w:w="462" w:type="dxa"/>
            <w:tcBorders>
              <w:left w:val="nil"/>
              <w:right w:val="nil"/>
            </w:tcBorders>
            <w:shd w:color="auto" w:fill="DAEEF3" w:themeFill="accent5" w:themeFillTint="33" w:val="clear"/>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I</w:t>
            </w:r>
          </w:p>
        </w:tc>
        <w:tc>
          <w:tcPr>
            <w:tcW w:w="464" w:type="dxa"/>
            <w:tcBorders>
              <w:left w:val="nil"/>
              <w:right w:val="nil"/>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R</w:t>
            </w:r>
          </w:p>
        </w:tc>
        <w:tc>
          <w:tcPr>
            <w:tcW w:w="462" w:type="dxa"/>
            <w:tcBorders>
              <w:left w:val="nil"/>
              <w:right w:val="nil"/>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D</w:t>
            </w:r>
          </w:p>
        </w:tc>
        <w:tc>
          <w:tcPr>
            <w:tcW w:w="462" w:type="dxa"/>
            <w:tcBorders>
              <w:left w:val="nil"/>
              <w:right w:val="nil"/>
            </w:tcBorders>
            <w:shd w:color="auto" w:fill="FDE9D9" w:themeFill="accent6" w:themeFillTint="33" w:val="clear"/>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O</w:t>
            </w:r>
          </w:p>
        </w:tc>
        <w:tc>
          <w:tcPr>
            <w:tcW w:w="462" w:type="dxa"/>
            <w:tcBorders>
              <w:left w:val="nil"/>
              <w:right w:val="nil"/>
            </w:tcBorders>
            <w:shd w:color="auto" w:fill="FDE9D9" w:themeFill="accent6" w:themeFillTint="33" w:val="clear"/>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E</w:t>
            </w:r>
          </w:p>
        </w:tc>
        <w:tc>
          <w:tcPr>
            <w:tcW w:w="462" w:type="dxa"/>
            <w:tcBorders>
              <w:left w:val="nil"/>
              <w:right w:val="nil"/>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Vi</w:t>
            </w:r>
          </w:p>
        </w:tc>
        <w:tc>
          <w:tcPr>
            <w:tcW w:w="461" w:type="dxa"/>
            <w:tcBorders>
              <w:left w:val="nil"/>
              <w:right w:val="nil"/>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Su</w:t>
            </w:r>
          </w:p>
        </w:tc>
        <w:tc>
          <w:tcPr>
            <w:tcW w:w="462" w:type="dxa"/>
            <w:tcBorders>
              <w:left w:val="nil"/>
              <w:right w:val="nil"/>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P</w:t>
            </w:r>
          </w:p>
        </w:tc>
        <w:tc>
          <w:tcPr>
            <w:tcW w:w="457" w:type="dxa"/>
            <w:tcBorders>
              <w:left w:val="nil"/>
              <w:right w:val="nil"/>
            </w:tcBorders>
          </w:tcPr>
          <w:p>
            <w:pPr>
              <w:pStyle w:val="Normal"/>
              <w:widowControl/>
              <w:suppressAutoHyphens w:val="true"/>
              <w:spacing w:before="0" w:after="0"/>
              <w:jc w:val="both"/>
              <w:rPr>
                <w:b/>
                <w:bCs/>
              </w:rPr>
            </w:pPr>
            <w:r>
              <w:rPr>
                <w:rFonts w:eastAsia="Times New Roman" w:cs="Times New Roman"/>
                <w:b/>
                <w:bCs/>
                <w:kern w:val="0"/>
                <w:sz w:val="20"/>
                <w:szCs w:val="20"/>
                <w:lang w:val="en-US" w:eastAsia="en-US" w:bidi="ar-SA"/>
              </w:rPr>
              <w:t>Fu</w:t>
            </w:r>
          </w:p>
        </w:tc>
      </w:tr>
      <w:tr>
        <w:trPr/>
        <w:tc>
          <w:tcPr>
            <w:tcW w:w="2059" w:type="dxa"/>
            <w:tcBorders>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Suttichai Premrudeeprechacharn</w:t>
            </w:r>
          </w:p>
        </w:tc>
        <w:tc>
          <w:tcPr>
            <w:tcW w:w="462" w:type="dxa"/>
            <w:tcBorders>
              <w:left w:val="nil"/>
              <w:bottom w:val="nil"/>
              <w:right w:val="nil"/>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left w:val="nil"/>
              <w:bottom w:val="nil"/>
              <w:right w:val="nil"/>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left w:val="nil"/>
              <w:bottom w:val="nil"/>
              <w:right w:val="nil"/>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left w:val="nil"/>
              <w:bottom w:val="nil"/>
              <w:right w:val="nil"/>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4" w:type="dxa"/>
            <w:tcBorders>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2" w:type="dxa"/>
            <w:tcBorders>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left w:val="nil"/>
              <w:bottom w:val="nil"/>
              <w:right w:val="nil"/>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left w:val="nil"/>
              <w:bottom w:val="nil"/>
              <w:right w:val="nil"/>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1" w:type="dxa"/>
            <w:tcBorders>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2" w:type="dxa"/>
            <w:tcBorders>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57" w:type="dxa"/>
            <w:tcBorders>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r>
      <w:tr>
        <w:trPr/>
        <w:tc>
          <w:tcPr>
            <w:tcW w:w="2059" w:type="dxa"/>
            <w:tcBorders>
              <w:top w:val="nil"/>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Angela Amphawan</w:t>
            </w:r>
          </w:p>
        </w:tc>
        <w:tc>
          <w:tcPr>
            <w:tcW w:w="462" w:type="dxa"/>
            <w:tcBorders>
              <w:top w:val="nil"/>
              <w:left w:val="nil"/>
              <w:bottom w:val="nil"/>
              <w:right w:val="nil"/>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2" w:type="dxa"/>
            <w:tcBorders>
              <w:top w:val="nil"/>
              <w:left w:val="nil"/>
              <w:bottom w:val="nil"/>
              <w:right w:val="nil"/>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top w:val="nil"/>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2" w:type="dxa"/>
            <w:tcBorders>
              <w:top w:val="nil"/>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2" w:type="dxa"/>
            <w:tcBorders>
              <w:top w:val="nil"/>
              <w:left w:val="nil"/>
              <w:bottom w:val="nil"/>
              <w:right w:val="nil"/>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2" w:type="dxa"/>
            <w:tcBorders>
              <w:top w:val="nil"/>
              <w:left w:val="nil"/>
              <w:bottom w:val="nil"/>
              <w:right w:val="nil"/>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4" w:type="dxa"/>
            <w:tcBorders>
              <w:top w:val="nil"/>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2" w:type="dxa"/>
            <w:tcBorders>
              <w:top w:val="nil"/>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top w:val="nil"/>
              <w:left w:val="nil"/>
              <w:bottom w:val="nil"/>
              <w:right w:val="nil"/>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top w:val="nil"/>
              <w:left w:val="nil"/>
              <w:bottom w:val="nil"/>
              <w:right w:val="nil"/>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top w:val="nil"/>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1" w:type="dxa"/>
            <w:tcBorders>
              <w:top w:val="nil"/>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top w:val="nil"/>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57" w:type="dxa"/>
            <w:tcBorders>
              <w:top w:val="nil"/>
              <w:left w:val="nil"/>
              <w:bottom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r>
      <w:tr>
        <w:trPr/>
        <w:tc>
          <w:tcPr>
            <w:tcW w:w="2059" w:type="dxa"/>
            <w:tcBorders>
              <w:top w:val="nil"/>
              <w:left w:val="nil"/>
              <w:right w:val="nil"/>
            </w:tcBorders>
          </w:tcPr>
          <w:p>
            <w:pPr>
              <w:pStyle w:val="Normal"/>
              <w:widowControl/>
              <w:suppressAutoHyphens w:val="true"/>
              <w:spacing w:before="0" w:after="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Almoataz Youssef Abdelaziz</w:t>
            </w:r>
          </w:p>
        </w:tc>
        <w:tc>
          <w:tcPr>
            <w:tcW w:w="462" w:type="dxa"/>
            <w:tcBorders>
              <w:top w:val="nil"/>
              <w:left w:val="nil"/>
              <w:right w:val="nil"/>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top w:val="nil"/>
              <w:left w:val="nil"/>
              <w:right w:val="nil"/>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2" w:type="dxa"/>
            <w:tcBorders>
              <w:top w:val="nil"/>
              <w:left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top w:val="nil"/>
              <w:left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top w:val="nil"/>
              <w:left w:val="nil"/>
              <w:right w:val="nil"/>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2" w:type="dxa"/>
            <w:tcBorders>
              <w:top w:val="nil"/>
              <w:left w:val="nil"/>
              <w:right w:val="nil"/>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4" w:type="dxa"/>
            <w:tcBorders>
              <w:top w:val="nil"/>
              <w:left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top w:val="nil"/>
              <w:left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2" w:type="dxa"/>
            <w:tcBorders>
              <w:top w:val="nil"/>
              <w:left w:val="nil"/>
              <w:right w:val="nil"/>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2" w:type="dxa"/>
            <w:tcBorders>
              <w:top w:val="nil"/>
              <w:left w:val="nil"/>
              <w:right w:val="nil"/>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2" w:type="dxa"/>
            <w:tcBorders>
              <w:top w:val="nil"/>
              <w:left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1" w:type="dxa"/>
            <w:tcBorders>
              <w:top w:val="nil"/>
              <w:left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2" w:type="dxa"/>
            <w:tcBorders>
              <w:top w:val="nil"/>
              <w:left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57" w:type="dxa"/>
            <w:tcBorders>
              <w:top w:val="nil"/>
              <w:left w:val="nil"/>
              <w:right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r>
    </w:tbl>
    <w:p>
      <w:pPr>
        <w:pStyle w:val="Normal"/>
        <w:jc w:val="both"/>
        <w:rPr/>
      </w:pPr>
      <w:r>
        <w:rPr/>
      </w:r>
    </w:p>
    <w:p>
      <w:pPr>
        <w:pStyle w:val="Normal"/>
        <w:jc w:val="both"/>
        <w:rPr>
          <w:b/>
          <w:bCs/>
        </w:rPr>
      </w:pPr>
      <w:r>
        <w:rPr>
          <w:b/>
          <w:bCs/>
        </w:rPr>
      </w:r>
    </w:p>
    <w:p>
      <w:pPr>
        <w:pStyle w:val="Normal"/>
        <w:jc w:val="both"/>
        <w:rPr>
          <w:b/>
          <w:bCs/>
        </w:rPr>
      </w:pPr>
      <w:r>
        <w:rPr>
          <w:b/>
          <w:bCs/>
        </w:rPr>
        <w:t xml:space="preserve">CONFLICT OF INTEREST STATEMENT </w:t>
      </w:r>
      <w:r>
        <w:rPr>
          <w:b/>
          <w:bCs/>
          <w:i/>
          <w:iCs/>
        </w:rPr>
        <w:t>(mandatory)</w:t>
      </w:r>
      <w:r>
        <w:rPr>
          <w:b/>
          <w:bCs/>
        </w:rPr>
        <w:t xml:space="preserve"> (10 PT)</w:t>
      </w:r>
    </w:p>
    <w:p>
      <w:pPr>
        <w:pStyle w:val="Normal"/>
        <w:tabs>
          <w:tab w:val="clear" w:pos="720"/>
          <w:tab w:val="left" w:pos="284" w:leader="none"/>
          <w:tab w:val="left" w:pos="426" w:leader="none"/>
        </w:tabs>
        <w:ind w:firstLine="709"/>
        <w:jc w:val="both"/>
        <w:rPr/>
      </w:pPr>
      <w:r>
        <w:rPr/>
        <w:t>To ensure fair and objective decision-making, authors must declare any associations that pose a conflict of interest (financial, personal, or professional) in connection with manuscripts. Non-financial competing interests include a declaration of political, personal, religious, ideological, academic, and intellectual competing interests. The authors declare that they have no known competing financial interests or personal relationships that could have appeared to influence the work reported in this paper. If there are no conflicts of interest, please include the following author's statement: Authors state no conflict of interest.</w:t>
      </w:r>
    </w:p>
    <w:p>
      <w:pPr>
        <w:pStyle w:val="Normal"/>
        <w:tabs>
          <w:tab w:val="clear" w:pos="720"/>
          <w:tab w:val="left" w:pos="284" w:leader="none"/>
          <w:tab w:val="left" w:pos="426" w:leader="none"/>
        </w:tabs>
        <w:jc w:val="both"/>
        <w:rPr/>
      </w:pPr>
      <w:r>
        <w:rPr/>
      </w:r>
    </w:p>
    <w:p>
      <w:pPr>
        <w:pStyle w:val="Normal"/>
        <w:tabs>
          <w:tab w:val="clear" w:pos="720"/>
          <w:tab w:val="left" w:pos="284" w:leader="none"/>
          <w:tab w:val="left" w:pos="426" w:leader="none"/>
        </w:tabs>
        <w:jc w:val="both"/>
        <w:rPr/>
      </w:pPr>
      <w:r>
        <w:rPr/>
      </w:r>
    </w:p>
    <w:p>
      <w:pPr>
        <w:pStyle w:val="Normal"/>
        <w:jc w:val="both"/>
        <w:rPr>
          <w:b/>
          <w:bCs/>
        </w:rPr>
      </w:pPr>
      <w:r>
        <w:rPr>
          <w:b/>
          <w:bCs/>
        </w:rPr>
        <w:t xml:space="preserve">INFORMED CONSENT </w:t>
      </w:r>
      <w:r>
        <w:rPr>
          <w:b/>
          <w:bCs/>
          <w:i/>
          <w:iCs/>
        </w:rPr>
        <w:t>(if applicable)</w:t>
      </w:r>
      <w:r>
        <w:rPr>
          <w:b/>
          <w:bCs/>
        </w:rPr>
        <w:t xml:space="preserve"> (10 PT)</w:t>
      </w:r>
    </w:p>
    <w:p>
      <w:pPr>
        <w:pStyle w:val="Normal"/>
        <w:tabs>
          <w:tab w:val="clear" w:pos="720"/>
          <w:tab w:val="left" w:pos="284" w:leader="none"/>
          <w:tab w:val="left" w:pos="426" w:leader="none"/>
        </w:tabs>
        <w:ind w:firstLine="709"/>
        <w:jc w:val="both"/>
        <w:rPr/>
      </w:pPr>
      <w:r>
        <w:rPr/>
        <w:t>The protection of privacy is a legal right that must not be breached without individual informed consent. In cases where the identification of personal information is necessary for scientific reasons, authors should obtain full documentation of informed consent, including written permission from the patient prior to inclusion in the study. Incorporate the following (or a similar) statement: We have obtained informed consent from all individuals included in this study.</w:t>
      </w:r>
    </w:p>
    <w:p>
      <w:pPr>
        <w:pStyle w:val="Normal"/>
        <w:tabs>
          <w:tab w:val="clear" w:pos="720"/>
          <w:tab w:val="left" w:pos="284" w:leader="none"/>
          <w:tab w:val="left" w:pos="426" w:leader="none"/>
        </w:tabs>
        <w:jc w:val="both"/>
        <w:rPr/>
      </w:pPr>
      <w:r>
        <w:rPr/>
      </w:r>
    </w:p>
    <w:p>
      <w:pPr>
        <w:pStyle w:val="Normal"/>
        <w:jc w:val="both"/>
        <w:rPr>
          <w:b/>
          <w:bCs/>
        </w:rPr>
      </w:pPr>
      <w:r>
        <w:rPr>
          <w:b/>
          <w:bCs/>
        </w:rPr>
      </w:r>
    </w:p>
    <w:p>
      <w:pPr>
        <w:pStyle w:val="Normal"/>
        <w:jc w:val="both"/>
        <w:rPr>
          <w:b/>
          <w:bCs/>
        </w:rPr>
      </w:pPr>
      <w:r>
        <w:rPr>
          <w:b/>
          <w:bCs/>
        </w:rPr>
        <w:t xml:space="preserve">ETHICAL APPROVAL </w:t>
      </w:r>
      <w:r>
        <w:rPr>
          <w:b/>
          <w:bCs/>
          <w:i/>
          <w:iCs/>
        </w:rPr>
        <w:t>(if applicable)</w:t>
      </w:r>
      <w:r>
        <w:rPr>
          <w:b/>
          <w:bCs/>
        </w:rPr>
        <w:t xml:space="preserve"> (10 PT)</w:t>
      </w:r>
    </w:p>
    <w:p>
      <w:pPr>
        <w:pStyle w:val="Normal"/>
        <w:tabs>
          <w:tab w:val="clear" w:pos="720"/>
          <w:tab w:val="left" w:pos="284" w:leader="none"/>
          <w:tab w:val="left" w:pos="426" w:leader="none"/>
        </w:tabs>
        <w:ind w:firstLine="709"/>
        <w:jc w:val="both"/>
        <w:rPr/>
      </w:pPr>
      <w:r>
        <w:rPr/>
        <w:t>When papers talk about using people or animals, authors should make it clear that the research followed all national rules and institutional policies, and it was approved by the authors' institutional review board or a similar committee. The Helsinki Declaration's tenets must guide all investigations involving human subjects. Authors must also identify the committee or review board approving the experiments and provide a statement indicating approval of the research. Incorporate the following (or a similar) statement: The research related to human use has been complied with all the relevant national regulations and institutional policies in accordance with the tenets of the Helsinki Declaration and has been approved by the authors' institutional review board or equivalent committee; or: The research related to animal use has been complied with all the relevant national regulations and institutional policies for the care and use of animals.</w:t>
      </w:r>
    </w:p>
    <w:p>
      <w:pPr>
        <w:pStyle w:val="Normal"/>
        <w:jc w:val="both"/>
        <w:rPr>
          <w:b/>
          <w:bCs/>
        </w:rPr>
      </w:pPr>
      <w:r>
        <w:rPr>
          <w:b/>
          <w:bCs/>
        </w:rPr>
      </w:r>
    </w:p>
    <w:p>
      <w:pPr>
        <w:pStyle w:val="Normal"/>
        <w:jc w:val="both"/>
        <w:rPr>
          <w:b/>
          <w:bCs/>
        </w:rPr>
      </w:pPr>
      <w:r>
        <w:rPr>
          <w:b/>
          <w:bCs/>
        </w:rPr>
      </w:r>
    </w:p>
    <w:p>
      <w:pPr>
        <w:pStyle w:val="Normal"/>
        <w:jc w:val="both"/>
        <w:rPr>
          <w:b/>
          <w:bCs/>
        </w:rPr>
      </w:pPr>
      <w:r>
        <w:rPr>
          <w:b/>
          <w:bCs/>
        </w:rPr>
        <w:t xml:space="preserve">DATA AVAILABILITY </w:t>
      </w:r>
      <w:r>
        <w:rPr>
          <w:b/>
          <w:bCs/>
          <w:i/>
          <w:iCs/>
        </w:rPr>
        <w:t>(mandatory)</w:t>
      </w:r>
      <w:r>
        <w:rPr>
          <w:b/>
          <w:bCs/>
        </w:rPr>
        <w:t xml:space="preserve"> (10 PT)</w:t>
      </w:r>
    </w:p>
    <w:p>
      <w:pPr>
        <w:pStyle w:val="Normal"/>
        <w:tabs>
          <w:tab w:val="clear" w:pos="720"/>
          <w:tab w:val="left" w:pos="284" w:leader="none"/>
          <w:tab w:val="left" w:pos="426" w:leader="none"/>
        </w:tabs>
        <w:ind w:firstLine="709"/>
        <w:jc w:val="both"/>
        <w:rPr/>
      </w:pPr>
      <w:r>
        <w:rPr/>
        <w:t>The data availability statement is a valuable link between a paper’s results and the supporting evidence. It is a brief statement about whether the authors of an article have made the evidence supporting their findings available, and if so, where readers may access it. Data availability statements help to promote transparency and reproducibility in research and to increase the visibility of valuable evidence produced or gathered during the course of research. As part of our commitment to supporting open research, our journal now requires all manuscripts to include a data availability statement in order to be accepted for publication. Examples:</w:t>
      </w:r>
    </w:p>
    <w:p>
      <w:pPr>
        <w:pStyle w:val="ListParagraph"/>
        <w:numPr>
          <w:ilvl w:val="0"/>
          <w:numId w:val="7"/>
        </w:numPr>
        <w:spacing w:lineRule="auto" w:line="240" w:before="0" w:after="0"/>
        <w:ind w:hanging="284" w:left="284"/>
        <w:contextualSpacing/>
        <w:jc w:val="both"/>
        <w:rPr>
          <w:rFonts w:ascii="Times New Roman" w:hAnsi="Times New Roman"/>
          <w:sz w:val="20"/>
          <w:szCs w:val="20"/>
          <w:lang w:val="en-US"/>
        </w:rPr>
      </w:pPr>
      <w:r>
        <w:rPr>
          <w:rFonts w:ascii="Times New Roman" w:hAnsi="Times New Roman"/>
          <w:sz w:val="20"/>
          <w:szCs w:val="20"/>
          <w:lang w:val="en-US"/>
        </w:rPr>
        <w:t>The data that support the findings of this study are openly available in [repository name] at http://doi.org/[doi], reference number [reference number].</w:t>
      </w:r>
    </w:p>
    <w:p>
      <w:pPr>
        <w:pStyle w:val="ListParagraph"/>
        <w:numPr>
          <w:ilvl w:val="0"/>
          <w:numId w:val="7"/>
        </w:numPr>
        <w:spacing w:lineRule="auto" w:line="240" w:before="0" w:after="0"/>
        <w:ind w:hanging="284" w:left="284"/>
        <w:contextualSpacing/>
        <w:jc w:val="both"/>
        <w:rPr>
          <w:rFonts w:ascii="Times New Roman" w:hAnsi="Times New Roman"/>
          <w:sz w:val="20"/>
          <w:szCs w:val="20"/>
          <w:lang w:val="en-US"/>
        </w:rPr>
      </w:pPr>
      <w:r>
        <w:rPr>
          <w:rFonts w:ascii="Times New Roman" w:hAnsi="Times New Roman"/>
          <w:sz w:val="20"/>
          <w:szCs w:val="20"/>
          <w:lang w:val="en-US"/>
        </w:rPr>
        <w:t>The data that support the findings of this study will be available in [repository name] [URL / DOI link] following a [6 month] embargo from the date of publication to allow for the commercialization of research findings.</w:t>
      </w:r>
    </w:p>
    <w:p>
      <w:pPr>
        <w:pStyle w:val="ListParagraph"/>
        <w:numPr>
          <w:ilvl w:val="0"/>
          <w:numId w:val="7"/>
        </w:numPr>
        <w:spacing w:lineRule="auto" w:line="240" w:before="0" w:after="0"/>
        <w:ind w:hanging="284" w:left="284"/>
        <w:contextualSpacing/>
        <w:jc w:val="both"/>
        <w:rPr>
          <w:rFonts w:ascii="Times New Roman" w:hAnsi="Times New Roman"/>
          <w:sz w:val="20"/>
          <w:szCs w:val="20"/>
          <w:lang w:val="en-US"/>
        </w:rPr>
      </w:pPr>
      <w:r>
        <w:rPr>
          <w:rFonts w:ascii="Times New Roman" w:hAnsi="Times New Roman"/>
          <w:sz w:val="20"/>
          <w:szCs w:val="20"/>
          <w:lang w:val="en-US"/>
        </w:rPr>
        <w:t xml:space="preserve">The data that support the findings of this study are available on request from the corresponding author, </w:t>
      </w:r>
      <w:r>
        <w:rPr>
          <w:rFonts w:ascii="Times New Roman" w:hAnsi="Times New Roman"/>
          <w:sz w:val="20"/>
          <w:szCs w:val="20"/>
        </w:rPr>
        <w:t>[initials: AB]</w:t>
      </w:r>
      <w:r>
        <w:rPr>
          <w:rFonts w:ascii="Times New Roman" w:hAnsi="Times New Roman"/>
          <w:sz w:val="20"/>
          <w:szCs w:val="20"/>
          <w:lang w:val="en-US"/>
        </w:rPr>
        <w:t>. The data, which contain information that could compromise the privacy of research participants, are not publicly available due to certain restrictions.</w:t>
      </w:r>
    </w:p>
    <w:p>
      <w:pPr>
        <w:pStyle w:val="ListParagraph"/>
        <w:numPr>
          <w:ilvl w:val="0"/>
          <w:numId w:val="7"/>
        </w:numPr>
        <w:spacing w:lineRule="auto" w:line="240" w:before="0" w:after="0"/>
        <w:ind w:hanging="284" w:left="284"/>
        <w:contextualSpacing/>
        <w:jc w:val="both"/>
        <w:rPr>
          <w:rFonts w:ascii="Times New Roman" w:hAnsi="Times New Roman"/>
          <w:sz w:val="20"/>
          <w:szCs w:val="20"/>
          <w:lang w:val="en-US"/>
        </w:rPr>
      </w:pPr>
      <w:r>
        <w:rPr>
          <w:rFonts w:ascii="Times New Roman" w:hAnsi="Times New Roman"/>
          <w:sz w:val="20"/>
          <w:szCs w:val="20"/>
          <w:lang w:val="en-US"/>
        </w:rPr>
        <w:t xml:space="preserve">Derived data supporting the findings of this study are available from the corresponding author </w:t>
      </w:r>
      <w:r>
        <w:rPr>
          <w:rFonts w:ascii="Times New Roman" w:hAnsi="Times New Roman"/>
          <w:sz w:val="20"/>
          <w:szCs w:val="20"/>
        </w:rPr>
        <w:t>[initials: AB]</w:t>
      </w:r>
      <w:r>
        <w:rPr>
          <w:rFonts w:ascii="Times New Roman" w:hAnsi="Times New Roman"/>
          <w:sz w:val="20"/>
          <w:szCs w:val="20"/>
          <w:lang w:val="en-US"/>
        </w:rPr>
        <w:t xml:space="preserve"> on request.</w:t>
      </w:r>
    </w:p>
    <w:p>
      <w:pPr>
        <w:pStyle w:val="ListParagraph"/>
        <w:numPr>
          <w:ilvl w:val="0"/>
          <w:numId w:val="7"/>
        </w:numPr>
        <w:spacing w:lineRule="auto" w:line="240" w:before="0" w:after="0"/>
        <w:ind w:hanging="284" w:left="284"/>
        <w:contextualSpacing/>
        <w:jc w:val="both"/>
        <w:rPr>
          <w:rFonts w:ascii="Times New Roman" w:hAnsi="Times New Roman"/>
          <w:sz w:val="20"/>
          <w:szCs w:val="20"/>
          <w:lang w:val="en-US"/>
        </w:rPr>
      </w:pPr>
      <w:r>
        <w:rPr>
          <w:rFonts w:ascii="Times New Roman" w:hAnsi="Times New Roman"/>
          <w:sz w:val="20"/>
          <w:szCs w:val="20"/>
          <w:lang w:val="en-US"/>
        </w:rPr>
        <w:t>The data that support the findings of this study are available from [third party]. Restrictions apply to the availability of these data, which were used under license for this study. Data are available [from the authors / at URL] with the permission of [third party].</w:t>
      </w:r>
    </w:p>
    <w:p>
      <w:pPr>
        <w:pStyle w:val="ListParagraph"/>
        <w:numPr>
          <w:ilvl w:val="0"/>
          <w:numId w:val="7"/>
        </w:numPr>
        <w:spacing w:lineRule="auto" w:line="240" w:before="0" w:after="0"/>
        <w:ind w:hanging="284" w:left="284"/>
        <w:contextualSpacing/>
        <w:jc w:val="both"/>
        <w:rPr>
          <w:rFonts w:ascii="Times New Roman" w:hAnsi="Times New Roman"/>
          <w:sz w:val="20"/>
          <w:szCs w:val="20"/>
          <w:lang w:val="en-US"/>
        </w:rPr>
      </w:pPr>
      <w:r>
        <w:rPr>
          <w:rFonts w:ascii="Times New Roman" w:hAnsi="Times New Roman"/>
          <w:sz w:val="20"/>
          <w:szCs w:val="20"/>
          <w:lang w:val="en-US"/>
        </w:rPr>
        <w:t>The authors confirm that the data supporting the findings of this study are available within the article [and/or its supplementary materials].</w:t>
      </w:r>
    </w:p>
    <w:p>
      <w:pPr>
        <w:pStyle w:val="ListParagraph"/>
        <w:numPr>
          <w:ilvl w:val="0"/>
          <w:numId w:val="7"/>
        </w:numPr>
        <w:spacing w:lineRule="auto" w:line="240" w:before="0" w:after="0"/>
        <w:ind w:hanging="284" w:left="284"/>
        <w:contextualSpacing/>
        <w:jc w:val="both"/>
        <w:rPr>
          <w:rFonts w:ascii="Times New Roman" w:hAnsi="Times New Roman"/>
          <w:sz w:val="20"/>
          <w:szCs w:val="20"/>
          <w:lang w:val="en-US"/>
        </w:rPr>
      </w:pPr>
      <w:r>
        <w:rPr>
          <w:rFonts w:ascii="Times New Roman" w:hAnsi="Times New Roman"/>
          <w:sz w:val="20"/>
          <w:szCs w:val="20"/>
          <w:lang w:val="en-US"/>
        </w:rPr>
        <w:t xml:space="preserve">The data that support the findings of this study are available from the corresponding author, </w:t>
      </w:r>
      <w:r>
        <w:rPr>
          <w:rFonts w:ascii="Times New Roman" w:hAnsi="Times New Roman"/>
          <w:sz w:val="20"/>
          <w:szCs w:val="20"/>
        </w:rPr>
        <w:t>[initials: AB]</w:t>
      </w:r>
      <w:r>
        <w:rPr>
          <w:rFonts w:ascii="Times New Roman" w:hAnsi="Times New Roman"/>
          <w:sz w:val="20"/>
          <w:szCs w:val="20"/>
          <w:lang w:val="en-US"/>
        </w:rPr>
        <w:t>, upon reasonable request.</w:t>
      </w:r>
    </w:p>
    <w:p>
      <w:pPr>
        <w:pStyle w:val="ListParagraph"/>
        <w:numPr>
          <w:ilvl w:val="0"/>
          <w:numId w:val="7"/>
        </w:numPr>
        <w:spacing w:lineRule="auto" w:line="240" w:before="0" w:after="0"/>
        <w:ind w:hanging="284" w:left="284"/>
        <w:contextualSpacing/>
        <w:jc w:val="both"/>
        <w:rPr>
          <w:rFonts w:ascii="Times New Roman" w:hAnsi="Times New Roman"/>
          <w:sz w:val="20"/>
          <w:szCs w:val="20"/>
          <w:lang w:val="en-US"/>
        </w:rPr>
      </w:pPr>
      <w:r>
        <w:rPr>
          <w:rFonts w:ascii="Times New Roman" w:hAnsi="Times New Roman"/>
          <w:sz w:val="20"/>
          <w:szCs w:val="20"/>
          <w:lang w:val="en-US"/>
        </w:rPr>
        <w:t>Data availability is not applicable to this paper as no new data were created or analyzed in this study.</w:t>
      </w:r>
    </w:p>
    <w:p>
      <w:pPr>
        <w:pStyle w:val="Normal"/>
        <w:jc w:val="both"/>
        <w:rPr/>
      </w:pPr>
      <w:r>
        <w:rPr/>
      </w:r>
    </w:p>
    <w:p>
      <w:pPr>
        <w:pStyle w:val="Normal"/>
        <w:rPr>
          <w:rStyle w:val="apple-style-span"/>
          <w:bCs/>
          <w:color w:val="000000"/>
        </w:rPr>
      </w:pPr>
      <w:r>
        <w:rPr>
          <w:bCs/>
          <w:color w:val="000000"/>
        </w:rPr>
      </w:r>
    </w:p>
    <w:p>
      <w:pPr>
        <w:pStyle w:val="Normal"/>
        <w:rPr>
          <w:color w:val="000000"/>
        </w:rPr>
      </w:pPr>
      <w:r>
        <w:rPr>
          <w:rStyle w:val="apple-style-span"/>
          <w:b/>
          <w:color w:val="000000"/>
        </w:rPr>
        <w:t xml:space="preserve">REFERENCES </w:t>
      </w:r>
      <w:r>
        <w:rPr>
          <w:b/>
          <w:bCs/>
        </w:rPr>
        <w:t>(10 PT)</w:t>
      </w:r>
    </w:p>
    <w:p>
      <w:pPr>
        <w:pStyle w:val="Normal"/>
        <w:ind w:firstLine="720"/>
        <w:jc w:val="both"/>
        <w:rPr>
          <w:color w:val="000000"/>
          <w:sz w:val="16"/>
          <w:szCs w:val="16"/>
        </w:rPr>
      </w:pPr>
      <w:bookmarkStart w:id="21" w:name="_Hlk78354957"/>
      <w:bookmarkStart w:id="22" w:name="_Hlk80021798"/>
      <w:bookmarkEnd w:id="21"/>
      <w:r>
        <w:rPr>
          <w:color w:val="000000"/>
          <w:sz w:val="16"/>
          <w:szCs w:val="16"/>
        </w:rPr>
        <w:t xml:space="preserve">The main references are international journals and proceedings. All references should be to the most pertinent, </w:t>
      </w:r>
      <w:r>
        <w:rPr>
          <w:b/>
          <w:bCs/>
          <w:color w:val="000000"/>
          <w:sz w:val="16"/>
          <w:szCs w:val="16"/>
        </w:rPr>
        <w:t>up-to-date sources</w:t>
      </w:r>
      <w:r>
        <w:rPr>
          <w:color w:val="000000"/>
          <w:sz w:val="16"/>
          <w:szCs w:val="16"/>
        </w:rPr>
        <w:t xml:space="preserve">, and the </w:t>
      </w:r>
      <w:r>
        <w:rPr>
          <w:b/>
          <w:bCs/>
          <w:color w:val="000000"/>
          <w:sz w:val="16"/>
          <w:szCs w:val="16"/>
        </w:rPr>
        <w:t>minimum number of references</w:t>
      </w:r>
      <w:r>
        <w:rPr>
          <w:color w:val="000000"/>
          <w:sz w:val="16"/>
          <w:szCs w:val="16"/>
        </w:rPr>
        <w:t xml:space="preserve"> should be </w:t>
      </w:r>
      <w:r>
        <w:rPr>
          <w:b/>
          <w:bCs/>
          <w:color w:val="000000"/>
          <w:sz w:val="16"/>
          <w:szCs w:val="16"/>
        </w:rPr>
        <w:t>25</w:t>
      </w:r>
      <w:r>
        <w:rPr>
          <w:color w:val="000000"/>
          <w:sz w:val="16"/>
          <w:szCs w:val="16"/>
        </w:rPr>
        <w:t xml:space="preserve"> (for original research papers) and </w:t>
      </w:r>
      <w:r>
        <w:rPr>
          <w:b/>
          <w:bCs/>
          <w:color w:val="000000"/>
          <w:sz w:val="16"/>
          <w:szCs w:val="16"/>
        </w:rPr>
        <w:t>50</w:t>
      </w:r>
      <w:r>
        <w:rPr>
          <w:color w:val="000000"/>
          <w:sz w:val="16"/>
          <w:szCs w:val="16"/>
        </w:rPr>
        <w:t xml:space="preserve"> (for review papers). References are written in IEEE style. You can access a more comprehensive guide at http://ipmuonline.com/guide/refstyle.pdf. Use a tool such as EndNote, Mendeley, or Zotero for reference management and formatting; choose IEEE style. Please use a consistent format for references—see examples (8 pt):</w:t>
      </w:r>
    </w:p>
    <w:p>
      <w:pPr>
        <w:pStyle w:val="Normal"/>
        <w:jc w:val="both"/>
        <w:rPr>
          <w:color w:val="000000"/>
        </w:rPr>
      </w:pPr>
      <w:r>
        <w:rPr>
          <w:color w:val="000000"/>
        </w:rPr>
      </w:r>
      <w:bookmarkStart w:id="23" w:name="_Hlk80002086"/>
      <w:bookmarkStart w:id="24" w:name="_Hlk78354957_Copia_1"/>
      <w:bookmarkStart w:id="25" w:name="_Hlk80002086"/>
      <w:bookmarkStart w:id="26" w:name="_Hlk78354957_Copia_1"/>
      <w:bookmarkEnd w:id="26"/>
    </w:p>
    <w:p>
      <w:pPr>
        <w:pStyle w:val="ListParagraph"/>
        <w:numPr>
          <w:ilvl w:val="0"/>
          <w:numId w:val="5"/>
        </w:numPr>
        <w:spacing w:lineRule="auto" w:line="240" w:before="0" w:after="0"/>
        <w:ind w:hanging="426" w:left="426"/>
        <w:contextualSpacing/>
        <w:jc w:val="both"/>
        <w:rPr>
          <w:rFonts w:ascii="Times New Roman" w:hAnsi="Times New Roman"/>
          <w:b/>
          <w:bCs/>
          <w:sz w:val="18"/>
          <w:szCs w:val="18"/>
          <w:lang w:val="en-US"/>
        </w:rPr>
      </w:pPr>
      <w:bookmarkStart w:id="27" w:name="_Hlk80001145"/>
      <w:r>
        <w:rPr>
          <w:rFonts w:ascii="Times New Roman" w:hAnsi="Times New Roman"/>
          <w:b/>
          <w:bCs/>
          <w:sz w:val="18"/>
          <w:szCs w:val="18"/>
          <w:lang w:val="en-US"/>
        </w:rPr>
        <w:t>Journal/Periodicals</w:t>
      </w:r>
    </w:p>
    <w:p>
      <w:pPr>
        <w:pStyle w:val="Default"/>
        <w:jc w:val="both"/>
        <w:rPr>
          <w:rFonts w:cs="Times New Roman"/>
          <w:sz w:val="16"/>
          <w:szCs w:val="16"/>
        </w:rPr>
      </w:pPr>
      <w:r>
        <w:rPr>
          <w:rFonts w:cs="Times New Roman"/>
          <w:i/>
          <w:iCs/>
          <w:sz w:val="16"/>
          <w:szCs w:val="16"/>
        </w:rPr>
        <w:t xml:space="preserve">Basic Format: </w:t>
      </w:r>
    </w:p>
    <w:p>
      <w:pPr>
        <w:pStyle w:val="Normal"/>
        <w:jc w:val="both"/>
        <w:rPr>
          <w:color w:val="000000"/>
          <w:sz w:val="16"/>
          <w:szCs w:val="16"/>
        </w:rPr>
      </w:pPr>
      <w:r>
        <w:rPr>
          <w:color w:val="000000"/>
          <w:sz w:val="16"/>
          <w:szCs w:val="16"/>
        </w:rPr>
        <w:t xml:space="preserve">J. K. Author, “Title of paper,” </w:t>
      </w:r>
      <w:r>
        <w:rPr>
          <w:i/>
          <w:iCs/>
          <w:color w:val="000000"/>
          <w:sz w:val="16"/>
          <w:szCs w:val="16"/>
        </w:rPr>
        <w:t>Abbrev. Title of Journal/Periodical</w:t>
      </w:r>
      <w:r>
        <w:rPr>
          <w:color w:val="000000"/>
          <w:sz w:val="16"/>
          <w:szCs w:val="16"/>
        </w:rPr>
        <w:t xml:space="preserve">, vol. </w:t>
      </w:r>
      <w:r>
        <w:rPr>
          <w:i/>
          <w:iCs/>
          <w:color w:val="000000"/>
          <w:sz w:val="16"/>
          <w:szCs w:val="16"/>
        </w:rPr>
        <w:t xml:space="preserve">x, </w:t>
      </w:r>
      <w:r>
        <w:rPr>
          <w:color w:val="000000"/>
          <w:sz w:val="16"/>
          <w:szCs w:val="16"/>
        </w:rPr>
        <w:t xml:space="preserve">no. </w:t>
      </w:r>
      <w:r>
        <w:rPr>
          <w:i/>
          <w:iCs/>
          <w:color w:val="000000"/>
          <w:sz w:val="16"/>
          <w:szCs w:val="16"/>
        </w:rPr>
        <w:t xml:space="preserve">x, </w:t>
      </w:r>
      <w:r>
        <w:rPr>
          <w:color w:val="000000"/>
          <w:sz w:val="16"/>
          <w:szCs w:val="16"/>
        </w:rPr>
        <w:t>pp</w:t>
      </w:r>
      <w:r>
        <w:rPr>
          <w:i/>
          <w:iCs/>
          <w:color w:val="000000"/>
          <w:sz w:val="16"/>
          <w:szCs w:val="16"/>
        </w:rPr>
        <w:t xml:space="preserve">. xxx-xxx, </w:t>
      </w:r>
      <w:r>
        <w:rPr>
          <w:color w:val="000000"/>
          <w:sz w:val="16"/>
          <w:szCs w:val="16"/>
        </w:rPr>
        <w:t xml:space="preserve">Abbrev. Month, year, doi: </w:t>
      </w:r>
      <w:r>
        <w:rPr>
          <w:i/>
          <w:iCs/>
          <w:color w:val="000000"/>
          <w:sz w:val="16"/>
          <w:szCs w:val="16"/>
        </w:rPr>
        <w:t>xxx</w:t>
      </w:r>
      <w:r>
        <w:rPr>
          <w:color w:val="000000"/>
          <w:sz w:val="16"/>
          <w:szCs w:val="16"/>
        </w:rPr>
        <w:t xml:space="preserve">. </w:t>
      </w:r>
    </w:p>
    <w:p>
      <w:pPr>
        <w:pStyle w:val="Default"/>
        <w:jc w:val="both"/>
        <w:rPr>
          <w:rFonts w:cs="Times New Roman"/>
          <w:color w:val="212121"/>
          <w:sz w:val="16"/>
          <w:szCs w:val="16"/>
        </w:rPr>
      </w:pPr>
      <w:bookmarkStart w:id="28" w:name="_Hlk65223902"/>
      <w:r>
        <w:rPr>
          <w:rFonts w:cs="Times New Roman"/>
          <w:i/>
          <w:iCs/>
          <w:color w:val="212121"/>
          <w:sz w:val="16"/>
          <w:szCs w:val="16"/>
        </w:rPr>
        <w:t xml:space="preserve">Examples: </w:t>
      </w:r>
      <w:bookmarkEnd w:id="28"/>
    </w:p>
    <w:p>
      <w:pPr>
        <w:pStyle w:val="Default"/>
        <w:numPr>
          <w:ilvl w:val="0"/>
          <w:numId w:val="6"/>
        </w:numPr>
        <w:ind w:hanging="360" w:left="426"/>
        <w:jc w:val="both"/>
        <w:rPr>
          <w:rFonts w:cs="Times New Roman"/>
          <w:sz w:val="16"/>
          <w:szCs w:val="16"/>
        </w:rPr>
      </w:pPr>
      <w:r>
        <w:rPr>
          <w:rFonts w:cs="Times New Roman"/>
          <w:sz w:val="16"/>
          <w:szCs w:val="16"/>
        </w:rPr>
        <w:t xml:space="preserve">M. M. Chiampi and L. L. Zilberti, “Induction of electric field in human bodies moving near MRI: An efficient BEM computational procedure,” </w:t>
      </w:r>
      <w:r>
        <w:rPr>
          <w:rFonts w:cs="Times New Roman"/>
          <w:i/>
          <w:iCs/>
          <w:sz w:val="16"/>
          <w:szCs w:val="16"/>
        </w:rPr>
        <w:t>IEEE Trans. Biomed. Eng.</w:t>
      </w:r>
      <w:r>
        <w:rPr>
          <w:rFonts w:cs="Times New Roman"/>
          <w:sz w:val="16"/>
          <w:szCs w:val="16"/>
        </w:rPr>
        <w:t>, vol. 58, pp. 2787–2793, Oct. 2011, doi: 10.1109/TBME.2011.2158315.</w:t>
      </w:r>
    </w:p>
    <w:p>
      <w:pPr>
        <w:pStyle w:val="Default"/>
        <w:ind w:left="426"/>
        <w:jc w:val="both"/>
        <w:rPr>
          <w:rFonts w:cs="Times New Roman"/>
          <w:sz w:val="16"/>
          <w:szCs w:val="16"/>
        </w:rPr>
      </w:pPr>
      <w:r>
        <w:rPr>
          <w:rFonts w:cs="Times New Roman"/>
          <w:sz w:val="16"/>
          <w:szCs w:val="16"/>
        </w:rPr>
        <w:t xml:space="preserve"> </w:t>
      </w:r>
      <w:r>
        <w:rPr>
          <w:rFonts w:cs="Times New Roman"/>
          <w:sz w:val="16"/>
          <w:szCs w:val="16"/>
        </w:rPr>
        <w:t xml:space="preserve">R. Fardel, M. Nagel, F. Nuesch, T. Lippert, and A. Wokaun, “Fabrication of organic light emitting diode pixels by laser-assisted forward transfer,” </w:t>
      </w:r>
      <w:r>
        <w:rPr>
          <w:rFonts w:cs="Times New Roman"/>
          <w:i/>
          <w:iCs/>
          <w:sz w:val="16"/>
          <w:szCs w:val="16"/>
        </w:rPr>
        <w:t>Appl. Phys. Lett.</w:t>
      </w:r>
      <w:r>
        <w:rPr>
          <w:rFonts w:cs="Times New Roman"/>
          <w:sz w:val="16"/>
          <w:szCs w:val="16"/>
        </w:rPr>
        <w:t xml:space="preserve">, vol. 91, no. 6, Aug. 2007, Art. no. 061103, doi: 10.1063/1.2759475. </w:t>
      </w:r>
    </w:p>
    <w:p>
      <w:pPr>
        <w:pStyle w:val="Normal"/>
        <w:tabs>
          <w:tab w:val="clear" w:pos="720"/>
          <w:tab w:val="left" w:pos="2038" w:leader="none"/>
        </w:tabs>
        <w:jc w:val="both"/>
        <w:rPr>
          <w:color w:val="000000"/>
          <w:sz w:val="18"/>
          <w:szCs w:val="18"/>
        </w:rPr>
      </w:pPr>
      <w:r>
        <w:rPr>
          <w:color w:val="000000"/>
          <w:sz w:val="18"/>
          <w:szCs w:val="18"/>
        </w:rPr>
        <w:tab/>
      </w:r>
    </w:p>
    <w:p>
      <w:pPr>
        <w:pStyle w:val="Normal"/>
        <w:tabs>
          <w:tab w:val="clear" w:pos="720"/>
          <w:tab w:val="left" w:pos="2038" w:leader="none"/>
        </w:tabs>
        <w:jc w:val="both"/>
        <w:rPr>
          <w:color w:val="000000"/>
          <w:sz w:val="18"/>
          <w:szCs w:val="18"/>
        </w:rPr>
      </w:pPr>
      <w:r>
        <w:rPr>
          <w:color w:val="000000"/>
          <w:sz w:val="18"/>
          <w:szCs w:val="18"/>
        </w:rPr>
      </w:r>
    </w:p>
    <w:p>
      <w:pPr>
        <w:pStyle w:val="ListParagraph"/>
        <w:numPr>
          <w:ilvl w:val="0"/>
          <w:numId w:val="5"/>
        </w:numPr>
        <w:spacing w:lineRule="auto" w:line="240" w:before="0" w:after="0"/>
        <w:ind w:hanging="426" w:left="426"/>
        <w:contextualSpacing/>
        <w:jc w:val="both"/>
        <w:rPr>
          <w:rFonts w:ascii="Times New Roman" w:hAnsi="Times New Roman"/>
          <w:color w:val="000000"/>
          <w:sz w:val="18"/>
          <w:szCs w:val="18"/>
          <w:lang w:val="en-US"/>
        </w:rPr>
      </w:pPr>
      <w:r>
        <w:rPr>
          <w:rFonts w:ascii="Times New Roman" w:hAnsi="Times New Roman"/>
          <w:b/>
          <w:bCs/>
          <w:sz w:val="18"/>
          <w:szCs w:val="18"/>
          <w:lang w:val="en-US"/>
        </w:rPr>
        <w:t xml:space="preserve">Conference Proceedings </w:t>
      </w:r>
    </w:p>
    <w:p>
      <w:pPr>
        <w:pStyle w:val="Default"/>
        <w:jc w:val="both"/>
        <w:rPr>
          <w:rFonts w:cs="Times New Roman"/>
          <w:sz w:val="16"/>
          <w:szCs w:val="16"/>
        </w:rPr>
      </w:pPr>
      <w:r>
        <w:rPr>
          <w:rFonts w:cs="Times New Roman"/>
          <w:i/>
          <w:iCs/>
          <w:sz w:val="16"/>
          <w:szCs w:val="16"/>
        </w:rPr>
        <w:t xml:space="preserve">Basic Format: </w:t>
      </w:r>
    </w:p>
    <w:p>
      <w:pPr>
        <w:pStyle w:val="Normal"/>
        <w:jc w:val="both"/>
        <w:rPr>
          <w:color w:val="000000"/>
          <w:spacing w:val="-2"/>
          <w:sz w:val="16"/>
          <w:szCs w:val="16"/>
        </w:rPr>
      </w:pPr>
      <w:r>
        <w:rPr>
          <w:color w:val="000000"/>
          <w:spacing w:val="-2"/>
          <w:sz w:val="16"/>
          <w:szCs w:val="16"/>
        </w:rPr>
        <w:t xml:space="preserve">J. K. Author, “Title of paper,” in </w:t>
      </w:r>
      <w:r>
        <w:rPr>
          <w:i/>
          <w:iCs/>
          <w:color w:val="000000"/>
          <w:spacing w:val="-2"/>
          <w:sz w:val="16"/>
          <w:szCs w:val="16"/>
        </w:rPr>
        <w:t>Abbreviated Name of Conf.</w:t>
      </w:r>
      <w:r>
        <w:rPr>
          <w:color w:val="000000"/>
          <w:spacing w:val="-2"/>
          <w:sz w:val="16"/>
          <w:szCs w:val="16"/>
        </w:rPr>
        <w:t xml:space="preserve">, (location of conference is optional), year, pp. </w:t>
      </w:r>
      <w:r>
        <w:rPr>
          <w:i/>
          <w:iCs/>
          <w:color w:val="000000"/>
          <w:spacing w:val="-2"/>
          <w:sz w:val="16"/>
          <w:szCs w:val="16"/>
        </w:rPr>
        <w:t>xxx–xxx</w:t>
      </w:r>
      <w:r>
        <w:rPr>
          <w:color w:val="000000"/>
          <w:spacing w:val="-2"/>
          <w:sz w:val="16"/>
          <w:szCs w:val="16"/>
        </w:rPr>
        <w:t xml:space="preserve">, doi: </w:t>
      </w:r>
      <w:r>
        <w:rPr>
          <w:i/>
          <w:iCs/>
          <w:color w:val="000000"/>
          <w:spacing w:val="-2"/>
          <w:sz w:val="16"/>
          <w:szCs w:val="16"/>
        </w:rPr>
        <w:t xml:space="preserve">xxx. </w:t>
      </w:r>
    </w:p>
    <w:p>
      <w:pPr>
        <w:pStyle w:val="Default"/>
        <w:jc w:val="both"/>
        <w:rPr>
          <w:rFonts w:cs="Times New Roman"/>
          <w:i/>
          <w:i/>
          <w:iCs/>
          <w:sz w:val="16"/>
          <w:szCs w:val="16"/>
        </w:rPr>
      </w:pPr>
      <w:r>
        <w:rPr>
          <w:rFonts w:cs="Times New Roman"/>
          <w:i/>
          <w:iCs/>
          <w:sz w:val="16"/>
          <w:szCs w:val="16"/>
        </w:rPr>
        <w:t xml:space="preserve">Examples: </w:t>
      </w:r>
    </w:p>
    <w:p>
      <w:pPr>
        <w:pStyle w:val="Default"/>
        <w:numPr>
          <w:ilvl w:val="0"/>
          <w:numId w:val="6"/>
        </w:numPr>
        <w:ind w:hanging="360" w:left="426"/>
        <w:jc w:val="both"/>
        <w:rPr>
          <w:rFonts w:cs="Times New Roman"/>
          <w:sz w:val="16"/>
          <w:szCs w:val="16"/>
        </w:rPr>
      </w:pPr>
      <w:r>
        <w:rPr>
          <w:rFonts w:cs="Times New Roman"/>
          <w:sz w:val="16"/>
          <w:szCs w:val="16"/>
        </w:rPr>
        <w:t xml:space="preserve">G. Veruggio, “The EURON roboethics roadmap,” in </w:t>
      </w:r>
      <w:r>
        <w:rPr>
          <w:rFonts w:cs="Times New Roman"/>
          <w:i/>
          <w:iCs/>
          <w:sz w:val="16"/>
          <w:szCs w:val="16"/>
        </w:rPr>
        <w:t>Proc. Humanoids ’06: 6th IEEE-RAS Int. Conf. Humanoid Robots</w:t>
      </w:r>
      <w:r>
        <w:rPr>
          <w:rFonts w:cs="Times New Roman"/>
          <w:sz w:val="16"/>
          <w:szCs w:val="16"/>
        </w:rPr>
        <w:t xml:space="preserve">, 2006, pp. 612–617, doi: 10.1109/ICHR.2006.321337. </w:t>
      </w:r>
    </w:p>
    <w:p>
      <w:pPr>
        <w:pStyle w:val="Default"/>
        <w:numPr>
          <w:ilvl w:val="0"/>
          <w:numId w:val="6"/>
        </w:numPr>
        <w:ind w:hanging="360" w:left="426"/>
        <w:jc w:val="both"/>
        <w:rPr>
          <w:rFonts w:cs="Times New Roman"/>
          <w:sz w:val="16"/>
          <w:szCs w:val="16"/>
        </w:rPr>
      </w:pPr>
      <w:r>
        <w:rPr>
          <w:rFonts w:cs="Times New Roman"/>
          <w:sz w:val="16"/>
          <w:szCs w:val="16"/>
        </w:rPr>
        <w:t xml:space="preserve">J. Zhao, G. Sun, G. H. Loh, and Y. Xie, “Energy-efficient GPU design with reconfigurable in-package graphics memory,” in </w:t>
      </w:r>
      <w:r>
        <w:rPr>
          <w:rFonts w:cs="Times New Roman"/>
          <w:i/>
          <w:iCs/>
          <w:sz w:val="16"/>
          <w:szCs w:val="16"/>
        </w:rPr>
        <w:t>Proc. ACM/IEEE Int. Symp. Low Power Electron. Design (ISLPED)</w:t>
      </w:r>
      <w:r>
        <w:rPr>
          <w:rFonts w:cs="Times New Roman"/>
          <w:sz w:val="16"/>
          <w:szCs w:val="16"/>
        </w:rPr>
        <w:t xml:space="preserve">, Jul. 2012, pp. 403–408, doi: 10.1145/2333660.2333752. </w:t>
      </w:r>
    </w:p>
    <w:p>
      <w:pPr>
        <w:pStyle w:val="Normal"/>
        <w:jc w:val="both"/>
        <w:rPr>
          <w:b/>
          <w:bCs/>
        </w:rPr>
      </w:pPr>
      <w:r>
        <w:rPr>
          <w:b/>
          <w:bCs/>
        </w:rPr>
      </w:r>
    </w:p>
    <w:p>
      <w:pPr>
        <w:pStyle w:val="ListParagraph"/>
        <w:numPr>
          <w:ilvl w:val="0"/>
          <w:numId w:val="5"/>
        </w:numPr>
        <w:spacing w:lineRule="auto" w:line="240" w:before="0" w:after="0"/>
        <w:ind w:hanging="426" w:left="426"/>
        <w:contextualSpacing/>
        <w:jc w:val="both"/>
        <w:rPr>
          <w:rFonts w:ascii="Times New Roman" w:hAnsi="Times New Roman"/>
          <w:b/>
          <w:bCs/>
          <w:sz w:val="18"/>
          <w:szCs w:val="18"/>
          <w:lang w:val="en-US"/>
        </w:rPr>
      </w:pPr>
      <w:r>
        <w:rPr>
          <w:rFonts w:ascii="Times New Roman" w:hAnsi="Times New Roman"/>
          <w:b/>
          <w:bCs/>
          <w:sz w:val="18"/>
          <w:szCs w:val="18"/>
          <w:lang w:val="en-US"/>
        </w:rPr>
        <w:t>Book</w:t>
      </w:r>
    </w:p>
    <w:p>
      <w:pPr>
        <w:pStyle w:val="Default"/>
        <w:jc w:val="both"/>
        <w:rPr>
          <w:rFonts w:cs="Times New Roman"/>
          <w:i/>
          <w:i/>
          <w:iCs/>
          <w:sz w:val="16"/>
          <w:szCs w:val="16"/>
        </w:rPr>
      </w:pPr>
      <w:r>
        <w:rPr>
          <w:rFonts w:cs="Times New Roman"/>
          <w:i/>
          <w:iCs/>
          <w:sz w:val="16"/>
          <w:szCs w:val="16"/>
        </w:rPr>
        <w:t xml:space="preserve">Basic Format: </w:t>
      </w:r>
    </w:p>
    <w:p>
      <w:pPr>
        <w:pStyle w:val="Normal"/>
        <w:jc w:val="both"/>
        <w:rPr>
          <w:color w:val="000000"/>
          <w:sz w:val="16"/>
          <w:szCs w:val="16"/>
        </w:rPr>
      </w:pPr>
      <w:r>
        <w:rPr>
          <w:color w:val="000000"/>
          <w:sz w:val="16"/>
          <w:szCs w:val="16"/>
        </w:rPr>
        <w:t xml:space="preserve">J. K. Author, “Title of chapter in the book,” in </w:t>
      </w:r>
      <w:r>
        <w:rPr>
          <w:i/>
          <w:iCs/>
          <w:color w:val="000000"/>
          <w:sz w:val="16"/>
          <w:szCs w:val="16"/>
        </w:rPr>
        <w:t>Title of His Published Book</w:t>
      </w:r>
      <w:r>
        <w:rPr>
          <w:color w:val="000000"/>
          <w:sz w:val="16"/>
          <w:szCs w:val="16"/>
        </w:rPr>
        <w:t xml:space="preserve">, X. Editor, Ed., </w:t>
      </w:r>
      <w:r>
        <w:rPr>
          <w:i/>
          <w:iCs/>
          <w:color w:val="000000"/>
          <w:sz w:val="16"/>
          <w:szCs w:val="16"/>
        </w:rPr>
        <w:t>x</w:t>
      </w:r>
      <w:r>
        <w:rPr>
          <w:color w:val="000000"/>
          <w:sz w:val="16"/>
          <w:szCs w:val="16"/>
        </w:rPr>
        <w:t xml:space="preserve">th ed. City of Publisher, State (only U.S.), Country: Abbrev. of Publisher, year, ch. </w:t>
      </w:r>
      <w:r>
        <w:rPr>
          <w:i/>
          <w:iCs/>
          <w:color w:val="000000"/>
          <w:sz w:val="16"/>
          <w:szCs w:val="16"/>
        </w:rPr>
        <w:t>x</w:t>
      </w:r>
      <w:r>
        <w:rPr>
          <w:color w:val="000000"/>
          <w:sz w:val="16"/>
          <w:szCs w:val="16"/>
        </w:rPr>
        <w:t xml:space="preserve">, sec. </w:t>
      </w:r>
      <w:r>
        <w:rPr>
          <w:i/>
          <w:iCs/>
          <w:color w:val="000000"/>
          <w:sz w:val="16"/>
          <w:szCs w:val="16"/>
        </w:rPr>
        <w:t>x</w:t>
      </w:r>
      <w:r>
        <w:rPr>
          <w:color w:val="000000"/>
          <w:sz w:val="16"/>
          <w:szCs w:val="16"/>
        </w:rPr>
        <w:t xml:space="preserve">, pp. </w:t>
      </w:r>
      <w:r>
        <w:rPr>
          <w:i/>
          <w:iCs/>
          <w:color w:val="000000"/>
          <w:sz w:val="16"/>
          <w:szCs w:val="16"/>
        </w:rPr>
        <w:t xml:space="preserve">xxx–xxx. </w:t>
      </w:r>
    </w:p>
    <w:p>
      <w:pPr>
        <w:pStyle w:val="Normal"/>
        <w:jc w:val="both"/>
        <w:rPr>
          <w:i/>
          <w:i/>
          <w:iCs/>
          <w:sz w:val="16"/>
          <w:szCs w:val="16"/>
        </w:rPr>
      </w:pPr>
      <w:r>
        <w:rPr>
          <w:i/>
          <w:iCs/>
          <w:sz w:val="16"/>
          <w:szCs w:val="16"/>
        </w:rPr>
        <w:t>Examples:</w:t>
      </w:r>
    </w:p>
    <w:p>
      <w:pPr>
        <w:pStyle w:val="Default"/>
        <w:numPr>
          <w:ilvl w:val="0"/>
          <w:numId w:val="6"/>
        </w:numPr>
        <w:ind w:hanging="360" w:left="426"/>
        <w:jc w:val="both"/>
        <w:rPr>
          <w:rFonts w:cs="Times New Roman"/>
          <w:sz w:val="16"/>
          <w:szCs w:val="16"/>
        </w:rPr>
      </w:pPr>
      <w:r>
        <w:rPr>
          <w:rFonts w:cs="Times New Roman"/>
          <w:sz w:val="16"/>
          <w:szCs w:val="16"/>
        </w:rPr>
        <w:t xml:space="preserve">A. Taflove, </w:t>
      </w:r>
      <w:r>
        <w:rPr>
          <w:rFonts w:cs="Times New Roman"/>
          <w:i/>
          <w:iCs/>
          <w:sz w:val="16"/>
          <w:szCs w:val="16"/>
        </w:rPr>
        <w:t xml:space="preserve">Computational Electrodynamics: The Finite-Difference Time-Domain Method </w:t>
      </w:r>
      <w:r>
        <w:rPr>
          <w:rFonts w:cs="Times New Roman"/>
          <w:sz w:val="16"/>
          <w:szCs w:val="16"/>
        </w:rPr>
        <w:t xml:space="preserve">in Computational Electrodynamics II, vol. 3, 2nd ed. Norwood, MA, USA: Artech House, 1996. </w:t>
      </w:r>
    </w:p>
    <w:p>
      <w:pPr>
        <w:pStyle w:val="Default"/>
        <w:numPr>
          <w:ilvl w:val="0"/>
          <w:numId w:val="6"/>
        </w:numPr>
        <w:ind w:hanging="360" w:left="426"/>
        <w:jc w:val="both"/>
        <w:rPr>
          <w:rFonts w:cs="Times New Roman"/>
          <w:sz w:val="16"/>
          <w:szCs w:val="16"/>
        </w:rPr>
      </w:pPr>
      <w:r>
        <w:rPr>
          <w:rFonts w:cs="Times New Roman"/>
          <w:sz w:val="16"/>
          <w:szCs w:val="16"/>
        </w:rPr>
        <w:t xml:space="preserve">R. L. Myer, “Parametric oscillators and nonlinear materials,” in </w:t>
      </w:r>
      <w:r>
        <w:rPr>
          <w:rFonts w:cs="Times New Roman"/>
          <w:i/>
          <w:iCs/>
          <w:sz w:val="16"/>
          <w:szCs w:val="16"/>
        </w:rPr>
        <w:t>Nonlinear Optics</w:t>
      </w:r>
      <w:r>
        <w:rPr>
          <w:rFonts w:cs="Times New Roman"/>
          <w:sz w:val="16"/>
          <w:szCs w:val="16"/>
        </w:rPr>
        <w:t xml:space="preserve">, vol. 4, P. G. Harper and B. S. Wherret, Eds., San Francisco, CA, USA: Academic, 1977, pp. 47–160. </w:t>
      </w:r>
    </w:p>
    <w:p>
      <w:pPr>
        <w:pStyle w:val="Normal"/>
        <w:jc w:val="both"/>
        <w:rPr>
          <w:color w:val="000000"/>
        </w:rPr>
      </w:pPr>
      <w:r>
        <w:rPr>
          <w:color w:val="000000"/>
        </w:rPr>
      </w:r>
    </w:p>
    <w:p>
      <w:pPr>
        <w:pStyle w:val="ListParagraph"/>
        <w:numPr>
          <w:ilvl w:val="0"/>
          <w:numId w:val="5"/>
        </w:numPr>
        <w:spacing w:lineRule="auto" w:line="240" w:before="0" w:after="0"/>
        <w:ind w:hanging="426" w:left="426"/>
        <w:contextualSpacing/>
        <w:jc w:val="both"/>
        <w:rPr>
          <w:rFonts w:ascii="Times New Roman" w:hAnsi="Times New Roman"/>
          <w:b/>
          <w:bCs/>
          <w:sz w:val="18"/>
          <w:szCs w:val="18"/>
          <w:lang w:val="en-US"/>
        </w:rPr>
      </w:pPr>
      <w:r>
        <w:rPr>
          <w:rFonts w:ascii="Times New Roman" w:hAnsi="Times New Roman"/>
          <w:b/>
          <w:bCs/>
          <w:sz w:val="18"/>
          <w:szCs w:val="18"/>
          <w:lang w:val="en-US"/>
        </w:rPr>
        <w:t xml:space="preserve">M. Theses (B.S., M.S.) and Dissertations (Ph.D.) </w:t>
      </w:r>
    </w:p>
    <w:p>
      <w:pPr>
        <w:pStyle w:val="Default"/>
        <w:jc w:val="both"/>
        <w:rPr>
          <w:rFonts w:cs="Times New Roman"/>
          <w:sz w:val="16"/>
          <w:szCs w:val="16"/>
        </w:rPr>
      </w:pPr>
      <w:r>
        <w:rPr>
          <w:rFonts w:cs="Times New Roman"/>
          <w:i/>
          <w:iCs/>
          <w:sz w:val="16"/>
          <w:szCs w:val="16"/>
        </w:rPr>
        <w:t xml:space="preserve">Basic Format: </w:t>
      </w:r>
    </w:p>
    <w:p>
      <w:pPr>
        <w:pStyle w:val="Default"/>
        <w:jc w:val="both"/>
        <w:rPr>
          <w:rFonts w:cs="Times New Roman"/>
          <w:sz w:val="16"/>
          <w:szCs w:val="16"/>
        </w:rPr>
      </w:pPr>
      <w:r>
        <w:rPr>
          <w:rFonts w:cs="Times New Roman"/>
          <w:sz w:val="16"/>
          <w:szCs w:val="16"/>
        </w:rPr>
        <w:t xml:space="preserve">J. K. Author, “Title of thesis,” M.S. thesis, Abbrev. Dept., Abbrev. Univ., City of Univ., Abbrev. State, year. </w:t>
      </w:r>
    </w:p>
    <w:p>
      <w:pPr>
        <w:pStyle w:val="Default"/>
        <w:jc w:val="both"/>
        <w:rPr>
          <w:rFonts w:cs="Times New Roman"/>
          <w:sz w:val="16"/>
          <w:szCs w:val="16"/>
        </w:rPr>
      </w:pPr>
      <w:r>
        <w:rPr>
          <w:rFonts w:cs="Times New Roman"/>
          <w:sz w:val="16"/>
          <w:szCs w:val="16"/>
        </w:rPr>
        <w:t xml:space="preserve">J. K. Author, “Title of dissertation,” Ph.D. dissertation, Abbrev. Dept., Abbrev. Univ., City of Univ., Abbrev. State, year. </w:t>
      </w:r>
    </w:p>
    <w:p>
      <w:pPr>
        <w:pStyle w:val="Default"/>
        <w:jc w:val="both"/>
        <w:rPr>
          <w:rFonts w:cs="Times New Roman"/>
          <w:sz w:val="16"/>
          <w:szCs w:val="16"/>
        </w:rPr>
      </w:pPr>
      <w:r>
        <w:rPr>
          <w:rFonts w:cs="Times New Roman"/>
          <w:i/>
          <w:iCs/>
          <w:sz w:val="16"/>
          <w:szCs w:val="16"/>
        </w:rPr>
        <w:t xml:space="preserve">Examples: </w:t>
      </w:r>
    </w:p>
    <w:p>
      <w:pPr>
        <w:pStyle w:val="Default"/>
        <w:numPr>
          <w:ilvl w:val="0"/>
          <w:numId w:val="6"/>
        </w:numPr>
        <w:ind w:hanging="360" w:left="426"/>
        <w:jc w:val="both"/>
        <w:rPr>
          <w:rFonts w:cs="Times New Roman"/>
          <w:sz w:val="16"/>
          <w:szCs w:val="16"/>
        </w:rPr>
      </w:pPr>
      <w:r>
        <w:rPr>
          <w:rFonts w:cs="Times New Roman"/>
          <w:sz w:val="16"/>
          <w:szCs w:val="16"/>
        </w:rPr>
        <w:t xml:space="preserve">J. O. Williams, “Narrow-band analyzer,” Ph.D. dissertation, Dept. Elect. Eng., Harvard Univ., Cambridge, MA, USA, 1993. </w:t>
      </w:r>
    </w:p>
    <w:p>
      <w:pPr>
        <w:pStyle w:val="Default"/>
        <w:numPr>
          <w:ilvl w:val="0"/>
          <w:numId w:val="6"/>
        </w:numPr>
        <w:ind w:hanging="360" w:left="426"/>
        <w:jc w:val="both"/>
        <w:rPr>
          <w:rFonts w:cs="Times New Roman"/>
          <w:sz w:val="16"/>
          <w:szCs w:val="16"/>
        </w:rPr>
      </w:pPr>
      <w:r>
        <w:rPr>
          <w:rFonts w:cs="Times New Roman"/>
          <w:sz w:val="16"/>
          <w:szCs w:val="16"/>
        </w:rPr>
        <w:t xml:space="preserve">N. Kawasaki, “Parametric study of thermal and chemical nonequilibrium nozzle flow,” M.S. thesis, Dept. Electron. Eng., Osaka Univ., Osaka, Japan, 1993. </w:t>
      </w:r>
    </w:p>
    <w:p>
      <w:pPr>
        <w:pStyle w:val="Default"/>
        <w:rPr>
          <w:rFonts w:cs="Times New Roman"/>
          <w:sz w:val="20"/>
          <w:szCs w:val="20"/>
        </w:rPr>
      </w:pPr>
      <w:r>
        <w:rPr>
          <w:rFonts w:cs="Times New Roman"/>
          <w:sz w:val="20"/>
          <w:szCs w:val="20"/>
        </w:rPr>
      </w:r>
    </w:p>
    <w:p>
      <w:pPr>
        <w:pStyle w:val="Normal"/>
        <w:rPr>
          <w:color w:val="000000"/>
          <w:sz w:val="16"/>
          <w:szCs w:val="16"/>
        </w:rPr>
      </w:pPr>
      <w:r>
        <w:rPr>
          <w:color w:val="000000"/>
          <w:sz w:val="16"/>
          <w:szCs w:val="16"/>
        </w:rPr>
        <w:t xml:space="preserve">*In the reference list, however, list all the authors for up to six authors. Use </w:t>
      </w:r>
      <w:r>
        <w:rPr>
          <w:i/>
          <w:iCs/>
          <w:color w:val="000000"/>
          <w:sz w:val="16"/>
          <w:szCs w:val="16"/>
        </w:rPr>
        <w:t>et al.</w:t>
      </w:r>
      <w:r>
        <w:rPr>
          <w:color w:val="000000"/>
          <w:sz w:val="16"/>
          <w:szCs w:val="16"/>
        </w:rPr>
        <w:t xml:space="preserve"> only if: 1) The names are not given and 2) List of authors more than 6. </w:t>
      </w:r>
      <w:r>
        <w:rPr>
          <w:i/>
          <w:iCs/>
          <w:color w:val="000000"/>
          <w:sz w:val="16"/>
          <w:szCs w:val="16"/>
        </w:rPr>
        <w:t>Example</w:t>
      </w:r>
      <w:r>
        <w:rPr>
          <w:color w:val="000000"/>
          <w:sz w:val="16"/>
          <w:szCs w:val="16"/>
        </w:rPr>
        <w:t xml:space="preserve">: J. D. Bellamy </w:t>
      </w:r>
      <w:r>
        <w:rPr>
          <w:i/>
          <w:iCs/>
          <w:color w:val="000000"/>
          <w:sz w:val="16"/>
          <w:szCs w:val="16"/>
        </w:rPr>
        <w:t>et al.</w:t>
      </w:r>
      <w:r>
        <w:rPr>
          <w:color w:val="000000"/>
          <w:sz w:val="16"/>
          <w:szCs w:val="16"/>
        </w:rPr>
        <w:t>, Computer Telephony Integration, New York: Wiley, 2010.</w:t>
      </w:r>
      <w:bookmarkEnd w:id="22"/>
      <w:bookmarkEnd w:id="25"/>
      <w:bookmarkEnd w:id="27"/>
    </w:p>
    <w:p>
      <w:pPr>
        <w:pStyle w:val="Normal"/>
        <w:jc w:val="both"/>
        <w:rPr>
          <w:color w:val="000000"/>
        </w:rPr>
      </w:pPr>
      <w:r>
        <w:rPr>
          <w:color w:val="000000"/>
        </w:rPr>
      </w:r>
    </w:p>
    <w:p>
      <w:pPr>
        <w:pStyle w:val="Normal"/>
        <w:jc w:val="both"/>
        <w:rPr>
          <w:i/>
          <w:i/>
          <w:iCs/>
          <w:color w:val="000000"/>
          <w:sz w:val="16"/>
          <w:szCs w:val="16"/>
        </w:rPr>
      </w:pPr>
      <w:r>
        <w:rPr>
          <w:i/>
          <w:iCs/>
          <w:color w:val="000000"/>
          <w:sz w:val="16"/>
          <w:szCs w:val="16"/>
        </w:rPr>
        <w:t>See the examples:</w:t>
      </w:r>
    </w:p>
    <w:p>
      <w:pPr>
        <w:pStyle w:val="Normal"/>
        <w:jc w:val="both"/>
        <w:rPr>
          <w:i/>
          <w:i/>
          <w:iCs/>
          <w:color w:val="000000"/>
          <w:sz w:val="18"/>
          <w:szCs w:val="18"/>
        </w:rPr>
      </w:pPr>
      <w:bookmarkStart w:id="29" w:name="_Hlk78354977"/>
      <w:r>
        <w:rPr>
          <w:rStyle w:val="apple-style-span"/>
          <w:b/>
          <w:color w:val="000000"/>
        </w:rPr>
        <w:t>REFERENCES</w:t>
      </w:r>
      <w:bookmarkEnd w:id="29"/>
    </w:p>
    <w:p>
      <w:pPr>
        <w:pStyle w:val="Normal"/>
        <w:jc w:val="both"/>
        <w:rPr>
          <w:i/>
          <w:i/>
          <w:iCs/>
          <w:color w:val="000000"/>
          <w:sz w:val="18"/>
          <w:szCs w:val="18"/>
        </w:rPr>
      </w:pPr>
      <w:r>
        <w:rPr>
          <w:i/>
          <w:iCs/>
          <w:color w:val="000000"/>
          <w:sz w:val="18"/>
          <w:szCs w:val="18"/>
        </w:rPr>
      </w:r>
    </w:p>
    <w:p>
      <w:pPr>
        <w:pStyle w:val="Normal"/>
        <w:jc w:val="both"/>
        <w:rPr/>
      </w:pPr>
      <w:r>
        <w:rPr>
          <w:rStyle w:val="apple-style-span"/>
          <w:b w:val="false"/>
          <w:bCs w:val="false"/>
          <w:color w:val="000000"/>
          <w:sz w:val="16"/>
          <w:szCs w:val="16"/>
        </w:rPr>
        <w:t>[1]     R. A. Pratama y S. H. K. Purnamasari, "Adoption, diffusion, and innovation of IoT in Indonesian concrete manufacturing</w:t>
      </w:r>
    </w:p>
    <w:p>
      <w:pPr>
        <w:pStyle w:val="Normal"/>
        <w:jc w:val="both"/>
        <w:rPr/>
      </w:pPr>
      <w:r>
        <w:rPr>
          <w:rStyle w:val="apple-style-span"/>
          <w:b w:val="false"/>
          <w:bCs w:val="false"/>
          <w:color w:val="000000"/>
          <w:sz w:val="16"/>
          <w:szCs w:val="16"/>
        </w:rPr>
        <w:t xml:space="preserve">          </w:t>
      </w:r>
      <w:r>
        <w:rPr>
          <w:rStyle w:val="apple-style-span"/>
          <w:b w:val="false"/>
          <w:bCs w:val="false"/>
          <w:color w:val="000000"/>
          <w:sz w:val="16"/>
          <w:szCs w:val="16"/>
        </w:rPr>
        <w:t xml:space="preserve">Industry," </w:t>
      </w:r>
      <w:r>
        <w:rPr>
          <w:rStyle w:val="apple-style-span"/>
          <w:b w:val="false"/>
          <w:bCs w:val="false"/>
          <w:i/>
          <w:color w:val="000000"/>
          <w:sz w:val="16"/>
          <w:szCs w:val="16"/>
        </w:rPr>
        <w:t>Multidisciplinary Science Journal</w:t>
      </w:r>
      <w:r>
        <w:rPr>
          <w:rStyle w:val="apple-style-span"/>
          <w:b w:val="false"/>
          <w:bCs w:val="false"/>
          <w:color w:val="000000"/>
          <w:sz w:val="16"/>
          <w:szCs w:val="16"/>
        </w:rPr>
        <w:t>, vol. 5, no. 3, pp. 200-215, 2025. doi: 10.31893/multiscience.2026203.</w:t>
      </w:r>
    </w:p>
    <w:p>
      <w:pPr>
        <w:pStyle w:val="Normal"/>
        <w:jc w:val="both"/>
        <w:rPr>
          <w:i/>
          <w:i/>
          <w:iCs/>
          <w:color w:val="000000"/>
          <w:sz w:val="18"/>
          <w:szCs w:val="18"/>
        </w:rPr>
      </w:pPr>
      <w:r>
        <w:rPr>
          <w:i/>
          <w:iCs/>
          <w:color w:val="000000"/>
          <w:sz w:val="18"/>
          <w:szCs w:val="18"/>
        </w:rPr>
      </w:r>
    </w:p>
    <w:p>
      <w:pPr>
        <w:pStyle w:val="Normal"/>
        <w:widowControl w:val="false"/>
        <w:ind w:hanging="426" w:left="426"/>
        <w:jc w:val="both"/>
        <w:rPr>
          <w:sz w:val="16"/>
          <w:szCs w:val="16"/>
        </w:rPr>
      </w:pPr>
      <w:r>
        <w:fldChar w:fldCharType="begin"/>
      </w:r>
      <w:r>
        <w:rPr>
          <w:sz w:val="18"/>
          <w:szCs w:val="18"/>
          <w:color w:val="000000"/>
        </w:rPr>
        <w:instrText xml:space="preserve">ADDIN Mendeley Bibliography CSL_BIBLIOGRAPHY</w:instrText>
      </w:r>
      <w:r>
        <w:rPr>
          <w:color w:val="000000"/>
          <w:sz w:val="18"/>
          <w:szCs w:val="18"/>
        </w:rPr>
      </w:r>
      <w:r>
        <w:rPr>
          <w:sz w:val="18"/>
          <w:szCs w:val="18"/>
          <w:color w:val="000000"/>
        </w:rPr>
        <w:fldChar w:fldCharType="separate"/>
      </w:r>
      <w:r>
        <w:rPr>
          <w:color w:val="000000"/>
          <w:sz w:val="18"/>
          <w:szCs w:val="18"/>
        </w:rPr>
      </w:r>
      <w:r>
        <w:rPr>
          <w:sz w:val="16"/>
          <w:szCs w:val="22"/>
        </w:rPr>
        <w:t>[1]</w:t>
        <w:tab/>
      </w:r>
      <w:r>
        <w:rPr>
          <w:sz w:val="16"/>
          <w:szCs w:val="16"/>
        </w:rPr>
        <w:t xml:space="preserve">M. Sigala, A. Beer, L. Hodgson, and A. O’Connor, </w:t>
      </w:r>
      <w:r>
        <w:rPr>
          <w:i/>
          <w:iCs/>
          <w:sz w:val="16"/>
          <w:szCs w:val="16"/>
        </w:rPr>
        <w:t>Big Data for Measuring the Impact of Tourism Economic Development Programmes: A Process and Quality Criteria Framework for Using Big Data</w:t>
      </w:r>
      <w:r>
        <w:rPr>
          <w:sz w:val="16"/>
          <w:szCs w:val="16"/>
        </w:rPr>
        <w:t>. 2019.</w:t>
      </w:r>
    </w:p>
    <w:p>
      <w:pPr>
        <w:pStyle w:val="Normal"/>
        <w:widowControl w:val="false"/>
        <w:ind w:hanging="426" w:left="426"/>
        <w:jc w:val="both"/>
        <w:rPr>
          <w:sz w:val="16"/>
          <w:szCs w:val="16"/>
        </w:rPr>
      </w:pPr>
      <w:r>
        <w:rPr>
          <w:sz w:val="16"/>
          <w:szCs w:val="16"/>
        </w:rPr>
        <w:t>[2]</w:t>
        <w:tab/>
        <w:t xml:space="preserve">G. Nguyen </w:t>
      </w:r>
      <w:r>
        <w:rPr>
          <w:i/>
          <w:iCs/>
          <w:sz w:val="16"/>
          <w:szCs w:val="16"/>
        </w:rPr>
        <w:t>et al.</w:t>
      </w:r>
      <w:r>
        <w:rPr>
          <w:sz w:val="16"/>
          <w:szCs w:val="16"/>
        </w:rPr>
        <w:t xml:space="preserve">, “Machine Learning and Deep Learning frameworks and libraries for large-scale data mining: a survey,” </w:t>
      </w:r>
      <w:r>
        <w:rPr>
          <w:i/>
          <w:iCs/>
          <w:sz w:val="16"/>
          <w:szCs w:val="16"/>
        </w:rPr>
        <w:t>Artif. Intell. Rev.</w:t>
      </w:r>
      <w:r>
        <w:rPr>
          <w:sz w:val="16"/>
          <w:szCs w:val="16"/>
        </w:rPr>
        <w:t>, vol. 52, no. 1, pp. 77–124, 2019, doi: 10.1007/s10462-018-09679-z.</w:t>
      </w:r>
    </w:p>
    <w:p>
      <w:pPr>
        <w:pStyle w:val="Normal"/>
        <w:widowControl w:val="false"/>
        <w:ind w:hanging="426" w:left="426"/>
        <w:jc w:val="both"/>
        <w:rPr>
          <w:sz w:val="16"/>
          <w:szCs w:val="16"/>
        </w:rPr>
      </w:pPr>
      <w:r>
        <w:rPr>
          <w:sz w:val="16"/>
          <w:szCs w:val="16"/>
        </w:rPr>
        <w:t>[3]</w:t>
        <w:tab/>
        <w:t xml:space="preserve">C. Shorten and T. M. Khoshgoftaar, “A survey on Image Data Augmentation for Deep Learning,” </w:t>
      </w:r>
      <w:r>
        <w:rPr>
          <w:i/>
          <w:iCs/>
          <w:sz w:val="16"/>
          <w:szCs w:val="16"/>
        </w:rPr>
        <w:t>J. Big Data</w:t>
      </w:r>
      <w:r>
        <w:rPr>
          <w:sz w:val="16"/>
          <w:szCs w:val="16"/>
        </w:rPr>
        <w:t>, vol. 6, no. 1, 2019, doi: 10.1186/s40537-019-0197-0.</w:t>
      </w:r>
    </w:p>
    <w:p>
      <w:pPr>
        <w:pStyle w:val="Normal"/>
        <w:widowControl w:val="false"/>
        <w:ind w:hanging="426" w:left="426"/>
        <w:jc w:val="both"/>
        <w:rPr>
          <w:sz w:val="16"/>
          <w:szCs w:val="16"/>
        </w:rPr>
      </w:pPr>
      <w:r>
        <w:rPr>
          <w:sz w:val="16"/>
          <w:szCs w:val="16"/>
        </w:rPr>
        <w:t>[4]</w:t>
        <w:tab/>
        <w:t xml:space="preserve">R. Vinayakumar, M. Alazab, K. P. Soman, P. Poornachandran, A. Al-Nemrat, and S. Venkatraman, “Deep Learning Approach for Intelligent Intrusion Detection System,” </w:t>
      </w:r>
      <w:r>
        <w:rPr>
          <w:i/>
          <w:iCs/>
          <w:sz w:val="16"/>
          <w:szCs w:val="16"/>
        </w:rPr>
        <w:t>IEEE Access</w:t>
      </w:r>
      <w:r>
        <w:rPr>
          <w:sz w:val="16"/>
          <w:szCs w:val="16"/>
        </w:rPr>
        <w:t>, vol. 7, pp. 41525–41550, 2019, doi: 10.1109/ACCESS.2019.2895334.</w:t>
      </w:r>
    </w:p>
    <w:p>
      <w:pPr>
        <w:pStyle w:val="Normal"/>
        <w:widowControl w:val="false"/>
        <w:ind w:hanging="426" w:left="426"/>
        <w:jc w:val="both"/>
        <w:rPr>
          <w:sz w:val="16"/>
          <w:szCs w:val="16"/>
        </w:rPr>
      </w:pPr>
      <w:r>
        <w:rPr>
          <w:sz w:val="16"/>
          <w:szCs w:val="16"/>
        </w:rPr>
        <w:t>[5]</w:t>
        <w:tab/>
        <w:t xml:space="preserve">K. Sivaraman, R. M. V. Krishnan, B. Sundarraj, and S. Sri Gowthem, “Network failure detection and diagnosis by analyzing syslog and SNS data: Applying big data analysis to network operations,” </w:t>
      </w:r>
      <w:r>
        <w:rPr>
          <w:i/>
          <w:iCs/>
          <w:sz w:val="16"/>
          <w:szCs w:val="16"/>
        </w:rPr>
        <w:t>Int. J. Innov. Technol. Explor. Eng.</w:t>
      </w:r>
      <w:r>
        <w:rPr>
          <w:sz w:val="16"/>
          <w:szCs w:val="16"/>
        </w:rPr>
        <w:t>, vol. 8, no. 9 Special Issue 3, pp. 883–887, 2019, doi: 10.35940/ijitee.I3187.0789S319.</w:t>
      </w:r>
    </w:p>
    <w:p>
      <w:pPr>
        <w:pStyle w:val="Normal"/>
        <w:widowControl w:val="false"/>
        <w:ind w:hanging="426" w:left="426"/>
        <w:jc w:val="both"/>
        <w:rPr>
          <w:sz w:val="16"/>
          <w:szCs w:val="16"/>
        </w:rPr>
      </w:pPr>
      <w:r>
        <w:rPr>
          <w:sz w:val="16"/>
          <w:szCs w:val="16"/>
        </w:rPr>
        <w:t>[6]</w:t>
        <w:tab/>
        <w:t xml:space="preserve">A. D. Dwivedi, G. Srivastava, S. Dhar, and R. Singh, “A decentralized privacy-preserving healthcare blockchain for IoT,” </w:t>
      </w:r>
      <w:r>
        <w:rPr>
          <w:i/>
          <w:iCs/>
          <w:sz w:val="16"/>
          <w:szCs w:val="16"/>
        </w:rPr>
        <w:t>Sensors (Switzerland)</w:t>
      </w:r>
      <w:r>
        <w:rPr>
          <w:sz w:val="16"/>
          <w:szCs w:val="16"/>
        </w:rPr>
        <w:t>, vol. 19, no. 2, pp. 1–17, 2019, doi: 10.3390/s19020326.</w:t>
      </w:r>
    </w:p>
    <w:p>
      <w:pPr>
        <w:pStyle w:val="Normal"/>
        <w:widowControl w:val="false"/>
        <w:ind w:hanging="426" w:left="426"/>
        <w:jc w:val="both"/>
        <w:rPr>
          <w:sz w:val="16"/>
          <w:szCs w:val="16"/>
        </w:rPr>
      </w:pPr>
      <w:r>
        <w:rPr>
          <w:sz w:val="16"/>
          <w:szCs w:val="16"/>
        </w:rPr>
        <w:t>[7]</w:t>
        <w:tab/>
        <w:t xml:space="preserve">F. Al-Turjman, H. Zahmatkesh, and L. Mostarda, “Quantifying uncertainty in internet of medical things and big-data services using intelligence and deep learning,” </w:t>
      </w:r>
      <w:r>
        <w:rPr>
          <w:i/>
          <w:iCs/>
          <w:sz w:val="16"/>
          <w:szCs w:val="16"/>
        </w:rPr>
        <w:t>IEEE Access</w:t>
      </w:r>
      <w:r>
        <w:rPr>
          <w:sz w:val="16"/>
          <w:szCs w:val="16"/>
        </w:rPr>
        <w:t>, vol. 7, pp. 115749–115759, 2019, doi: 10.1109/ACCESS.2019.2931637.</w:t>
      </w:r>
    </w:p>
    <w:p>
      <w:pPr>
        <w:pStyle w:val="Normal"/>
        <w:widowControl w:val="false"/>
        <w:ind w:hanging="426" w:left="426"/>
        <w:jc w:val="both"/>
        <w:rPr>
          <w:sz w:val="16"/>
          <w:szCs w:val="16"/>
        </w:rPr>
      </w:pPr>
      <w:r>
        <w:rPr>
          <w:sz w:val="16"/>
          <w:szCs w:val="16"/>
        </w:rPr>
        <w:t>[8]</w:t>
        <w:tab/>
        <w:t xml:space="preserve">S. Kumar and M. Singh, “Big data analytics for healthcare industry: Impact, applications, and tools,” </w:t>
      </w:r>
      <w:r>
        <w:rPr>
          <w:i/>
          <w:iCs/>
          <w:sz w:val="16"/>
          <w:szCs w:val="16"/>
        </w:rPr>
        <w:t>Big Data Min. Anal.</w:t>
      </w:r>
      <w:r>
        <w:rPr>
          <w:sz w:val="16"/>
          <w:szCs w:val="16"/>
        </w:rPr>
        <w:t>, vol. 2, no. 1, pp. 48–57, 2019, doi: 10.26599/BDMA.2018.9020031.</w:t>
      </w:r>
    </w:p>
    <w:p>
      <w:pPr>
        <w:pStyle w:val="Normal"/>
        <w:widowControl w:val="false"/>
        <w:ind w:hanging="426" w:left="426"/>
        <w:jc w:val="both"/>
        <w:rPr>
          <w:sz w:val="16"/>
          <w:szCs w:val="16"/>
        </w:rPr>
      </w:pPr>
      <w:r>
        <w:rPr>
          <w:sz w:val="16"/>
          <w:szCs w:val="16"/>
        </w:rPr>
        <w:t>[9]</w:t>
        <w:tab/>
        <w:t xml:space="preserve">L. M. Ang, K. P. Seng, G. K. Ijemaru, and A. M. Zungeru, “Deployment of IoV for Smart Cities: Applications, Architecture, and Challenges,” </w:t>
      </w:r>
      <w:r>
        <w:rPr>
          <w:i/>
          <w:iCs/>
          <w:sz w:val="16"/>
          <w:szCs w:val="16"/>
        </w:rPr>
        <w:t>IEEE Access</w:t>
      </w:r>
      <w:r>
        <w:rPr>
          <w:sz w:val="16"/>
          <w:szCs w:val="16"/>
        </w:rPr>
        <w:t>, vol. 7, pp. 6473–6492, 2019, doi: 10.1109/ACCESS.2018.2887076.</w:t>
      </w:r>
    </w:p>
    <w:p>
      <w:pPr>
        <w:pStyle w:val="Normal"/>
        <w:widowControl w:val="false"/>
        <w:ind w:hanging="426" w:left="426"/>
        <w:jc w:val="both"/>
        <w:rPr>
          <w:sz w:val="16"/>
          <w:szCs w:val="16"/>
        </w:rPr>
      </w:pPr>
      <w:r>
        <w:rPr>
          <w:sz w:val="16"/>
          <w:szCs w:val="16"/>
        </w:rPr>
        <w:t>[10]</w:t>
        <w:tab/>
        <w:t xml:space="preserve">B. P. L. Lau </w:t>
      </w:r>
      <w:r>
        <w:rPr>
          <w:i/>
          <w:iCs/>
          <w:sz w:val="16"/>
          <w:szCs w:val="16"/>
        </w:rPr>
        <w:t>et al.</w:t>
      </w:r>
      <w:r>
        <w:rPr>
          <w:sz w:val="16"/>
          <w:szCs w:val="16"/>
        </w:rPr>
        <w:t xml:space="preserve">, “A survey of data fusion in smart city applications,” </w:t>
      </w:r>
      <w:r>
        <w:rPr>
          <w:i/>
          <w:iCs/>
          <w:sz w:val="16"/>
          <w:szCs w:val="16"/>
        </w:rPr>
        <w:t>Inf. Fusion</w:t>
      </w:r>
      <w:r>
        <w:rPr>
          <w:sz w:val="16"/>
          <w:szCs w:val="16"/>
        </w:rPr>
        <w:t>, vol. 52, no. January, pp. 357–374, 2019, doi: 10.1016/j.inffus.2019.05.004.</w:t>
      </w:r>
    </w:p>
    <w:p>
      <w:pPr>
        <w:pStyle w:val="Normal"/>
        <w:widowControl w:val="false"/>
        <w:ind w:hanging="426" w:left="426"/>
        <w:jc w:val="both"/>
        <w:rPr>
          <w:sz w:val="16"/>
          <w:szCs w:val="16"/>
        </w:rPr>
      </w:pPr>
      <w:r>
        <w:rPr>
          <w:sz w:val="16"/>
          <w:szCs w:val="16"/>
        </w:rPr>
        <w:t>[11]</w:t>
        <w:tab/>
        <w:t xml:space="preserve">Y. Wu </w:t>
      </w:r>
      <w:r>
        <w:rPr>
          <w:i/>
          <w:iCs/>
          <w:sz w:val="16"/>
          <w:szCs w:val="16"/>
        </w:rPr>
        <w:t>et al.</w:t>
      </w:r>
      <w:r>
        <w:rPr>
          <w:sz w:val="16"/>
          <w:szCs w:val="16"/>
        </w:rPr>
        <w:t xml:space="preserve">, “Large scale incremental learning,” </w:t>
      </w:r>
      <w:r>
        <w:rPr>
          <w:i/>
          <w:iCs/>
          <w:sz w:val="16"/>
          <w:szCs w:val="16"/>
        </w:rPr>
        <w:t>Proc. IEEE Comput. Soc. Conf. Comput. Vis. Pattern Recognit.</w:t>
      </w:r>
      <w:r>
        <w:rPr>
          <w:sz w:val="16"/>
          <w:szCs w:val="16"/>
        </w:rPr>
        <w:t>, vol. 2019-June, pp. 374–382, 2019, doi: 10.1109/CVPR.2019.00046.</w:t>
      </w:r>
    </w:p>
    <w:p>
      <w:pPr>
        <w:pStyle w:val="Normal"/>
        <w:widowControl w:val="false"/>
        <w:ind w:hanging="426" w:left="426"/>
        <w:jc w:val="both"/>
        <w:rPr>
          <w:sz w:val="16"/>
          <w:szCs w:val="16"/>
        </w:rPr>
      </w:pPr>
      <w:r>
        <w:rPr>
          <w:sz w:val="16"/>
          <w:szCs w:val="16"/>
        </w:rPr>
        <w:t>[12]</w:t>
        <w:tab/>
        <w:t xml:space="preserve">A. Mosavi, S. Shamshirband, E. Salwana, K. wing Chau, and J. H. M. Tah, “Prediction of multi-inputs bubble column reactor using a novel hybrid model of computational fluid dynamics and machine learning,” </w:t>
      </w:r>
      <w:r>
        <w:rPr>
          <w:i/>
          <w:iCs/>
          <w:sz w:val="16"/>
          <w:szCs w:val="16"/>
        </w:rPr>
        <w:t>Eng. Appl. Comput. Fluid Mech.</w:t>
      </w:r>
      <w:r>
        <w:rPr>
          <w:sz w:val="16"/>
          <w:szCs w:val="16"/>
        </w:rPr>
        <w:t>, vol. 13, no. 1, pp. 482–492, 2019, doi: 10.1080/19942060.2019.1613448.</w:t>
      </w:r>
    </w:p>
    <w:p>
      <w:pPr>
        <w:pStyle w:val="Normal"/>
        <w:widowControl w:val="false"/>
        <w:ind w:hanging="426" w:left="426"/>
        <w:jc w:val="both"/>
        <w:rPr>
          <w:spacing w:val="-2"/>
          <w:sz w:val="16"/>
          <w:szCs w:val="16"/>
        </w:rPr>
      </w:pPr>
      <w:r>
        <w:rPr>
          <w:sz w:val="16"/>
          <w:szCs w:val="16"/>
        </w:rPr>
        <w:t>[13]</w:t>
        <w:tab/>
      </w:r>
      <w:r>
        <w:rPr>
          <w:spacing w:val="-2"/>
          <w:sz w:val="16"/>
          <w:szCs w:val="16"/>
        </w:rPr>
        <w:t xml:space="preserve">V. Palanisamy and R. Thirunavukarasu, “Implications of big data analytics in developing healthcare frameworks – A review,” </w:t>
      </w:r>
      <w:r>
        <w:rPr>
          <w:i/>
          <w:iCs/>
          <w:spacing w:val="-2"/>
          <w:sz w:val="16"/>
          <w:szCs w:val="16"/>
        </w:rPr>
        <w:t>J. King Saud Univ. - Comput. Inf. Sci.</w:t>
      </w:r>
      <w:r>
        <w:rPr>
          <w:spacing w:val="-2"/>
          <w:sz w:val="16"/>
          <w:szCs w:val="16"/>
        </w:rPr>
        <w:t>, vol. 31, no. 4, pp. 415–425, 2019, doi: 10.1016/j.jksuci.2017.12.007.</w:t>
      </w:r>
    </w:p>
    <w:p>
      <w:pPr>
        <w:pStyle w:val="Normal"/>
        <w:widowControl w:val="false"/>
        <w:ind w:hanging="426" w:left="426"/>
        <w:jc w:val="both"/>
        <w:rPr>
          <w:sz w:val="16"/>
          <w:szCs w:val="16"/>
        </w:rPr>
      </w:pPr>
      <w:r>
        <w:rPr>
          <w:sz w:val="16"/>
          <w:szCs w:val="16"/>
        </w:rPr>
        <w:t>[14]</w:t>
        <w:tab/>
        <w:t xml:space="preserve">J. Sadowski, “When data is capital: Datafication, accumulation, and extraction,” </w:t>
      </w:r>
      <w:r>
        <w:rPr>
          <w:i/>
          <w:iCs/>
          <w:sz w:val="16"/>
          <w:szCs w:val="16"/>
        </w:rPr>
        <w:t>Big Data Soc.</w:t>
      </w:r>
      <w:r>
        <w:rPr>
          <w:sz w:val="16"/>
          <w:szCs w:val="16"/>
        </w:rPr>
        <w:t>, vol. 6, no. 1, pp. 1–12, 2019, doi: 10.1177/2053951718820549.</w:t>
      </w:r>
    </w:p>
    <w:p>
      <w:pPr>
        <w:pStyle w:val="Normal"/>
        <w:widowControl w:val="false"/>
        <w:ind w:hanging="426" w:left="426"/>
        <w:jc w:val="both"/>
        <w:rPr>
          <w:sz w:val="16"/>
          <w:szCs w:val="16"/>
        </w:rPr>
      </w:pPr>
      <w:r>
        <w:rPr>
          <w:sz w:val="16"/>
          <w:szCs w:val="16"/>
        </w:rPr>
        <w:t>[15]</w:t>
        <w:tab/>
        <w:t xml:space="preserve">J. R. Saura, B. R. Herraez, and A. Reyes-Menendez, “Comparing a traditional approach for financial brand communication analysis with a big data analytics technique,” </w:t>
      </w:r>
      <w:r>
        <w:rPr>
          <w:i/>
          <w:iCs/>
          <w:sz w:val="16"/>
          <w:szCs w:val="16"/>
        </w:rPr>
        <w:t>IEEE Access</w:t>
      </w:r>
      <w:r>
        <w:rPr>
          <w:sz w:val="16"/>
          <w:szCs w:val="16"/>
        </w:rPr>
        <w:t>, vol. 7, pp. 37100–37108, 2019, doi: 10.1109/ACCESS.2019.2905301.</w:t>
      </w:r>
    </w:p>
    <w:p>
      <w:pPr>
        <w:pStyle w:val="Normal"/>
        <w:widowControl w:val="false"/>
        <w:ind w:hanging="426" w:left="426"/>
        <w:jc w:val="both"/>
        <w:rPr>
          <w:sz w:val="16"/>
          <w:szCs w:val="16"/>
        </w:rPr>
      </w:pPr>
      <w:r>
        <w:rPr>
          <w:sz w:val="16"/>
          <w:szCs w:val="16"/>
        </w:rPr>
        <w:t>[16]</w:t>
        <w:tab/>
        <w:t xml:space="preserve">D. Nallaperuma </w:t>
      </w:r>
      <w:r>
        <w:rPr>
          <w:i/>
          <w:iCs/>
          <w:sz w:val="16"/>
          <w:szCs w:val="16"/>
        </w:rPr>
        <w:t>et al.</w:t>
      </w:r>
      <w:r>
        <w:rPr>
          <w:sz w:val="16"/>
          <w:szCs w:val="16"/>
        </w:rPr>
        <w:t xml:space="preserve">, “Online Incremental Machine Learning Platform for Big Data-Driven Smart Traffic Management,” </w:t>
      </w:r>
      <w:r>
        <w:rPr>
          <w:i/>
          <w:iCs/>
          <w:sz w:val="16"/>
          <w:szCs w:val="16"/>
        </w:rPr>
        <w:t>IEEE Trans. Intell. Transp. Syst.</w:t>
      </w:r>
      <w:r>
        <w:rPr>
          <w:sz w:val="16"/>
          <w:szCs w:val="16"/>
        </w:rPr>
        <w:t>, vol. 20, no. 12, pp. 4679–4690, 2019, doi: 10.1109/TITS.2019.2924883.</w:t>
      </w:r>
    </w:p>
    <w:p>
      <w:pPr>
        <w:pStyle w:val="Normal"/>
        <w:widowControl w:val="false"/>
        <w:ind w:hanging="426" w:left="426"/>
        <w:jc w:val="both"/>
        <w:rPr>
          <w:sz w:val="16"/>
          <w:szCs w:val="16"/>
        </w:rPr>
      </w:pPr>
      <w:r>
        <w:rPr>
          <w:sz w:val="16"/>
          <w:szCs w:val="16"/>
        </w:rPr>
        <w:t>[17]</w:t>
        <w:tab/>
        <w:t xml:space="preserve">S. Schulz, M. Becker, M. R. Groseclose, S. Schadt, and C. Hopf, “Advanced MALDI mass spectrometry imaging in pharmaceutical research and drug development,” </w:t>
      </w:r>
      <w:r>
        <w:rPr>
          <w:i/>
          <w:iCs/>
          <w:sz w:val="16"/>
          <w:szCs w:val="16"/>
        </w:rPr>
        <w:t>Curr. Opin. Biotechnol.</w:t>
      </w:r>
      <w:r>
        <w:rPr>
          <w:sz w:val="16"/>
          <w:szCs w:val="16"/>
        </w:rPr>
        <w:t>, vol. 55, pp. 51–59, 2019, doi: 10.1016/j.copbio.2018.08.003.</w:t>
      </w:r>
    </w:p>
    <w:p>
      <w:pPr>
        <w:pStyle w:val="Normal"/>
        <w:widowControl w:val="false"/>
        <w:ind w:hanging="426" w:left="426"/>
        <w:jc w:val="both"/>
        <w:rPr>
          <w:sz w:val="16"/>
          <w:szCs w:val="16"/>
        </w:rPr>
      </w:pPr>
      <w:r>
        <w:rPr>
          <w:sz w:val="16"/>
          <w:szCs w:val="16"/>
        </w:rPr>
        <w:t>[18]</w:t>
        <w:tab/>
        <w:t xml:space="preserve">C. Shang and F. You, “Data Analytics and Machine Learning for Smart Process Manufacturing: Recent Advances and Perspectives in the Big Data Era,” </w:t>
      </w:r>
      <w:r>
        <w:rPr>
          <w:i/>
          <w:iCs/>
          <w:sz w:val="16"/>
          <w:szCs w:val="16"/>
        </w:rPr>
        <w:t>Engineering</w:t>
      </w:r>
      <w:r>
        <w:rPr>
          <w:sz w:val="16"/>
          <w:szCs w:val="16"/>
        </w:rPr>
        <w:t>, vol. 5, no. 6, pp. 1010–1016, 2019, doi: 10.1016/j.eng.2019.01.019.</w:t>
      </w:r>
    </w:p>
    <w:p>
      <w:pPr>
        <w:pStyle w:val="Normal"/>
        <w:widowControl w:val="false"/>
        <w:ind w:hanging="426" w:left="426"/>
        <w:jc w:val="both"/>
        <w:rPr>
          <w:sz w:val="16"/>
          <w:szCs w:val="16"/>
        </w:rPr>
      </w:pPr>
      <w:r>
        <w:rPr>
          <w:sz w:val="16"/>
          <w:szCs w:val="16"/>
        </w:rPr>
        <w:t>[19]</w:t>
        <w:tab/>
        <w:t xml:space="preserve">Y. Yu, M. Li, L. Liu, Y. Li, and J. Wang, “Clinical big data and deep learning: Applications, challenges, and future outlooks,” </w:t>
      </w:r>
      <w:r>
        <w:rPr>
          <w:i/>
          <w:iCs/>
          <w:sz w:val="16"/>
          <w:szCs w:val="16"/>
        </w:rPr>
        <w:t>Big Data Min. Anal.</w:t>
      </w:r>
      <w:r>
        <w:rPr>
          <w:sz w:val="16"/>
          <w:szCs w:val="16"/>
        </w:rPr>
        <w:t>, vol. 2, no. 4, pp. 288–305, 2019, doi: 10.26599/BDMA.2019.9020007.</w:t>
      </w:r>
    </w:p>
    <w:p>
      <w:pPr>
        <w:pStyle w:val="Normal"/>
        <w:widowControl w:val="false"/>
        <w:ind w:hanging="426" w:left="426"/>
        <w:jc w:val="both"/>
        <w:rPr>
          <w:sz w:val="16"/>
          <w:szCs w:val="16"/>
        </w:rPr>
      </w:pPr>
      <w:r>
        <w:rPr>
          <w:sz w:val="16"/>
          <w:szCs w:val="16"/>
        </w:rPr>
        <w:t>[20]</w:t>
        <w:tab/>
        <w:t xml:space="preserve">M. Huang, W. Liu, T. Wang, H. Song, X. Li, and A. Liu, “A queuing delay utilization scheme for on-path service aggregation in services-oriented computing networks,” </w:t>
      </w:r>
      <w:r>
        <w:rPr>
          <w:i/>
          <w:iCs/>
          <w:sz w:val="16"/>
          <w:szCs w:val="16"/>
        </w:rPr>
        <w:t>IEEE Access</w:t>
      </w:r>
      <w:r>
        <w:rPr>
          <w:sz w:val="16"/>
          <w:szCs w:val="16"/>
        </w:rPr>
        <w:t>, vol. 7, pp. 23816–23833, 2019, doi: 10.1109/ACCESS.2019.2899402.</w:t>
      </w:r>
    </w:p>
    <w:p>
      <w:pPr>
        <w:pStyle w:val="Normal"/>
        <w:widowControl w:val="false"/>
        <w:ind w:hanging="426" w:left="426"/>
        <w:jc w:val="both"/>
        <w:rPr>
          <w:sz w:val="16"/>
          <w:szCs w:val="16"/>
        </w:rPr>
      </w:pPr>
      <w:r>
        <w:rPr>
          <w:sz w:val="16"/>
          <w:szCs w:val="16"/>
        </w:rPr>
        <w:t>[21]</w:t>
        <w:tab/>
        <w:t xml:space="preserve">G. Xu, Y. Shi, X. Sun, and W. Shen, “Internet of things in marine environment monitoring: A review,” </w:t>
      </w:r>
      <w:r>
        <w:rPr>
          <w:i/>
          <w:iCs/>
          <w:sz w:val="16"/>
          <w:szCs w:val="16"/>
        </w:rPr>
        <w:t>Sensors (Switzerland)</w:t>
      </w:r>
      <w:r>
        <w:rPr>
          <w:sz w:val="16"/>
          <w:szCs w:val="16"/>
        </w:rPr>
        <w:t>, vol. 19, no. 7, pp. 1–21, 2019, doi: 10.3390/s19071711.</w:t>
      </w:r>
    </w:p>
    <w:p>
      <w:pPr>
        <w:pStyle w:val="Normal"/>
        <w:widowControl w:val="false"/>
        <w:ind w:hanging="426" w:left="426"/>
        <w:jc w:val="both"/>
        <w:rPr>
          <w:sz w:val="16"/>
          <w:szCs w:val="16"/>
        </w:rPr>
      </w:pPr>
      <w:r>
        <w:rPr>
          <w:sz w:val="16"/>
          <w:szCs w:val="16"/>
        </w:rPr>
        <w:t>[22]</w:t>
        <w:tab/>
        <w:t xml:space="preserve">M. Aqib, R. Mehmood, A. Alzahrani, I. Katib, A. Albeshri, and S. M. Altowaijri, </w:t>
      </w:r>
      <w:r>
        <w:rPr>
          <w:i/>
          <w:iCs/>
          <w:sz w:val="16"/>
          <w:szCs w:val="16"/>
        </w:rPr>
        <w:t>Smarter traffic prediction using big data, in-memory computing, deep learning and gpus</w:t>
      </w:r>
      <w:r>
        <w:rPr>
          <w:sz w:val="16"/>
          <w:szCs w:val="16"/>
        </w:rPr>
        <w:t>, vol. 19, no. 9. 2019.</w:t>
      </w:r>
    </w:p>
    <w:p>
      <w:pPr>
        <w:pStyle w:val="Normal"/>
        <w:widowControl w:val="false"/>
        <w:ind w:hanging="426" w:left="426"/>
        <w:jc w:val="both"/>
        <w:rPr>
          <w:sz w:val="16"/>
          <w:szCs w:val="16"/>
        </w:rPr>
      </w:pPr>
      <w:r>
        <w:rPr>
          <w:sz w:val="16"/>
          <w:szCs w:val="16"/>
        </w:rPr>
        <w:t>[23]</w:t>
        <w:tab/>
        <w:t xml:space="preserve">S. Leonelli and N. Tempini, </w:t>
      </w:r>
      <w:r>
        <w:rPr>
          <w:i/>
          <w:iCs/>
          <w:sz w:val="16"/>
          <w:szCs w:val="16"/>
        </w:rPr>
        <w:t>Data Journeys in the Sciences</w:t>
      </w:r>
      <w:r>
        <w:rPr>
          <w:sz w:val="16"/>
          <w:szCs w:val="16"/>
        </w:rPr>
        <w:t>. 2020.</w:t>
      </w:r>
    </w:p>
    <w:p>
      <w:pPr>
        <w:pStyle w:val="Normal"/>
        <w:widowControl w:val="false"/>
        <w:ind w:hanging="426" w:left="426"/>
        <w:jc w:val="both"/>
        <w:rPr>
          <w:sz w:val="16"/>
          <w:szCs w:val="16"/>
        </w:rPr>
      </w:pPr>
      <w:r>
        <w:rPr>
          <w:sz w:val="16"/>
          <w:szCs w:val="16"/>
        </w:rPr>
        <w:t>[24]</w:t>
        <w:tab/>
        <w:t xml:space="preserve">N. Stylos and J. Zwiegelaar, </w:t>
      </w:r>
      <w:r>
        <w:rPr>
          <w:i/>
          <w:iCs/>
          <w:sz w:val="16"/>
          <w:szCs w:val="16"/>
        </w:rPr>
        <w:t>Big Data as a Game Changer: How Does It Shape Business Intelligence Within a Tourism and Hospitality Industry Context?</w:t>
      </w:r>
      <w:r>
        <w:rPr>
          <w:sz w:val="16"/>
          <w:szCs w:val="16"/>
        </w:rPr>
        <w:t xml:space="preserve"> 2019.</w:t>
      </w:r>
    </w:p>
    <w:p>
      <w:pPr>
        <w:pStyle w:val="Normal"/>
        <w:widowControl w:val="false"/>
        <w:ind w:hanging="426" w:left="426"/>
        <w:jc w:val="both"/>
        <w:rPr>
          <w:sz w:val="16"/>
          <w:szCs w:val="16"/>
        </w:rPr>
      </w:pPr>
      <w:r>
        <w:rPr>
          <w:sz w:val="16"/>
          <w:szCs w:val="16"/>
        </w:rPr>
        <w:t>[25]</w:t>
        <w:tab/>
        <w:t xml:space="preserve">Q. Song, H. Ge, J. Caverlee, and X. Hu, “Tensor completion algorithms in big data analytics,” </w:t>
      </w:r>
      <w:r>
        <w:rPr>
          <w:i/>
          <w:iCs/>
          <w:sz w:val="16"/>
          <w:szCs w:val="16"/>
        </w:rPr>
        <w:t>arXiv</w:t>
      </w:r>
      <w:r>
        <w:rPr>
          <w:sz w:val="16"/>
          <w:szCs w:val="16"/>
        </w:rPr>
        <w:t>, vol. 13, no. 1, 2017.</w:t>
      </w:r>
    </w:p>
    <w:p>
      <w:pPr>
        <w:pStyle w:val="Normal"/>
        <w:ind w:hanging="426" w:left="426"/>
        <w:jc w:val="both"/>
        <w:rPr>
          <w:color w:val="000000"/>
        </w:rPr>
      </w:pPr>
      <w:r/>
      <w:r>
        <w:rPr>
          <w:sz w:val="18"/>
          <w:szCs w:val="18"/>
          <w:color w:val="000000"/>
        </w:rPr>
        <w:fldChar w:fldCharType="end"/>
      </w:r>
      <w:r>
        <w:rPr>
          <w:color w:val="000000"/>
          <w:sz w:val="18"/>
          <w:szCs w:val="18"/>
        </w:rPr>
      </w:r>
    </w:p>
    <w:p>
      <w:pPr>
        <w:pStyle w:val="Normal"/>
        <w:rPr>
          <w:rStyle w:val="apple-style-span"/>
          <w:b/>
          <w:color w:val="000000"/>
        </w:rPr>
      </w:pPr>
      <w:r>
        <w:rPr>
          <w:b/>
          <w:color w:val="000000"/>
        </w:rPr>
      </w:r>
    </w:p>
    <w:p>
      <w:pPr>
        <w:pStyle w:val="Normal"/>
        <w:rPr>
          <w:b/>
          <w:bCs/>
        </w:rPr>
      </w:pPr>
      <w:r>
        <w:rPr>
          <w:rStyle w:val="apple-style-span"/>
          <w:b/>
          <w:color w:val="000000"/>
        </w:rPr>
        <w:t xml:space="preserve">BIOGRAPHIES OF AUTHORS </w:t>
      </w:r>
      <w:r>
        <w:rPr>
          <w:b/>
          <w:bCs/>
        </w:rPr>
        <w:t xml:space="preserve">(10 PT) </w:t>
      </w:r>
    </w:p>
    <w:p>
      <w:pPr>
        <w:pStyle w:val="Normal"/>
        <w:ind w:firstLine="720"/>
        <w:jc w:val="both"/>
        <w:rPr/>
      </w:pPr>
      <w:r>
        <w:rPr/>
        <w:t>In this section, authors are required to provide their professional biography, which should include their academic background, current position, research interests, and any significant contributions to the current study. Additionally, authors should include links to their professional profiles, such as ORCID (</w:t>
      </w:r>
      <w:r>
        <w:rPr>
          <w:i/>
          <w:iCs/>
        </w:rPr>
        <w:t>mandatory)</w:t>
      </w:r>
      <w:r>
        <w:rPr/>
        <w:t xml:space="preserve"> and, </w:t>
      </w:r>
      <w:r>
        <w:rPr>
          <w:i/>
          <w:iCs/>
        </w:rPr>
        <w:t xml:space="preserve">if applicable, </w:t>
      </w:r>
      <w:r>
        <w:rPr/>
        <w:t>Google Scholar, Scopus Author ID, or Web of Science (WoS) ResearcherID. This helps establish the author’s academic identity and enhances the visibility of their research.</w:t>
      </w:r>
    </w:p>
    <w:p>
      <w:pPr>
        <w:pStyle w:val="Normal"/>
        <w:jc w:val="both"/>
        <w:rPr/>
      </w:pPr>
      <w:r>
        <w:rPr/>
      </w:r>
    </w:p>
    <w:p>
      <w:pPr>
        <w:pStyle w:val="Normal"/>
        <w:jc w:val="both"/>
        <w:rPr/>
      </w:pPr>
      <w:r>
        <w:rPr/>
      </w:r>
    </w:p>
    <w:p>
      <w:pPr>
        <w:pStyle w:val="Normal"/>
        <w:jc w:val="both"/>
        <w:rPr/>
      </w:pPr>
      <w:r>
        <w:rPr>
          <w:b/>
          <w:bCs/>
        </w:rPr>
        <w:t>Required Information:</w:t>
      </w:r>
    </w:p>
    <w:p>
      <w:pPr>
        <w:pStyle w:val="Normal"/>
        <w:numPr>
          <w:ilvl w:val="0"/>
          <w:numId w:val="8"/>
        </w:numPr>
        <w:tabs>
          <w:tab w:val="clear" w:pos="720"/>
        </w:tabs>
        <w:ind w:hanging="360" w:left="426"/>
        <w:jc w:val="both"/>
        <w:rPr/>
      </w:pPr>
      <w:r>
        <w:rPr>
          <w:b/>
          <w:bCs/>
        </w:rPr>
        <w:t>Full name</w:t>
      </w:r>
      <w:r>
        <w:rPr/>
        <w:t>: Include the author's full name as it appears in official records. If preferred, authors may use the format consistent with his/her Scopus profile.</w:t>
      </w:r>
    </w:p>
    <w:p>
      <w:pPr>
        <w:pStyle w:val="Normal"/>
        <w:numPr>
          <w:ilvl w:val="0"/>
          <w:numId w:val="8"/>
        </w:numPr>
        <w:tabs>
          <w:tab w:val="clear" w:pos="720"/>
        </w:tabs>
        <w:ind w:hanging="360" w:left="426"/>
        <w:jc w:val="both"/>
        <w:rPr/>
      </w:pPr>
      <w:r>
        <w:rPr>
          <w:b/>
          <w:bCs/>
        </w:rPr>
        <w:t>Email address for each author</w:t>
      </w:r>
      <w:r>
        <w:rPr/>
        <w:t>: Provide the author's professional email address to facilitate correspondence.</w:t>
      </w:r>
    </w:p>
    <w:p>
      <w:pPr>
        <w:pStyle w:val="Normal"/>
        <w:numPr>
          <w:ilvl w:val="0"/>
          <w:numId w:val="8"/>
        </w:numPr>
        <w:tabs>
          <w:tab w:val="clear" w:pos="720"/>
        </w:tabs>
        <w:ind w:hanging="360" w:left="426"/>
        <w:jc w:val="both"/>
        <w:rPr/>
      </w:pPr>
      <w:r>
        <w:rPr>
          <w:b/>
          <w:bCs/>
        </w:rPr>
        <w:t>Social media account:</w:t>
      </w:r>
    </w:p>
    <w:p>
      <w:pPr>
        <w:pStyle w:val="Normal"/>
        <w:numPr>
          <w:ilvl w:val="0"/>
          <w:numId w:val="9"/>
        </w:numPr>
        <w:ind w:hanging="360" w:left="851"/>
        <w:jc w:val="both"/>
        <w:rPr/>
      </w:pPr>
      <w:r>
        <w:rPr>
          <w:b/>
          <w:bCs/>
        </w:rPr>
        <w:t>ORCID iD</w:t>
      </w:r>
      <w:r>
        <w:rPr/>
        <w:t>: This is a mandatory. Each author must include their ORCID iD (https://orcid.org/), which helps link his/her research output to their identity.</w:t>
      </w:r>
    </w:p>
    <w:p>
      <w:pPr>
        <w:pStyle w:val="Normal"/>
        <w:numPr>
          <w:ilvl w:val="0"/>
          <w:numId w:val="9"/>
        </w:numPr>
        <w:ind w:hanging="360" w:left="851"/>
        <w:jc w:val="both"/>
        <w:rPr/>
      </w:pPr>
      <w:r>
        <w:rPr>
          <w:b/>
          <w:bCs/>
        </w:rPr>
        <w:t xml:space="preserve">Google Scholar Profile: </w:t>
      </w:r>
      <w:r>
        <w:rPr/>
        <w:t>Include the link to the author's Google Scholar profile. If the author does not have a Google Scholar profile, they may create a new one and include the link.</w:t>
      </w:r>
    </w:p>
    <w:p>
      <w:pPr>
        <w:pStyle w:val="Normal"/>
        <w:numPr>
          <w:ilvl w:val="0"/>
          <w:numId w:val="9"/>
        </w:numPr>
        <w:ind w:hanging="360" w:left="851"/>
        <w:jc w:val="both"/>
        <w:rPr/>
      </w:pPr>
      <w:r>
        <w:rPr>
          <w:b/>
          <w:bCs/>
        </w:rPr>
        <w:t xml:space="preserve">Scopus Author ID: </w:t>
      </w:r>
      <w:r>
        <w:rPr/>
        <w:t>If available, include the Scopus Author ID to enhance visibility on Scopus.</w:t>
      </w:r>
    </w:p>
    <w:p>
      <w:pPr>
        <w:pStyle w:val="Normal"/>
        <w:numPr>
          <w:ilvl w:val="0"/>
          <w:numId w:val="9"/>
        </w:numPr>
        <w:ind w:hanging="360" w:left="851"/>
        <w:jc w:val="both"/>
        <w:rPr/>
      </w:pPr>
      <w:r>
        <w:rPr>
          <w:b/>
          <w:bCs/>
        </w:rPr>
        <w:t xml:space="preserve">Web of Science (WoS) ResearcherID: </w:t>
      </w:r>
      <w:r>
        <w:rPr/>
        <w:t>Include the Web of Science ResearcherID. If the author does not have a WoS profile, they may create a new one and include the link.</w:t>
      </w:r>
    </w:p>
    <w:p>
      <w:pPr>
        <w:pStyle w:val="Normal"/>
        <w:numPr>
          <w:ilvl w:val="0"/>
          <w:numId w:val="8"/>
        </w:numPr>
        <w:tabs>
          <w:tab w:val="clear" w:pos="720"/>
        </w:tabs>
        <w:ind w:hanging="360" w:left="426"/>
        <w:jc w:val="both"/>
        <w:rPr/>
      </w:pPr>
      <w:r>
        <w:rPr>
          <w:b/>
          <w:bCs/>
        </w:rPr>
        <w:t xml:space="preserve">Brief biography: </w:t>
      </w:r>
      <w:r>
        <w:rPr/>
        <w:t>Provide a concise overview of the author's academic background, research interests, notable publications, and contributions to the current paper. This should be no longer than 150-200 words (9 pt).</w:t>
      </w:r>
    </w:p>
    <w:p>
      <w:pPr>
        <w:pStyle w:val="Normal"/>
        <w:numPr>
          <w:ilvl w:val="0"/>
          <w:numId w:val="8"/>
        </w:numPr>
        <w:tabs>
          <w:tab w:val="clear" w:pos="720"/>
        </w:tabs>
        <w:ind w:hanging="360" w:left="426"/>
        <w:jc w:val="both"/>
        <w:rPr>
          <w:bCs/>
        </w:rPr>
      </w:pPr>
      <w:r>
        <w:rPr>
          <w:b/>
          <w:bCs/>
        </w:rPr>
        <w:t xml:space="preserve">Professional achievements: </w:t>
      </w:r>
      <w:r>
        <w:rPr/>
        <w:t>If available, mention any important awards, recognition, or research projects the author has been involved in.</w:t>
      </w:r>
    </w:p>
    <w:p>
      <w:pPr>
        <w:pStyle w:val="Normal"/>
        <w:numPr>
          <w:ilvl w:val="0"/>
          <w:numId w:val="8"/>
        </w:numPr>
        <w:tabs>
          <w:tab w:val="clear" w:pos="720"/>
        </w:tabs>
        <w:ind w:hanging="360" w:left="426"/>
        <w:jc w:val="both"/>
        <w:rPr/>
      </w:pPr>
      <w:r>
        <w:rPr>
          <w:b/>
          <w:bCs/>
        </w:rPr>
        <w:t xml:space="preserve">Photo Submission: </w:t>
      </w:r>
      <w:r>
        <w:rPr/>
        <w:t>Authors must submit a clear, professional headshot (3x4 cm). The photo should be of high quality, well-lit, and not blurry. Avoid using photos that are overly casual or low resolution.</w:t>
      </w:r>
    </w:p>
    <w:p>
      <w:pPr>
        <w:pStyle w:val="Normal"/>
        <w:jc w:val="both"/>
        <w:rPr>
          <w:b/>
          <w:bCs/>
        </w:rPr>
      </w:pPr>
      <w:r>
        <w:rPr>
          <w:b/>
          <w:bCs/>
        </w:rPr>
      </w:r>
    </w:p>
    <w:p>
      <w:pPr>
        <w:pStyle w:val="Normal"/>
        <w:rPr>
          <w:i/>
          <w:i/>
        </w:rPr>
      </w:pPr>
      <w:r>
        <w:rPr>
          <w:i/>
        </w:rPr>
      </w:r>
      <w:r>
        <w:br w:type="page"/>
      </w:r>
    </w:p>
    <w:p>
      <w:pPr>
        <w:pStyle w:val="Normal"/>
        <w:spacing w:before="0" w:after="0"/>
        <w:jc w:val="both"/>
        <w:rPr>
          <w:i/>
          <w:i/>
        </w:rPr>
      </w:pPr>
      <w:r>
        <w:rPr>
          <w:i/>
        </w:rPr>
        <w:t>Below is an example of how to format the biography section for each author:</w:t>
      </w:r>
    </w:p>
    <w:p>
      <w:pPr>
        <w:pStyle w:val="Normal"/>
        <w:jc w:val="both"/>
        <w:rPr>
          <w:i/>
          <w:i/>
          <w:iCs/>
        </w:rPr>
      </w:pPr>
      <w:r>
        <w:rPr>
          <w:i/>
          <w:iCs/>
        </w:rPr>
      </w:r>
    </w:p>
    <w:p>
      <w:pPr>
        <w:pStyle w:val="Normal"/>
        <w:jc w:val="both"/>
        <w:rPr>
          <w:b/>
        </w:rPr>
      </w:pPr>
      <w:r>
        <w:rPr>
          <w:b/>
        </w:rPr>
      </w:r>
    </w:p>
    <w:p>
      <w:pPr>
        <w:pStyle w:val="Normal"/>
        <w:jc w:val="both"/>
        <w:rPr>
          <w:b/>
          <w:bCs/>
        </w:rPr>
      </w:pPr>
      <w:r>
        <w:rPr>
          <w:b/>
        </w:rPr>
        <w:t xml:space="preserve">BIOGRAPHIES OF AUTHORS </w:t>
      </w:r>
      <w:r>
        <w:rPr>
          <w:b/>
          <w:bCs/>
        </w:rPr>
        <w:t xml:space="preserve">(10 PT) </w:t>
      </w:r>
    </w:p>
    <w:p>
      <w:pPr>
        <w:pStyle w:val="Normal"/>
        <w:rPr>
          <w:i/>
          <w:i/>
          <w:iCs/>
        </w:rPr>
      </w:pPr>
      <w:r>
        <w:rPr>
          <w:i/>
          <w:iCs/>
        </w:rPr>
      </w:r>
    </w:p>
    <w:tbl>
      <w:tblPr>
        <w:tblW w:w="903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50"/>
        <w:gridCol w:w="7088"/>
      </w:tblGrid>
      <w:tr>
        <w:trPr/>
        <w:tc>
          <w:tcPr>
            <w:tcW w:w="1950" w:type="dxa"/>
            <w:tcBorders>
              <w:top w:val="single" w:sz="4" w:space="0" w:color="000000"/>
              <w:left w:val="single" w:sz="4" w:space="0" w:color="000000"/>
              <w:bottom w:val="single" w:sz="4" w:space="0" w:color="000000"/>
              <w:right w:val="single" w:sz="4" w:space="0" w:color="000000"/>
            </w:tcBorders>
          </w:tcPr>
          <w:p>
            <w:pPr>
              <w:pStyle w:val="Normal"/>
              <w:jc w:val="center"/>
              <w:rPr/>
            </w:pPr>
            <w:r>
              <w:rPr/>
              <w:drawing>
                <wp:inline distT="0" distB="0" distL="0" distR="0">
                  <wp:extent cx="1080135" cy="1440180"/>
                  <wp:effectExtent l="0" t="0" r="0" b="0"/>
                  <wp:docPr id="2"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9" descr=""/>
                          <pic:cNvPicPr>
                            <a:picLocks noChangeAspect="1" noChangeArrowheads="1"/>
                          </pic:cNvPicPr>
                        </pic:nvPicPr>
                        <pic:blipFill>
                          <a:blip r:embed="rId4"/>
                          <a:stretch>
                            <a:fillRect/>
                          </a:stretch>
                        </pic:blipFill>
                        <pic:spPr bwMode="auto">
                          <a:xfrm>
                            <a:off x="0" y="0"/>
                            <a:ext cx="1080135" cy="1440180"/>
                          </a:xfrm>
                          <a:prstGeom prst="rect">
                            <a:avLst/>
                          </a:prstGeom>
                        </pic:spPr>
                      </pic:pic>
                    </a:graphicData>
                  </a:graphic>
                </wp:inline>
              </w:drawing>
            </w:r>
          </w:p>
        </w:tc>
        <w:tc>
          <w:tcPr>
            <w:tcW w:w="7088" w:type="dxa"/>
            <w:tcBorders>
              <w:top w:val="single" w:sz="4" w:space="0" w:color="000000"/>
              <w:left w:val="single" w:sz="4" w:space="0" w:color="000000"/>
              <w:bottom w:val="single" w:sz="4" w:space="0" w:color="000000"/>
              <w:right w:val="single" w:sz="4" w:space="0" w:color="000000"/>
            </w:tcBorders>
          </w:tcPr>
          <w:p>
            <w:pPr>
              <w:pStyle w:val="Normal"/>
              <w:jc w:val="both"/>
              <w:rPr>
                <w:color w:val="000000"/>
                <w:sz w:val="18"/>
                <w:szCs w:val="18"/>
              </w:rPr>
            </w:pPr>
            <w:r>
              <w:rPr>
                <w:b/>
                <w:bCs/>
                <w:color w:val="000000"/>
                <w:sz w:val="18"/>
                <w:szCs w:val="18"/>
              </w:rPr>
              <w:t xml:space="preserve">Suttichai Premrudeeprechacharn </w:t>
            </w:r>
            <w:r>
              <w:rPr/>
              <w:drawing>
                <wp:inline distT="0" distB="0" distL="0" distR="0">
                  <wp:extent cx="114935" cy="114935"/>
                  <wp:effectExtent l="0" t="0" r="0" b="0"/>
                  <wp:docPr id="3" name="Picture 30" descr="">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0" descr="">
                            <a:hlinkClick r:id="rId6"/>
                          </pic:cNvPr>
                          <pic:cNvPicPr>
                            <a:picLocks noChangeAspect="1" noChangeArrowheads="1"/>
                          </pic:cNvPicPr>
                        </pic:nvPicPr>
                        <pic:blipFill>
                          <a:blip r:embed="rId5"/>
                          <a:stretch>
                            <a:fillRect/>
                          </a:stretch>
                        </pic:blipFill>
                        <pic:spPr bwMode="auto">
                          <a:xfrm>
                            <a:off x="0" y="0"/>
                            <a:ext cx="114935" cy="114935"/>
                          </a:xfrm>
                          <a:prstGeom prst="rect">
                            <a:avLst/>
                          </a:prstGeom>
                        </pic:spPr>
                      </pic:pic>
                    </a:graphicData>
                  </a:graphic>
                </wp:inline>
              </w:drawing>
            </w:r>
            <w:r>
              <w:rPr>
                <w:color w:val="000000"/>
                <w:sz w:val="18"/>
                <w:szCs w:val="18"/>
              </w:rPr>
              <w:t xml:space="preserve"> </w:t>
            </w:r>
            <w:r>
              <w:rPr>
                <w:color w:val="000000"/>
                <w:sz w:val="18"/>
                <w:szCs w:val="18"/>
              </w:rPr>
              <w:drawing>
                <wp:inline distT="0" distB="0" distL="0" distR="0">
                  <wp:extent cx="114935" cy="114935"/>
                  <wp:effectExtent l="0" t="0" r="0" b="0"/>
                  <wp:docPr id="4" name="Picture 31" descr="">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1" descr="">
                            <a:hlinkClick r:id="rId8"/>
                          </pic:cNvPr>
                          <pic:cNvPicPr>
                            <a:picLocks noChangeAspect="1" noChangeArrowheads="1"/>
                          </pic:cNvPicPr>
                        </pic:nvPicPr>
                        <pic:blipFill>
                          <a:blip r:embed="rId7"/>
                          <a:stretch>
                            <a:fillRect/>
                          </a:stretch>
                        </pic:blipFill>
                        <pic:spPr bwMode="auto">
                          <a:xfrm>
                            <a:off x="0" y="0"/>
                            <a:ext cx="114935" cy="114935"/>
                          </a:xfrm>
                          <a:prstGeom prst="rect">
                            <a:avLst/>
                          </a:prstGeom>
                        </pic:spPr>
                      </pic:pic>
                    </a:graphicData>
                  </a:graphic>
                </wp:inline>
              </w:drawing>
            </w:r>
            <w:r>
              <w:rPr>
                <w:color w:val="000000"/>
                <w:sz w:val="18"/>
                <w:szCs w:val="18"/>
              </w:rPr>
              <w:t xml:space="preserve"> </w:t>
            </w:r>
            <w:r>
              <w:rPr>
                <w:color w:val="000000"/>
                <w:sz w:val="18"/>
                <w:szCs w:val="18"/>
              </w:rPr>
              <w:drawing>
                <wp:inline distT="0" distB="0" distL="0" distR="0">
                  <wp:extent cx="114935" cy="114935"/>
                  <wp:effectExtent l="0" t="0" r="0" b="0"/>
                  <wp:docPr id="5" name="Graphic 32" desc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32" descr="">
                            <a:hlinkClick r:id="rId11"/>
                          </pic:cNvPr>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114935" cy="114935"/>
                          </a:xfrm>
                          <a:prstGeom prst="rect">
                            <a:avLst/>
                          </a:prstGeom>
                        </pic:spPr>
                      </pic:pic>
                    </a:graphicData>
                  </a:graphic>
                </wp:inline>
              </w:drawing>
            </w:r>
            <w:r>
              <w:rPr>
                <w:color w:val="000000"/>
                <w:sz w:val="18"/>
                <w:szCs w:val="18"/>
              </w:rPr>
              <w:t xml:space="preserve"> </w:t>
            </w:r>
            <w:r>
              <w:rPr>
                <w:color w:val="000000"/>
                <w:sz w:val="18"/>
                <w:szCs w:val="18"/>
              </w:rPr>
              <w:drawing>
                <wp:inline distT="0" distB="0" distL="0" distR="0">
                  <wp:extent cx="114935" cy="114935"/>
                  <wp:effectExtent l="0" t="0" r="0" b="0"/>
                  <wp:docPr id="6" name="Picture 33" descr="">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3" descr="">
                            <a:hlinkClick r:id="rId13"/>
                          </pic:cNvPr>
                          <pic:cNvPicPr>
                            <a:picLocks noChangeAspect="1" noChangeArrowheads="1"/>
                          </pic:cNvPicPr>
                        </pic:nvPicPr>
                        <pic:blipFill>
                          <a:blip r:embed="rId12"/>
                          <a:stretch>
                            <a:fillRect/>
                          </a:stretch>
                        </pic:blipFill>
                        <pic:spPr bwMode="auto">
                          <a:xfrm>
                            <a:off x="0" y="0"/>
                            <a:ext cx="114935" cy="114935"/>
                          </a:xfrm>
                          <a:prstGeom prst="rect">
                            <a:avLst/>
                          </a:prstGeom>
                        </pic:spPr>
                      </pic:pic>
                    </a:graphicData>
                  </a:graphic>
                </wp:inline>
              </w:drawing>
            </w:r>
            <w:r>
              <w:rPr>
                <w:color w:val="000000"/>
                <w:sz w:val="18"/>
                <w:szCs w:val="18"/>
              </w:rPr>
              <w:t xml:space="preserve"> received the B.Eng. degree in electrical engineering from Chiang Mai University, Thailand, in 1988 and the M.S. and Ph.D. degrees in electric power engineering from Rensselaer Polytechnic Institute, Troy, NY, in 1992 and 1997, respectively. Currently, he is an Associate Professor at the Department of Electrical Engineering, Chiang Mai University. His research interests include renewable energy, power quality, high quality utility interface, power electronics, power generation, power grids, power supply quality, power transmission reliability, relay protection, power system stability, power transmission lines, power transmission planning, power transmission protection, battery chargers, circuit breakers, harmonic distortion, hydroelectric power stations, load flow control, overcurrent protection, particle swarm optimisation, power distribution protection, and artificial intelligence applied power system. He can be contacted at email: suttichai@mail.com.</w:t>
            </w:r>
          </w:p>
        </w:tc>
      </w:tr>
      <w:tr>
        <w:trPr/>
        <w:tc>
          <w:tcPr>
            <w:tcW w:w="1950" w:type="dxa"/>
            <w:tcBorders>
              <w:top w:val="single" w:sz="4" w:space="0" w:color="000000"/>
              <w:left w:val="single" w:sz="4" w:space="0" w:color="000000"/>
              <w:bottom w:val="single" w:sz="4" w:space="0" w:color="000000"/>
              <w:right w:val="single" w:sz="4" w:space="0" w:color="000000"/>
            </w:tcBorders>
          </w:tcPr>
          <w:p>
            <w:pPr>
              <w:pStyle w:val="Normal"/>
              <w:jc w:val="center"/>
              <w:rPr/>
            </w:pPr>
            <w:r>
              <w:rPr/>
            </w:r>
          </w:p>
        </w:tc>
        <w:tc>
          <w:tcPr>
            <w:tcW w:w="7088" w:type="dxa"/>
            <w:tcBorders>
              <w:top w:val="single" w:sz="4" w:space="0" w:color="000000"/>
              <w:left w:val="single" w:sz="4" w:space="0" w:color="000000"/>
              <w:bottom w:val="single" w:sz="4" w:space="0" w:color="000000"/>
              <w:right w:val="single" w:sz="4" w:space="0" w:color="000000"/>
            </w:tcBorders>
          </w:tcPr>
          <w:p>
            <w:pPr>
              <w:pStyle w:val="Normal"/>
              <w:jc w:val="both"/>
              <w:rPr>
                <w:b/>
                <w:bCs/>
                <w:color w:val="000000"/>
                <w:sz w:val="18"/>
                <w:szCs w:val="18"/>
              </w:rPr>
            </w:pPr>
            <w:r>
              <w:rPr>
                <w:b/>
                <w:bCs/>
                <w:color w:val="000000"/>
                <w:sz w:val="18"/>
                <w:szCs w:val="18"/>
              </w:rPr>
            </w:r>
          </w:p>
        </w:tc>
      </w:tr>
      <w:tr>
        <w:trPr/>
        <w:tc>
          <w:tcPr>
            <w:tcW w:w="1950" w:type="dxa"/>
            <w:tcBorders>
              <w:top w:val="single" w:sz="4" w:space="0" w:color="000000"/>
              <w:left w:val="single" w:sz="4" w:space="0" w:color="000000"/>
              <w:bottom w:val="single" w:sz="4" w:space="0" w:color="000000"/>
              <w:right w:val="single" w:sz="4" w:space="0" w:color="000000"/>
            </w:tcBorders>
          </w:tcPr>
          <w:p>
            <w:pPr>
              <w:pStyle w:val="Normal"/>
              <w:jc w:val="center"/>
              <w:rPr/>
            </w:pPr>
            <w:r>
              <w:rPr/>
              <w:drawing>
                <wp:inline distT="0" distB="0" distL="0" distR="0">
                  <wp:extent cx="1080135" cy="1440180"/>
                  <wp:effectExtent l="0" t="0" r="0" b="0"/>
                  <wp:docPr id="7" name="Picture 7" descr="C:\Users\MRISEN02\Pictures\angel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MRISEN02\Pictures\angela2.jpg"/>
                          <pic:cNvPicPr>
                            <a:picLocks noChangeAspect="1" noChangeArrowheads="1"/>
                          </pic:cNvPicPr>
                        </pic:nvPicPr>
                        <pic:blipFill>
                          <a:blip r:embed="rId14"/>
                          <a:srcRect l="12585" t="0" r="11294" b="0"/>
                          <a:stretch>
                            <a:fillRect/>
                          </a:stretch>
                        </pic:blipFill>
                        <pic:spPr bwMode="auto">
                          <a:xfrm>
                            <a:off x="0" y="0"/>
                            <a:ext cx="1080135" cy="1440180"/>
                          </a:xfrm>
                          <a:prstGeom prst="rect">
                            <a:avLst/>
                          </a:prstGeom>
                        </pic:spPr>
                      </pic:pic>
                    </a:graphicData>
                  </a:graphic>
                </wp:inline>
              </w:drawing>
            </w:r>
          </w:p>
        </w:tc>
        <w:tc>
          <w:tcPr>
            <w:tcW w:w="7088" w:type="dxa"/>
            <w:tcBorders>
              <w:top w:val="single" w:sz="4" w:space="0" w:color="000000"/>
              <w:left w:val="single" w:sz="4" w:space="0" w:color="000000"/>
              <w:bottom w:val="single" w:sz="4" w:space="0" w:color="000000"/>
              <w:right w:val="single" w:sz="4" w:space="0" w:color="000000"/>
            </w:tcBorders>
          </w:tcPr>
          <w:p>
            <w:pPr>
              <w:pStyle w:val="Normal"/>
              <w:jc w:val="both"/>
              <w:rPr>
                <w:b/>
                <w:bCs/>
                <w:color w:val="000000"/>
                <w:sz w:val="18"/>
                <w:szCs w:val="18"/>
              </w:rPr>
            </w:pPr>
            <w:r>
              <w:rPr>
                <w:b/>
                <w:bCs/>
                <w:color w:val="000000"/>
                <w:sz w:val="18"/>
                <w:szCs w:val="18"/>
              </w:rPr>
              <w:t xml:space="preserve">Angela Amphawan </w:t>
            </w:r>
            <w:r>
              <w:rPr/>
              <w:drawing>
                <wp:inline distT="0" distB="0" distL="0" distR="0">
                  <wp:extent cx="114935" cy="114935"/>
                  <wp:effectExtent l="0" t="0" r="0" b="0"/>
                  <wp:docPr id="8" name="Picture 23" descr="">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3" descr="">
                            <a:hlinkClick r:id="rId16"/>
                          </pic:cNvPr>
                          <pic:cNvPicPr>
                            <a:picLocks noChangeAspect="1" noChangeArrowheads="1"/>
                          </pic:cNvPicPr>
                        </pic:nvPicPr>
                        <pic:blipFill>
                          <a:blip r:embed="rId15"/>
                          <a:stretch>
                            <a:fillRect/>
                          </a:stretch>
                        </pic:blipFill>
                        <pic:spPr bwMode="auto">
                          <a:xfrm>
                            <a:off x="0" y="0"/>
                            <a:ext cx="114935" cy="114935"/>
                          </a:xfrm>
                          <a:prstGeom prst="rect">
                            <a:avLst/>
                          </a:prstGeom>
                        </pic:spPr>
                      </pic:pic>
                    </a:graphicData>
                  </a:graphic>
                </wp:inline>
              </w:drawing>
            </w:r>
            <w:r>
              <w:rPr>
                <w:color w:val="000000"/>
                <w:sz w:val="18"/>
                <w:szCs w:val="18"/>
              </w:rPr>
              <w:t xml:space="preserve"> </w:t>
            </w:r>
            <w:r>
              <w:rPr>
                <w:color w:val="000000"/>
                <w:sz w:val="18"/>
                <w:szCs w:val="18"/>
              </w:rPr>
              <w:drawing>
                <wp:inline distT="0" distB="0" distL="0" distR="0">
                  <wp:extent cx="114935" cy="114935"/>
                  <wp:effectExtent l="0" t="0" r="0" b="0"/>
                  <wp:docPr id="9" name="Picture 24" descr="">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4" descr="">
                            <a:hlinkClick r:id="rId18"/>
                          </pic:cNvPr>
                          <pic:cNvPicPr>
                            <a:picLocks noChangeAspect="1" noChangeArrowheads="1"/>
                          </pic:cNvPicPr>
                        </pic:nvPicPr>
                        <pic:blipFill>
                          <a:blip r:embed="rId17"/>
                          <a:stretch>
                            <a:fillRect/>
                          </a:stretch>
                        </pic:blipFill>
                        <pic:spPr bwMode="auto">
                          <a:xfrm>
                            <a:off x="0" y="0"/>
                            <a:ext cx="114935" cy="114935"/>
                          </a:xfrm>
                          <a:prstGeom prst="rect">
                            <a:avLst/>
                          </a:prstGeom>
                        </pic:spPr>
                      </pic:pic>
                    </a:graphicData>
                  </a:graphic>
                </wp:inline>
              </w:drawing>
            </w:r>
            <w:r>
              <w:rPr>
                <w:color w:val="000000"/>
                <w:sz w:val="18"/>
                <w:szCs w:val="18"/>
              </w:rPr>
              <w:t xml:space="preserve"> </w:t>
            </w:r>
            <w:r>
              <w:rPr>
                <w:color w:val="000000"/>
                <w:sz w:val="18"/>
                <w:szCs w:val="18"/>
              </w:rPr>
              <w:drawing>
                <wp:inline distT="0" distB="0" distL="0" distR="0">
                  <wp:extent cx="114935" cy="114935"/>
                  <wp:effectExtent l="0" t="0" r="0" b="0"/>
                  <wp:docPr id="10" name="Graphic 25" descr="">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25" descr="">
                            <a:hlinkClick r:id="rId21"/>
                          </pic:cNvPr>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114935" cy="114935"/>
                          </a:xfrm>
                          <a:prstGeom prst="rect">
                            <a:avLst/>
                          </a:prstGeom>
                        </pic:spPr>
                      </pic:pic>
                    </a:graphicData>
                  </a:graphic>
                </wp:inline>
              </w:drawing>
            </w:r>
            <w:r>
              <w:rPr>
                <w:color w:val="000000"/>
                <w:sz w:val="18"/>
                <w:szCs w:val="18"/>
              </w:rPr>
              <w:t xml:space="preserve"> </w:t>
            </w:r>
            <w:r>
              <w:rPr>
                <w:color w:val="000000"/>
                <w:sz w:val="18"/>
                <w:szCs w:val="18"/>
              </w:rPr>
              <w:drawing>
                <wp:inline distT="0" distB="0" distL="0" distR="0">
                  <wp:extent cx="114935" cy="114935"/>
                  <wp:effectExtent l="0" t="0" r="0" b="0"/>
                  <wp:docPr id="11" name="Picture 26" descr="">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6" descr="">
                            <a:hlinkClick r:id="rId23"/>
                          </pic:cNvPr>
                          <pic:cNvPicPr>
                            <a:picLocks noChangeAspect="1" noChangeArrowheads="1"/>
                          </pic:cNvPicPr>
                        </pic:nvPicPr>
                        <pic:blipFill>
                          <a:blip r:embed="rId22"/>
                          <a:stretch>
                            <a:fillRect/>
                          </a:stretch>
                        </pic:blipFill>
                        <pic:spPr bwMode="auto">
                          <a:xfrm>
                            <a:off x="0" y="0"/>
                            <a:ext cx="114935" cy="114935"/>
                          </a:xfrm>
                          <a:prstGeom prst="rect">
                            <a:avLst/>
                          </a:prstGeom>
                        </pic:spPr>
                      </pic:pic>
                    </a:graphicData>
                  </a:graphic>
                </wp:inline>
              </w:drawing>
            </w:r>
            <w:r>
              <w:rPr>
                <w:color w:val="000000"/>
                <w:sz w:val="18"/>
                <w:szCs w:val="18"/>
              </w:rPr>
              <w:t xml:space="preserve">  holds a PhD in optical communications from University of Oxford, United Kingdom. She is currently Head of the Optical Technology Group at the Universiti Utara Malaysia.  She is also a Fulbright Fellow at Massachusetts Institute of Technology (MIT), Cambridge, USA.  The pervasiveness of the Internet in today’s digital society brings to light her work on digital convergence for media communications, focusing on optical fiber communications, free-space optics and microwave photonics. Her research has been funded by the Fulbright Foundation, Telekom Malaysia and the Malaysian Ministry of Higher Education.  She has been elected on the Scientific Committee and Editorial Review Board for the World Academy of Science, Engineering and Technology.  She is also a research affiliate for the Asia Pacific International Telecommunications Union (ITU) and serves on the Editorial Board for the International Journal of Electrical and Computer Engineering as well as the International Journal of Informatics and Communication Technology.  In addition, she is a reviewer for leading optical journals such as Optics Express, Optics Letters, Journal of Lightwave Technology and IEEE Photonics Journal. She can be contacted at email: angela@uum.edu.my.</w:t>
            </w:r>
          </w:p>
        </w:tc>
      </w:tr>
      <w:tr>
        <w:trPr/>
        <w:tc>
          <w:tcPr>
            <w:tcW w:w="1950" w:type="dxa"/>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highlight w:val="yellow"/>
              </w:rPr>
            </w:pPr>
            <w:r>
              <w:rPr>
                <w:color w:val="000000"/>
                <w:highlight w:val="yellow"/>
              </w:rPr>
            </w:r>
          </w:p>
        </w:tc>
        <w:tc>
          <w:tcPr>
            <w:tcW w:w="7088" w:type="dxa"/>
            <w:tcBorders>
              <w:top w:val="single" w:sz="4" w:space="0" w:color="000000"/>
              <w:left w:val="single" w:sz="4" w:space="0" w:color="000000"/>
              <w:bottom w:val="single" w:sz="4" w:space="0" w:color="000000"/>
              <w:right w:val="single" w:sz="4" w:space="0" w:color="000000"/>
            </w:tcBorders>
          </w:tcPr>
          <w:p>
            <w:pPr>
              <w:pStyle w:val="Normal"/>
              <w:jc w:val="both"/>
              <w:rPr>
                <w:color w:val="000000"/>
                <w:sz w:val="18"/>
                <w:szCs w:val="18"/>
                <w:highlight w:val="yellow"/>
              </w:rPr>
            </w:pPr>
            <w:r>
              <w:rPr>
                <w:color w:val="000000"/>
                <w:sz w:val="18"/>
                <w:szCs w:val="18"/>
                <w:highlight w:val="yellow"/>
              </w:rPr>
            </w:r>
          </w:p>
        </w:tc>
      </w:tr>
      <w:tr>
        <w:trPr>
          <w:trHeight w:val="1547" w:hRule="atLeast"/>
        </w:trPr>
        <w:tc>
          <w:tcPr>
            <w:tcW w:w="19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highlight w:val="yellow"/>
              </w:rPr>
            </w:pPr>
            <w:r>
              <w:rPr/>
              <w:drawing>
                <wp:inline distT="0" distB="0" distL="0" distR="0">
                  <wp:extent cx="1080135" cy="1440180"/>
                  <wp:effectExtent l="0" t="0" r="0" b="0"/>
                  <wp:docPr id="12"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descr=""/>
                          <pic:cNvPicPr>
                            <a:picLocks noChangeAspect="1" noChangeArrowheads="1"/>
                          </pic:cNvPicPr>
                        </pic:nvPicPr>
                        <pic:blipFill>
                          <a:blip r:embed="rId24"/>
                          <a:stretch>
                            <a:fillRect/>
                          </a:stretch>
                        </pic:blipFill>
                        <pic:spPr bwMode="auto">
                          <a:xfrm>
                            <a:off x="0" y="0"/>
                            <a:ext cx="1080135" cy="1440180"/>
                          </a:xfrm>
                          <a:prstGeom prst="rect">
                            <a:avLst/>
                          </a:prstGeom>
                        </pic:spPr>
                      </pic:pic>
                    </a:graphicData>
                  </a:graphic>
                </wp:inline>
              </w:drawing>
            </w:r>
          </w:p>
        </w:tc>
        <w:tc>
          <w:tcPr>
            <w:tcW w:w="7088" w:type="dxa"/>
            <w:tcBorders>
              <w:top w:val="single" w:sz="4" w:space="0" w:color="000000"/>
              <w:left w:val="single" w:sz="4" w:space="0" w:color="000000"/>
              <w:bottom w:val="single" w:sz="4" w:space="0" w:color="000000"/>
              <w:right w:val="single" w:sz="4" w:space="0" w:color="000000"/>
            </w:tcBorders>
          </w:tcPr>
          <w:p>
            <w:pPr>
              <w:pStyle w:val="Normal"/>
              <w:jc w:val="both"/>
              <w:rPr>
                <w:color w:val="000000"/>
                <w:highlight w:val="yellow"/>
              </w:rPr>
            </w:pPr>
            <w:bookmarkStart w:id="30" w:name="_Hlk78354998"/>
            <w:bookmarkEnd w:id="30"/>
            <w:r>
              <w:rPr>
                <w:b/>
                <w:bCs/>
                <w:color w:val="000000"/>
                <w:sz w:val="18"/>
                <w:szCs w:val="18"/>
              </w:rPr>
              <w:t xml:space="preserve">Almoataz Y. Abdelaziz </w:t>
            </w:r>
            <w:r>
              <w:rPr/>
              <w:drawing>
                <wp:inline distT="0" distB="0" distL="0" distR="0">
                  <wp:extent cx="114935" cy="114935"/>
                  <wp:effectExtent l="0" t="0" r="0" b="0"/>
                  <wp:docPr id="13" name="Picture 19" descr="">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9" descr="">
                            <a:hlinkClick r:id="rId26"/>
                          </pic:cNvPr>
                          <pic:cNvPicPr>
                            <a:picLocks noChangeAspect="1" noChangeArrowheads="1"/>
                          </pic:cNvPicPr>
                        </pic:nvPicPr>
                        <pic:blipFill>
                          <a:blip r:embed="rId25"/>
                          <a:stretch>
                            <a:fillRect/>
                          </a:stretch>
                        </pic:blipFill>
                        <pic:spPr bwMode="auto">
                          <a:xfrm>
                            <a:off x="0" y="0"/>
                            <a:ext cx="114935" cy="114935"/>
                          </a:xfrm>
                          <a:prstGeom prst="rect">
                            <a:avLst/>
                          </a:prstGeom>
                        </pic:spPr>
                      </pic:pic>
                    </a:graphicData>
                  </a:graphic>
                </wp:inline>
              </w:drawing>
            </w:r>
            <w:r>
              <w:rPr>
                <w:color w:val="000000"/>
                <w:sz w:val="18"/>
                <w:szCs w:val="18"/>
              </w:rPr>
              <w:t xml:space="preserve"> </w:t>
            </w:r>
            <w:r>
              <w:rPr>
                <w:color w:val="000000"/>
                <w:sz w:val="18"/>
                <w:szCs w:val="18"/>
              </w:rPr>
              <w:drawing>
                <wp:inline distT="0" distB="0" distL="0" distR="0">
                  <wp:extent cx="114935" cy="114935"/>
                  <wp:effectExtent l="0" t="0" r="0" b="0"/>
                  <wp:docPr id="14" name="Picture 18" descr="">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descr="">
                            <a:hlinkClick r:id="rId28"/>
                          </pic:cNvPr>
                          <pic:cNvPicPr>
                            <a:picLocks noChangeAspect="1" noChangeArrowheads="1"/>
                          </pic:cNvPicPr>
                        </pic:nvPicPr>
                        <pic:blipFill>
                          <a:blip r:embed="rId27"/>
                          <a:stretch>
                            <a:fillRect/>
                          </a:stretch>
                        </pic:blipFill>
                        <pic:spPr bwMode="auto">
                          <a:xfrm>
                            <a:off x="0" y="0"/>
                            <a:ext cx="114935" cy="114935"/>
                          </a:xfrm>
                          <a:prstGeom prst="rect">
                            <a:avLst/>
                          </a:prstGeom>
                        </pic:spPr>
                      </pic:pic>
                    </a:graphicData>
                  </a:graphic>
                </wp:inline>
              </w:drawing>
            </w:r>
            <w:r>
              <w:rPr>
                <w:color w:val="000000"/>
                <w:sz w:val="18"/>
                <w:szCs w:val="18"/>
              </w:rPr>
              <w:t xml:space="preserve"> </w:t>
            </w:r>
            <w:r>
              <w:rPr>
                <w:color w:val="000000"/>
                <w:sz w:val="18"/>
                <w:szCs w:val="18"/>
              </w:rPr>
              <w:drawing>
                <wp:inline distT="0" distB="0" distL="0" distR="0">
                  <wp:extent cx="114935" cy="114935"/>
                  <wp:effectExtent l="0" t="0" r="0" b="0"/>
                  <wp:docPr id="15" name="Graphic 17" desc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7" descr="">
                            <a:hlinkClick r:id="rId31"/>
                          </pic:cNvPr>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bwMode="auto">
                          <a:xfrm>
                            <a:off x="0" y="0"/>
                            <a:ext cx="114935" cy="114935"/>
                          </a:xfrm>
                          <a:prstGeom prst="rect">
                            <a:avLst/>
                          </a:prstGeom>
                        </pic:spPr>
                      </pic:pic>
                    </a:graphicData>
                  </a:graphic>
                </wp:inline>
              </w:drawing>
            </w:r>
            <w:r>
              <w:rPr>
                <w:color w:val="000000"/>
                <w:sz w:val="18"/>
                <w:szCs w:val="18"/>
              </w:rPr>
              <w:t xml:space="preserve"> </w:t>
            </w:r>
            <w:r>
              <w:rPr>
                <w:color w:val="000000"/>
                <w:sz w:val="18"/>
                <w:szCs w:val="18"/>
              </w:rPr>
              <w:drawing>
                <wp:inline distT="0" distB="0" distL="0" distR="0">
                  <wp:extent cx="114935" cy="114935"/>
                  <wp:effectExtent l="0" t="0" r="0" b="0"/>
                  <wp:docPr id="16" name="Picture 16" descr="">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a:hlinkClick r:id="rId33"/>
                          </pic:cNvPr>
                          <pic:cNvPicPr>
                            <a:picLocks noChangeAspect="1" noChangeArrowheads="1"/>
                          </pic:cNvPicPr>
                        </pic:nvPicPr>
                        <pic:blipFill>
                          <a:blip r:embed="rId32"/>
                          <a:stretch>
                            <a:fillRect/>
                          </a:stretch>
                        </pic:blipFill>
                        <pic:spPr bwMode="auto">
                          <a:xfrm>
                            <a:off x="0" y="0"/>
                            <a:ext cx="114935" cy="114935"/>
                          </a:xfrm>
                          <a:prstGeom prst="rect">
                            <a:avLst/>
                          </a:prstGeom>
                        </pic:spPr>
                      </pic:pic>
                    </a:graphicData>
                  </a:graphic>
                </wp:inline>
              </w:drawing>
            </w:r>
            <w:r>
              <w:rPr>
                <w:color w:val="000000"/>
                <w:sz w:val="18"/>
                <w:szCs w:val="18"/>
              </w:rPr>
              <w:t xml:space="preserve"> received the B.Sc. and M.Sc. degrees in electrical engineering from Ain Shams University, Cairo, Egypt, in 1985 and 1990, respectively, and the Ph.D. degree in electrical engineering according to the channel system between Ain Shams University, Egypt, and Brunel University, U.K., in 1996. He has been a professor of electrical power engineering with Ain Shams University, since 2007. He is currently the Vice Dean of Faculty of Engineering and Technology, Future University in Egypt, Cairo, Egypt. He has authored or coauthored more than 400 refereed journal and conference papers, 25 book chapters, and three edited books with Elsevier and Springer. His research interests include the applications of artificial intelligence, evolutionary and heuristic optimization techniques to power system planning, operation, and control. He can be contacted at email: almoataz@mail.com.</w:t>
            </w:r>
          </w:p>
        </w:tc>
      </w:tr>
    </w:tbl>
    <w:p>
      <w:pPr>
        <w:pStyle w:val="Normal"/>
        <w:ind w:firstLine="720"/>
        <w:jc w:val="both"/>
        <w:rPr>
          <w:iCs/>
        </w:rPr>
      </w:pPr>
      <w:r>
        <w:rPr>
          <w:iCs/>
        </w:rPr>
      </w:r>
    </w:p>
    <w:p>
      <w:pPr>
        <w:pStyle w:val="Normal"/>
        <w:ind w:firstLine="720"/>
        <w:jc w:val="both"/>
        <w:rPr>
          <w:iCs/>
        </w:rPr>
      </w:pPr>
      <w:r>
        <w:rPr>
          <w:iCs/>
        </w:rPr>
      </w:r>
    </w:p>
    <w:sectPr>
      <w:headerReference w:type="even" r:id="rId34"/>
      <w:headerReference w:type="default" r:id="rId35"/>
      <w:headerReference w:type="first" r:id="rId36"/>
      <w:footerReference w:type="even" r:id="rId37"/>
      <w:footerReference w:type="default" r:id="rId38"/>
      <w:footerReference w:type="first" r:id="rId39"/>
      <w:type w:val="nextPage"/>
      <w:pgSz w:w="11906" w:h="16838"/>
      <w:pgMar w:left="1701" w:right="1418" w:gutter="0" w:header="1134" w:top="1418" w:footer="1134" w:bottom="1418"/>
      <w:pgNumType w:start="1"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ourier New">
    <w:charset w:val="01"/>
    <w:family w:val="roman"/>
    <w:pitch w:val="variable"/>
  </w:font>
  <w:font w:name="NimbusRomNo9L-Medi">
    <w:charset w:val="01"/>
    <w:family w:val="roman"/>
    <w:pitch w:val="variable"/>
  </w:font>
  <w:font w:name="NimbusRomNo9L-Regu">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ahoma">
    <w:charset w:val="01"/>
    <w:family w:val="roman"/>
    <w:pitch w:val="variable"/>
  </w:font>
  <w:font w:name="Palatino">
    <w:charset w:val="01"/>
    <w:family w:val="roman"/>
    <w:pitch w:val="variable"/>
  </w:font>
  <w:font w:name="Calibri">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2992" w:leader="none"/>
      </w:tabs>
      <w:spacing w:before="240" w:after="0"/>
      <w:rPr/>
    </w:pPr>
    <w:r>
      <mc:AlternateContent>
        <mc:Choice Requires="wps">
          <w:drawing>
            <wp:anchor behindDoc="1" distT="5080" distB="5080" distL="5080" distR="5080" simplePos="0" locked="0" layoutInCell="1" allowOverlap="1" relativeHeight="15" wp14:anchorId="307E942D">
              <wp:simplePos x="0" y="0"/>
              <wp:positionH relativeFrom="column">
                <wp:posOffset>-17780</wp:posOffset>
              </wp:positionH>
              <wp:positionV relativeFrom="paragraph">
                <wp:posOffset>144145</wp:posOffset>
              </wp:positionV>
              <wp:extent cx="5615940" cy="0"/>
              <wp:effectExtent l="5080" t="5080" r="5080" b="5080"/>
              <wp:wrapNone/>
              <wp:docPr id="22" name="Line 3"/>
              <a:graphic xmlns:a="http://schemas.openxmlformats.org/drawingml/2006/main">
                <a:graphicData uri="http://schemas.microsoft.com/office/word/2010/wordprocessingShape">
                  <wps:wsp>
                    <wps:cNvSpPr/>
                    <wps:spPr>
                      <a:xfrm>
                        <a:off x="0" y="0"/>
                        <a:ext cx="5616000" cy="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4pt,11.35pt" to="440.75pt,11.35pt" ID="Line 3" stroked="t" o:allowincell="f" style="position:absolute" wp14:anchorId="307E942D">
              <v:stroke color="black" weight="9360" joinstyle="round" endcap="flat"/>
              <v:fill o:detectmouseclick="t" on="false"/>
              <w10:wrap type="none"/>
            </v:line>
          </w:pict>
        </mc:Fallback>
      </mc:AlternateContent>
    </w:r>
    <w:r>
      <w:rPr/>
      <w:t>Int J Elec &amp; Comp Eng, Vol. 99, No. 1, Month 2099: 1-1x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i/>
        <w:i/>
      </w:rPr>
    </w:pPr>
    <w:r>
      <mc:AlternateContent>
        <mc:Choice Requires="wps">
          <w:drawing>
            <wp:anchor behindDoc="1" distT="5080" distB="5080" distL="5080" distR="5080" simplePos="0" locked="0" layoutInCell="1" allowOverlap="1" relativeHeight="19" wp14:anchorId="62A3734C">
              <wp:simplePos x="0" y="0"/>
              <wp:positionH relativeFrom="column">
                <wp:posOffset>-17780</wp:posOffset>
              </wp:positionH>
              <wp:positionV relativeFrom="paragraph">
                <wp:posOffset>635</wp:posOffset>
              </wp:positionV>
              <wp:extent cx="5615940" cy="635"/>
              <wp:effectExtent l="5080" t="5080" r="5080" b="5080"/>
              <wp:wrapNone/>
              <wp:docPr id="23" name="Line 3"/>
              <a:graphic xmlns:a="http://schemas.openxmlformats.org/drawingml/2006/main">
                <a:graphicData uri="http://schemas.microsoft.com/office/word/2010/wordprocessingShape">
                  <wps:wsp>
                    <wps:cNvSpPr/>
                    <wps:spPr>
                      <a:xfrm>
                        <a:off x="0" y="0"/>
                        <a:ext cx="561600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4pt,0.05pt" to="440.75pt,0.05pt" ID="Line 3" stroked="t" o:allowincell="f" style="position:absolute" wp14:anchorId="62A3734C">
              <v:stroke color="black" weight="9360" joinstyle="round" endcap="flat"/>
              <v:fill o:detectmouseclick="t" on="false"/>
              <w10:wrap type="none"/>
            </v:line>
          </w:pict>
        </mc:Fallback>
      </mc:AlternateContent>
    </w:r>
    <w:r>
      <w:rPr>
        <w:i/>
        <w:iCs/>
      </w:rPr>
      <w:t xml:space="preserve">Paper’s should be the fewest possible that accurately describe </w:t>
    </w:r>
    <w:r>
      <w:rPr>
        <w:i/>
      </w:rPr>
      <w:t>… (First Author)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i/>
        <w:i/>
        <w:szCs w:val="18"/>
      </w:rPr>
    </w:pPr>
    <w:r>
      <mc:AlternateContent>
        <mc:Choice Requires="wps">
          <w:drawing>
            <wp:anchor behindDoc="1" distT="5715" distB="5080" distL="5080" distR="5715" simplePos="0" locked="0" layoutInCell="1" allowOverlap="1" relativeHeight="21" wp14:anchorId="066E0B6C">
              <wp:simplePos x="0" y="0"/>
              <wp:positionH relativeFrom="column">
                <wp:posOffset>-17780</wp:posOffset>
              </wp:positionH>
              <wp:positionV relativeFrom="paragraph">
                <wp:posOffset>144145</wp:posOffset>
              </wp:positionV>
              <wp:extent cx="5615940" cy="635"/>
              <wp:effectExtent l="5080" t="5715" r="5715" b="5080"/>
              <wp:wrapNone/>
              <wp:docPr id="24" name="AutoShape 6"/>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AutoShape 6" path="m0,0l-2147483648,-2147483647e" stroked="t" o:allowincell="f" style="position:absolute;margin-left:-1.4pt;margin-top:11.35pt;width:442.15pt;height:0pt;mso-wrap-style:none;v-text-anchor:middle" wp14:anchorId="066E0B6C" type="_x0000_t32">
              <v:fill o:detectmouseclick="t" on="false"/>
              <v:stroke color="black" weight="9360" joinstyle="round" endcap="flat"/>
              <w10:wrap type="none"/>
            </v:shape>
          </w:pict>
        </mc:Fallback>
      </mc:AlternateContent>
    </w:r>
    <w:r>
      <w:rPr>
        <w:b/>
        <w:i/>
        <w:szCs w:val="18"/>
      </w:rPr>
      <w:t>Journal homepage</w:t>
    </w:r>
    <w:r>
      <w:rPr>
        <w:i/>
        <w:szCs w:val="18"/>
      </w:rPr>
      <w:t>: http://ijece.iaescore.com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right" w:pos="851" w:leader="none"/>
        <w:tab w:val="left" w:pos="3405" w:leader="none"/>
        <w:tab w:val="right" w:pos="8789" w:leader="none"/>
      </w:tabs>
      <w:spacing w:before="0" w:after="240"/>
      <w:rPr/>
    </w:pPr>
    <w:r>
      <w:rPr/>
      <mc:AlternateContent>
        <mc:Choice Requires="wps">
          <w:drawing>
            <wp:anchor behindDoc="1" distT="5715" distB="5080" distL="5080" distR="5715" simplePos="0" locked="0" layoutInCell="1" allowOverlap="1" relativeHeight="6" wp14:anchorId="36240665">
              <wp:simplePos x="0" y="0"/>
              <wp:positionH relativeFrom="column">
                <wp:posOffset>-17780</wp:posOffset>
              </wp:positionH>
              <wp:positionV relativeFrom="paragraph">
                <wp:posOffset>180340</wp:posOffset>
              </wp:positionV>
              <wp:extent cx="5615940" cy="635"/>
              <wp:effectExtent l="5080" t="5715" r="5715" b="5080"/>
              <wp:wrapNone/>
              <wp:docPr id="17" name="AutoShape 7"/>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7" path="m0,0l-2147483648,-2147483647e" stroked="t" o:allowincell="f" style="position:absolute;margin-left:-1.4pt;margin-top:14.2pt;width:442.15pt;height:0pt;mso-wrap-style:none;v-text-anchor:middle" wp14:anchorId="36240665" type="_x0000_t32">
              <v:fill o:detectmouseclick="t" on="false"/>
              <v:stroke color="black" weight="9360" joinstyle="round" endcap="flat"/>
              <w10:wrap type="none"/>
            </v:shape>
          </w:pict>
        </mc:Fallback>
      </mc:AlternateContent>
      <w:t xml:space="preserve">     </w:t>
    </w:r>
    <w:r>
      <w:rPr/>
      <w:tab/>
    </w:r>
    <w:r>
      <w:rPr>
        <w:rFonts w:eastAsia="Wingdings" w:cs="Wingdings" w:ascii="Wingdings" w:hAnsi="Wingdings"/>
      </w:rPr>
      <w:sym w:font="Wingdings" w:char="f072"/>
    </w:r>
    <w:r>
      <w:rPr/>
      <mc:AlternateContent>
        <mc:Choice Requires="wps">
          <w:drawing>
            <wp:anchor behindDoc="1" distT="0" distB="635" distL="0" distR="0" simplePos="0" locked="0" layoutInCell="0" allowOverlap="1" relativeHeight="30">
              <wp:simplePos x="0" y="0"/>
              <wp:positionH relativeFrom="page">
                <wp:posOffset>1077595</wp:posOffset>
              </wp:positionH>
              <wp:positionV relativeFrom="paragraph">
                <wp:posOffset>-1270</wp:posOffset>
              </wp:positionV>
              <wp:extent cx="64135" cy="292100"/>
              <wp:effectExtent l="0" t="0" r="0" b="0"/>
              <wp:wrapSquare wrapText="bothSides"/>
              <wp:docPr id="18" name="Marco1"/>
              <a:graphic xmlns:a="http://schemas.openxmlformats.org/drawingml/2006/main">
                <a:graphicData uri="http://schemas.microsoft.com/office/word/2010/wordprocessingShape">
                  <wps:wsp>
                    <wps:cNvSpPr/>
                    <wps:spPr>
                      <a:xfrm>
                        <a:off x="0" y="0"/>
                        <a:ext cx="64080" cy="2919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lIns="0" rIns="0" tIns="0" bIns="0" anchor="t">
                      <a:spAutoFit/>
                    </wps:bodyPr>
                  </wps:wsp>
                </a:graphicData>
              </a:graphic>
            </wp:anchor>
          </w:drawing>
        </mc:Choice>
        <mc:Fallback>
          <w:pict>
            <v:rect id="shape_0" ID="Marco1" path="m0,0l-2147483645,0l-2147483645,-2147483646l0,-2147483646xe" fillcolor="white" stroked="f" o:allowincell="f" style="position:absolute;margin-left:84.85pt;margin-top:-0.1pt;width:5pt;height:22.95pt;mso-wrap-style:square;v-text-anchor:top;mso-position-horizontal-relative:page">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r>
      <w:rPr/>
      <w:t xml:space="preserve"> </w:t>
      <w:tab/>
      <w:tab/>
      <w:t xml:space="preserve">       ISSN: 2088-8708</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0" w:leader="none"/>
        <w:tab w:val="center" w:pos="4301" w:leader="none"/>
        <w:tab w:val="left" w:pos="7938" w:leader="none"/>
      </w:tabs>
      <w:rPr/>
    </w:pPr>
    <w:r>
      <w:rPr/>
      <w:t xml:space="preserve">Int J Elec &amp; Comp Eng </w:t>
      <w:tab/>
      <w:t>ISSN: 2088-8708</w:t>
      <w:tab/>
    </w:r>
    <w:r>
      <w:rPr>
        <w:rFonts w:eastAsia="Wingdings" w:cs="Wingdings" w:ascii="Wingdings" w:hAnsi="Wingdings"/>
      </w:rPr>
      <mc:AlternateContent>
        <mc:Choice Requires="wps">
          <w:drawing>
            <wp:anchor behindDoc="1" distT="0" distB="0" distL="0" distR="0" simplePos="0" locked="0" layoutInCell="0" allowOverlap="1" relativeHeight="38">
              <wp:simplePos x="0" y="0"/>
              <wp:positionH relativeFrom="margin">
                <wp:align>outside</wp:align>
              </wp:positionH>
              <wp:positionV relativeFrom="paragraph">
                <wp:posOffset>635</wp:posOffset>
              </wp:positionV>
              <wp:extent cx="64135" cy="145415"/>
              <wp:effectExtent l="0" t="0" r="0" b="0"/>
              <wp:wrapSquare wrapText="bothSides"/>
              <wp:docPr id="19" name="Marco2"/>
              <a:graphic xmlns:a="http://schemas.openxmlformats.org/drawingml/2006/main">
                <a:graphicData uri="http://schemas.microsoft.com/office/word/2010/wordprocessingShape">
                  <wps:wsp>
                    <wps:cNvSpPr/>
                    <wps:spPr>
                      <a:xfrm>
                        <a:off x="0" y="0"/>
                        <a:ext cx="6408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lIns="0" rIns="0" tIns="0" bIns="0" anchor="t">
                      <a:spAutoFit/>
                    </wps:bodyPr>
                  </wps:wsp>
                </a:graphicData>
              </a:graphic>
            </wp:anchor>
          </w:drawing>
        </mc:Choice>
        <mc:Fallback>
          <w:pict>
            <v:rect id="shape_0" ID="Marco2" path="m0,0l-2147483645,0l-2147483645,-2147483646l0,-2147483646xe" fillcolor="white" stroked="f" o:allowincell="f" style="position:absolute;margin-left:-0.05pt;margin-top:0.05pt;width:5pt;height:11.4pt;mso-wrap-style:square;v-text-anchor:top;mso-position-horizontal:outside;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r>
      <w:rPr>
        <w:rFonts w:eastAsia="Wingdings" w:cs="Wingdings" w:ascii="Wingdings" w:hAnsi="Wingdings"/>
      </w:rPr>
      <w:sym w:font="Wingdings" w:char="f072"/>
    </w:r>
  </w:p>
  <w:p>
    <w:pPr>
      <w:pStyle w:val="Header"/>
      <w:ind w:firstLine="360" w:right="360"/>
      <w:rPr/>
    </w:pPr>
    <w:r>
      <w:rPr/>
      <mc:AlternateContent>
        <mc:Choice Requires="wps">
          <w:drawing>
            <wp:anchor behindDoc="1" distT="5715" distB="5080" distL="5080" distR="5715" simplePos="0" locked="0" layoutInCell="1" allowOverlap="1" relativeHeight="10" wp14:anchorId="485510DB">
              <wp:simplePos x="0" y="0"/>
              <wp:positionH relativeFrom="column">
                <wp:posOffset>-17780</wp:posOffset>
              </wp:positionH>
              <wp:positionV relativeFrom="paragraph">
                <wp:posOffset>17780</wp:posOffset>
              </wp:positionV>
              <wp:extent cx="5615940" cy="635"/>
              <wp:effectExtent l="5080" t="5715" r="5715" b="5080"/>
              <wp:wrapNone/>
              <wp:docPr id="20" name="AutoShape 7"/>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AutoShape 7" path="m0,0l-2147483648,-2147483647e" stroked="t" o:allowincell="f" style="position:absolute;margin-left:-1.4pt;margin-top:1.4pt;width:442.15pt;height:0pt;mso-wrap-style:none;v-text-anchor:middle" wp14:anchorId="485510DB" type="_x0000_t32">
              <v:fill o:detectmouseclick="t" on="false"/>
              <v:stroke color="black" weight="9360" joinstyle="round"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ind w:right="45"/>
      <w:rPr>
        <w:b/>
      </w:rPr>
    </w:pPr>
    <w:r>
      <w:rPr>
        <w:b/>
      </w:rPr>
      <w:t>International Journal of Electrical and Computer Engineering (IJECE)</w:t>
    </w:r>
  </w:p>
  <w:p>
    <w:pPr>
      <w:pStyle w:val="Header"/>
      <w:tabs>
        <w:tab w:val="clear" w:pos="4320"/>
        <w:tab w:val="clear" w:pos="8640"/>
      </w:tabs>
      <w:ind w:right="45"/>
      <w:rPr/>
    </w:pPr>
    <w:bookmarkStart w:id="31" w:name="_Hlk80000548"/>
    <w:r>
      <w:rPr/>
      <w:t>Vol. 99, No. 1, Month 2099, pp. 1~1x</w:t>
    </w:r>
    <w:bookmarkEnd w:id="31"/>
  </w:p>
  <w:p>
    <w:pPr>
      <w:pStyle w:val="Header"/>
      <w:tabs>
        <w:tab w:val="clear" w:pos="4320"/>
        <w:tab w:val="clear" w:pos="8640"/>
        <w:tab w:val="left" w:pos="7938" w:leader="none"/>
        <w:tab w:val="right" w:pos="8789" w:leader="none"/>
      </w:tabs>
      <w:rPr>
        <w:rStyle w:val="PageNumber"/>
      </w:rPr>
    </w:pPr>
    <w:r>
      <w:rPr/>
      <w:t>ISSN: 2088-8708, DOI: 10.11591/ijece.v99i1.pp1-1x</w:t>
      <w:tab/>
    </w:r>
    <w:r>
      <w:rPr>
        <w:rFonts w:eastAsia="Wingdings" w:cs="Wingdings" w:ascii="Wingdings" w:hAnsi="Wingdings"/>
      </w:rPr>
      <w:sym w:font="Wingdings" w:char="f072"/>
    </w:r>
    <w:r>
      <w:rPr/>
      <w:t xml:space="preserve">    </w:t>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mc:AlternateContent>
        <mc:Choice Requires="wps">
          <w:drawing>
            <wp:anchor behindDoc="1" distT="5715" distB="5080" distL="5080" distR="5715" simplePos="0" locked="0" layoutInCell="1" allowOverlap="1" relativeHeight="20" wp14:anchorId="480481AD">
              <wp:simplePos x="0" y="0"/>
              <wp:positionH relativeFrom="column">
                <wp:posOffset>-19050</wp:posOffset>
              </wp:positionH>
              <wp:positionV relativeFrom="paragraph">
                <wp:posOffset>180975</wp:posOffset>
              </wp:positionV>
              <wp:extent cx="5615940" cy="635"/>
              <wp:effectExtent l="5080" t="5715" r="5715" b="5080"/>
              <wp:wrapNone/>
              <wp:docPr id="21" name="AutoShape 6"/>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AutoShape 6" path="m0,0l-2147483648,-2147483647e" stroked="t" o:allowincell="f" style="position:absolute;margin-left:-1.5pt;margin-top:14.25pt;width:442.15pt;height:0pt;mso-wrap-style:none;v-text-anchor:middle" wp14:anchorId="480481AD" type="_x0000_t32">
              <v:fill o:detectmouseclick="t" on="false"/>
              <v:stroke color="black" weight="9360" joinstyle="round" endcap="flat"/>
              <w10:wrap type="none"/>
            </v:shape>
          </w:pict>
        </mc:Fallback>
      </mc:AlternateContent>
    </w:r>
    <w:r>
      <w:rPr>
        <w:rStyle w:val="PageNumber"/>
      </w:rPr>
      <w:tab/>
    </w:r>
  </w:p>
  <w:p>
    <w:pPr>
      <w:pStyle w:val="Header"/>
      <w:tabs>
        <w:tab w:val="clear" w:pos="4320"/>
        <w:tab w:val="clear" w:pos="8640"/>
        <w:tab w:val="left" w:pos="7938" w:leader="none"/>
        <w:tab w:val="right" w:pos="8789" w:leader="none"/>
      </w:tabs>
      <w:rPr>
        <w:rStyle w:val="PageNumb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360"/>
        </w:tabs>
        <w:ind w:left="360" w:hanging="360"/>
      </w:pPr>
      <w:rPr>
        <w:sz w:val="16"/>
        <w:i w:val="false"/>
        <w:b w:val="false"/>
        <w:rFonts w:ascii="Times New Roman" w:hAnsi="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upperRoman"/>
      <w:lvlText w:val="TABLE %1. "/>
      <w:lvlJc w:val="left"/>
      <w:pPr>
        <w:tabs>
          <w:tab w:val="num" w:pos="1080"/>
        </w:tabs>
        <w:ind w:left="0" w:hanging="0"/>
      </w:pPr>
      <w:rPr>
        <w:sz w:val="16"/>
        <w:i w:val="false"/>
        <w:b w:val="false"/>
        <w:rFonts w:ascii="Times New Roman" w:hAnsi="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sz w:val="20"/>
        <w:i w:val="false"/>
        <w:b/>
        <w:rFonts w:ascii="Times New Roman" w:hAnsi="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360" w:hanging="360"/>
      </w:pPr>
      <w:rPr>
        <w:sz w:val="18"/>
        <w:b/>
        <w:szCs w:val="18"/>
        <w:bCs/>
        <w:rFonts w:ascii="Times New Roman" w:hAnsi="Times New Roman"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1429" w:hanging="360"/>
      </w:pPr>
      <w:rPr>
        <w:rFonts w:ascii="Calibri" w:hAnsi="Calibri" w:cs="Calibri"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Calibri" w:hAnsi="Calibri" w:cs="Calibri"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9">
    <w:lvl w:ilvl="0">
      <w:start w:val="1"/>
      <w:numFmt w:val="bullet"/>
      <w:lvlText w:val=""/>
      <w:lvlJc w:val="left"/>
      <w:pPr>
        <w:tabs>
          <w:tab w:val="num" w:pos="0"/>
        </w:tabs>
        <w:ind w:left="1146" w:hanging="360"/>
      </w:pPr>
      <w:rPr>
        <w:rFonts w:ascii="Wingdings" w:hAnsi="Wingdings" w:cs="Wingdings"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30"/>
  <w:defaultTabStop w:val="720"/>
  <w:autoHyphenation w:val="true"/>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ms-MY"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1546"/>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rsid w:val="00c15a56"/>
    <w:pPr>
      <w:keepNext w:val="true"/>
      <w:spacing w:lineRule="auto" w:line="480"/>
      <w:jc w:val="center"/>
      <w:outlineLvl w:val="0"/>
    </w:pPr>
    <w:rPr>
      <w:b/>
      <w:bCs/>
    </w:rPr>
  </w:style>
  <w:style w:type="paragraph" w:styleId="Heading2">
    <w:name w:val="Heading 2"/>
    <w:basedOn w:val="Normal"/>
    <w:next w:val="Normal"/>
    <w:qFormat/>
    <w:rsid w:val="00fa0403"/>
    <w:pPr>
      <w:keepNext w:val="true"/>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val="true"/>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val="true"/>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val="true"/>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val="true"/>
      <w:outlineLvl w:val="7"/>
    </w:pPr>
    <w:rPr>
      <w:b/>
      <w:bCs/>
      <w:lang w:val="pl-PL" w:eastAsia="pl-PL"/>
    </w:rPr>
  </w:style>
  <w:style w:type="paragraph" w:styleId="Heading9">
    <w:name w:val="Heading 9"/>
    <w:basedOn w:val="Normal"/>
    <w:next w:val="Normal"/>
    <w:qFormat/>
    <w:rsid w:val="00097958"/>
    <w:pPr>
      <w:keepNext w:val="true"/>
      <w:ind w:right="-4041"/>
      <w:outlineLvl w:val="8"/>
    </w:pPr>
    <w:rPr>
      <w:b/>
      <w:bCs/>
      <w:lang w:val="en-AU" w:eastAsia="pl-PL"/>
    </w:rPr>
  </w:style>
  <w:style w:type="character" w:styleId="DefaultParagraphFont" w:default="1">
    <w:name w:val="Default Paragraph Font"/>
    <w:uiPriority w:val="1"/>
    <w:semiHidden/>
    <w:unhideWhenUsed/>
    <w:qFormat/>
    <w:rPr/>
  </w:style>
  <w:style w:type="character" w:styleId="Hyperlink">
    <w:name w:val="Hyperlink"/>
    <w:basedOn w:val="DefaultParagraphFont"/>
    <w:rsid w:val="00102a61"/>
    <w:rPr>
      <w:color w:val="0000FF"/>
      <w:u w:val="single"/>
    </w:rPr>
  </w:style>
  <w:style w:type="character" w:styleId="PageNumber">
    <w:name w:val="Page Number"/>
    <w:basedOn w:val="DefaultParagraphFont"/>
    <w:rsid w:val="0094367d"/>
    <w:rPr/>
  </w:style>
  <w:style w:type="character" w:styleId="Caracteresdenotaalpie">
    <w:name w:val="Caracteres de nota al pie"/>
    <w:semiHidden/>
    <w:qFormat/>
    <w:rsid w:val="00fa0403"/>
    <w:rPr>
      <w:vertAlign w:val="superscript"/>
    </w:rPr>
  </w:style>
  <w:style w:type="character" w:styleId="FootnoteReference">
    <w:name w:val="Footnote Reference"/>
    <w:rPr>
      <w:vertAlign w:val="superscript"/>
    </w:rPr>
  </w:style>
  <w:style w:type="character" w:styleId="Style10ptJustifiedChar" w:customStyle="1">
    <w:name w:val="Style 10 pt Justified Char"/>
    <w:basedOn w:val="DefaultParagraphFont"/>
    <w:link w:val="Style10ptJustified"/>
    <w:qFormat/>
    <w:rsid w:val="00353885"/>
    <w:rPr>
      <w:rFonts w:ascii="Arial" w:hAnsi="Arial" w:eastAsia="MS Mincho" w:cs="Arial"/>
      <w:iCs/>
      <w:lang w:val="en-GB" w:eastAsia="en-US" w:bidi="ar-SA"/>
    </w:rPr>
  </w:style>
  <w:style w:type="character" w:styleId="CharChar" w:customStyle="1">
    <w:name w:val="Char Char"/>
    <w:basedOn w:val="DefaultParagraphFont"/>
    <w:qFormat/>
    <w:rsid w:val="00097958"/>
    <w:rPr>
      <w:rFonts w:ascii="Courier New" w:hAnsi="Courier New" w:eastAsia="BatangChe"/>
      <w:sz w:val="24"/>
      <w:szCs w:val="24"/>
      <w:lang w:val="en-US" w:eastAsia="en-US"/>
    </w:rPr>
  </w:style>
  <w:style w:type="character" w:styleId="Strong">
    <w:name w:val="Strong"/>
    <w:basedOn w:val="DefaultParagraphFont"/>
    <w:qFormat/>
    <w:rsid w:val="00335be8"/>
    <w:rPr>
      <w:rFonts w:cs="Times New Roman"/>
      <w:b/>
      <w:bCs/>
    </w:rPr>
  </w:style>
  <w:style w:type="character" w:styleId="Emphasis">
    <w:name w:val="Emphasis"/>
    <w:basedOn w:val="DefaultParagraphFont"/>
    <w:uiPriority w:val="20"/>
    <w:qFormat/>
    <w:rsid w:val="00232da1"/>
    <w:rPr>
      <w:i/>
      <w:iCs/>
    </w:rPr>
  </w:style>
  <w:style w:type="character" w:styleId="shorttext" w:customStyle="1">
    <w:name w:val="short_text"/>
    <w:basedOn w:val="DefaultParagraphFont"/>
    <w:qFormat/>
    <w:rsid w:val="007017c6"/>
    <w:rPr/>
  </w:style>
  <w:style w:type="character" w:styleId="longtext" w:customStyle="1">
    <w:name w:val="long_text"/>
    <w:basedOn w:val="DefaultParagraphFont"/>
    <w:qFormat/>
    <w:rsid w:val="004947b9"/>
    <w:rPr/>
  </w:style>
  <w:style w:type="character" w:styleId="apple-style-span" w:customStyle="1">
    <w:name w:val="apple-style-span"/>
    <w:basedOn w:val="DefaultParagraphFont"/>
    <w:qFormat/>
    <w:rsid w:val="00c35b8f"/>
    <w:rPr/>
  </w:style>
  <w:style w:type="character" w:styleId="apple-converted-space" w:customStyle="1">
    <w:name w:val="apple-converted-space"/>
    <w:basedOn w:val="DefaultParagraphFont"/>
    <w:qFormat/>
    <w:rsid w:val="00c35b8f"/>
    <w:rPr/>
  </w:style>
  <w:style w:type="character" w:styleId="hps" w:customStyle="1">
    <w:name w:val="hps"/>
    <w:basedOn w:val="DefaultParagraphFont"/>
    <w:qFormat/>
    <w:rsid w:val="008f05b8"/>
    <w:rPr/>
  </w:style>
  <w:style w:type="character" w:styleId="st" w:customStyle="1">
    <w:name w:val="st"/>
    <w:basedOn w:val="DefaultParagraphFont"/>
    <w:qFormat/>
    <w:rsid w:val="00956eb6"/>
    <w:rPr/>
  </w:style>
  <w:style w:type="character" w:styleId="fontstyle01" w:customStyle="1">
    <w:name w:val="fontstyle01"/>
    <w:basedOn w:val="DefaultParagraphFont"/>
    <w:qFormat/>
    <w:rsid w:val="00f15bf4"/>
    <w:rPr>
      <w:rFonts w:ascii="NimbusRomNo9L-Medi" w:hAnsi="NimbusRomNo9L-Medi"/>
      <w:b/>
      <w:bCs/>
      <w:i w:val="false"/>
      <w:iCs w:val="false"/>
      <w:color w:val="000000"/>
      <w:sz w:val="20"/>
      <w:szCs w:val="20"/>
    </w:rPr>
  </w:style>
  <w:style w:type="character" w:styleId="fontstyle21" w:customStyle="1">
    <w:name w:val="fontstyle21"/>
    <w:basedOn w:val="DefaultParagraphFont"/>
    <w:qFormat/>
    <w:rsid w:val="00f15bf4"/>
    <w:rPr>
      <w:rFonts w:ascii="NimbusRomNo9L-Regu" w:hAnsi="NimbusRomNo9L-Regu"/>
      <w:b w:val="false"/>
      <w:bCs w:val="false"/>
      <w:i w:val="false"/>
      <w:iCs w:val="false"/>
      <w:color w:val="000000"/>
      <w:sz w:val="20"/>
      <w:szCs w:val="20"/>
    </w:rPr>
  </w:style>
  <w:style w:type="character" w:styleId="UnresolvedMention1" w:customStyle="1">
    <w:name w:val="Unresolved Mention1"/>
    <w:basedOn w:val="DefaultParagraphFont"/>
    <w:uiPriority w:val="99"/>
    <w:semiHidden/>
    <w:unhideWhenUsed/>
    <w:qFormat/>
    <w:rsid w:val="00e619d6"/>
    <w:rPr>
      <w:color w:val="605E5C"/>
      <w:shd w:fill="E1DFDD" w:val="clear"/>
    </w:rPr>
  </w:style>
  <w:style w:type="character" w:styleId="highlight" w:customStyle="1">
    <w:name w:val="highlight"/>
    <w:basedOn w:val="DefaultParagraphFont"/>
    <w:qFormat/>
    <w:rsid w:val="00be2ff2"/>
    <w:rPr/>
  </w:style>
  <w:style w:type="character" w:styleId="Textooriginal">
    <w:name w:val="Texto original"/>
    <w:qFormat/>
    <w:rPr>
      <w:rFonts w:ascii="Liberation Mono" w:hAnsi="Liberation Mono" w:eastAsia="Noto Sans Mono CJK SC" w:cs="Liberation Mono"/>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c15a56"/>
    <w:pPr>
      <w:spacing w:before="0" w:after="120"/>
    </w:pPr>
    <w:rPr>
      <w:lang w:val="id-ID" w:eastAsia="id-ID"/>
    </w:rPr>
  </w:style>
  <w:style w:type="paragraph" w:styleId="List">
    <w:name w:val="List"/>
    <w:basedOn w:val="Normal"/>
    <w:rsid w:val="00da0390"/>
    <w:pPr>
      <w:ind w:hanging="360" w:left="360"/>
      <w:jc w:val="center"/>
    </w:pPr>
    <w:rPr>
      <w:sz w:val="24"/>
      <w:szCs w:val="24"/>
    </w:rPr>
  </w:style>
  <w:style w:type="paragraph" w:styleId="Caption">
    <w:name w:val="Caption"/>
    <w:basedOn w:val="Normal"/>
    <w:next w:val="Normal"/>
    <w:qFormat/>
    <w:rsid w:val="00c15a56"/>
    <w:pPr>
      <w:spacing w:lineRule="auto" w:line="480"/>
      <w:jc w:val="center"/>
    </w:pPr>
    <w:rPr>
      <w:i/>
      <w:iCs/>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rsid w:val="0094367d"/>
    <w:pPr>
      <w:tabs>
        <w:tab w:val="clear" w:pos="720"/>
        <w:tab w:val="center" w:pos="4320" w:leader="none"/>
        <w:tab w:val="right" w:pos="8640" w:leader="none"/>
      </w:tabs>
    </w:pPr>
    <w:rPr/>
  </w:style>
  <w:style w:type="paragraph" w:styleId="Footer">
    <w:name w:val="Footer"/>
    <w:basedOn w:val="Normal"/>
    <w:rsid w:val="0094367d"/>
    <w:pPr>
      <w:tabs>
        <w:tab w:val="clear" w:pos="720"/>
        <w:tab w:val="center" w:pos="4320" w:leader="none"/>
        <w:tab w:val="right" w:pos="8640" w:leader="none"/>
      </w:tabs>
    </w:pPr>
    <w:rPr/>
  </w:style>
  <w:style w:type="paragraph" w:styleId="BalloonText">
    <w:name w:val="Balloon Text"/>
    <w:basedOn w:val="Normal"/>
    <w:semiHidden/>
    <w:qFormat/>
    <w:rsid w:val="00061d77"/>
    <w:pPr/>
    <w:rPr>
      <w:rFonts w:ascii="Tahoma" w:hAnsi="Tahoma"/>
      <w:sz w:val="16"/>
      <w:szCs w:val="16"/>
    </w:rPr>
  </w:style>
  <w:style w:type="paragraph" w:styleId="BodyTextIndent">
    <w:name w:val="Body Text Indent"/>
    <w:basedOn w:val="Normal"/>
    <w:rsid w:val="00c15a56"/>
    <w:pPr>
      <w:spacing w:lineRule="auto" w:line="360"/>
      <w:ind w:firstLine="984" w:left="456"/>
      <w:jc w:val="both"/>
    </w:pPr>
    <w:rPr>
      <w:lang w:val="id-ID"/>
    </w:rPr>
  </w:style>
  <w:style w:type="paragraph" w:styleId="BodyTextIndent2">
    <w:name w:val="Body Text Indent 2"/>
    <w:basedOn w:val="Normal"/>
    <w:qFormat/>
    <w:rsid w:val="00c15a56"/>
    <w:pPr>
      <w:spacing w:lineRule="auto" w:line="480" w:before="0" w:after="120"/>
      <w:ind w:left="360"/>
    </w:pPr>
    <w:rPr/>
  </w:style>
  <w:style w:type="paragraph" w:styleId="FootnoteText">
    <w:name w:val="Footnote Text"/>
    <w:basedOn w:val="Normal"/>
    <w:semiHidden/>
    <w:rsid w:val="00fa0403"/>
    <w:pPr/>
    <w:rPr>
      <w:rFonts w:cs="Traditional Arabic"/>
      <w:lang w:eastAsia="ko-KR"/>
    </w:rPr>
  </w:style>
  <w:style w:type="paragraph" w:styleId="Judulbab" w:customStyle="1">
    <w:name w:val="Judul bab"/>
    <w:basedOn w:val="Normal"/>
    <w:qFormat/>
    <w:rsid w:val="004710ee"/>
    <w:pPr>
      <w:spacing w:lineRule="atLeast" w:line="475"/>
      <w:jc w:val="center"/>
    </w:pPr>
    <w:rPr>
      <w:b/>
      <w:sz w:val="32"/>
    </w:rPr>
  </w:style>
  <w:style w:type="paragraph" w:styleId="IsiBabforKomputek" w:customStyle="1">
    <w:name w:val="Isi Bab for Komputek"/>
    <w:basedOn w:val="Normal"/>
    <w:qFormat/>
    <w:rsid w:val="004710ee"/>
    <w:pPr>
      <w:ind w:firstLine="720"/>
      <w:jc w:val="both"/>
    </w:pPr>
    <w:rPr/>
  </w:style>
  <w:style w:type="paragraph" w:styleId="tole" w:customStyle="1">
    <w:name w:val="tole"/>
    <w:basedOn w:val="Normal"/>
    <w:qFormat/>
    <w:rsid w:val="00e91546"/>
    <w:pPr>
      <w:jc w:val="center"/>
      <w:outlineLvl w:val="0"/>
    </w:pPr>
    <w:rPr>
      <w:b/>
      <w:bCs/>
      <w:sz w:val="28"/>
      <w:szCs w:val="28"/>
    </w:rPr>
  </w:style>
  <w:style w:type="paragraph" w:styleId="tolesBold" w:customStyle="1">
    <w:name w:val="toles + Bold"/>
    <w:basedOn w:val="Normal"/>
    <w:qFormat/>
    <w:rsid w:val="00e91546"/>
    <w:pPr>
      <w:jc w:val="center"/>
      <w:outlineLvl w:val="0"/>
    </w:pPr>
    <w:rPr>
      <w:i/>
      <w:iCs/>
      <w:sz w:val="24"/>
      <w:szCs w:val="24"/>
    </w:rPr>
  </w:style>
  <w:style w:type="paragraph" w:styleId="toleLinespacingsingle" w:customStyle="1">
    <w:name w:val="tole + Line spacing:  single"/>
    <w:basedOn w:val="Normal"/>
    <w:qFormat/>
    <w:rsid w:val="00e91546"/>
    <w:pPr>
      <w:jc w:val="both"/>
    </w:pPr>
    <w:rPr>
      <w:sz w:val="24"/>
      <w:szCs w:val="24"/>
    </w:rPr>
  </w:style>
  <w:style w:type="paragraph" w:styleId="bunga" w:customStyle="1">
    <w:name w:val="bunga"/>
    <w:basedOn w:val="Normal"/>
    <w:qFormat/>
    <w:rsid w:val="00e91546"/>
    <w:pPr>
      <w:jc w:val="both"/>
    </w:pPr>
    <w:rPr>
      <w:rFonts w:ascii="Arial" w:hAnsi="Arial" w:cs="Arial"/>
      <w:szCs w:val="24"/>
    </w:rPr>
  </w:style>
  <w:style w:type="paragraph" w:styleId="bunga2" w:customStyle="1">
    <w:name w:val="bunga2"/>
    <w:basedOn w:val="Normal"/>
    <w:qFormat/>
    <w:rsid w:val="00e91546"/>
    <w:pPr>
      <w:jc w:val="both"/>
      <w:outlineLvl w:val="0"/>
    </w:pPr>
    <w:rPr>
      <w:rFonts w:ascii="Arial" w:hAnsi="Arial" w:cs="Arial"/>
      <w:b/>
      <w:bCs/>
      <w:szCs w:val="24"/>
    </w:rPr>
  </w:style>
  <w:style w:type="paragraph" w:styleId="DiQi" w:customStyle="1">
    <w:name w:val="DiQi"/>
    <w:basedOn w:val="Normal"/>
    <w:qFormat/>
    <w:rsid w:val="00da0390"/>
    <w:pPr>
      <w:spacing w:lineRule="auto" w:line="360"/>
      <w:jc w:val="both"/>
    </w:pPr>
    <w:rPr>
      <w:sz w:val="24"/>
      <w:szCs w:val="24"/>
    </w:rPr>
  </w:style>
  <w:style w:type="paragraph" w:styleId="tole3" w:customStyle="1">
    <w:name w:val="tole3"/>
    <w:basedOn w:val="DiQi"/>
    <w:qFormat/>
    <w:rsid w:val="00da0390"/>
    <w:pPr>
      <w:spacing w:lineRule="auto" w:line="240"/>
      <w:outlineLvl w:val="0"/>
    </w:pPr>
    <w:rPr>
      <w:rFonts w:ascii="Arial" w:hAnsi="Arial" w:cs="Arial"/>
      <w:b/>
      <w:bCs/>
      <w:sz w:val="20"/>
    </w:rPr>
  </w:style>
  <w:style w:type="paragraph" w:styleId="yange" w:customStyle="1">
    <w:name w:val="yange"/>
    <w:basedOn w:val="DiQi"/>
    <w:qFormat/>
    <w:rsid w:val="00da0390"/>
    <w:pPr>
      <w:spacing w:lineRule="auto" w:line="240"/>
      <w:ind w:left="360"/>
    </w:pPr>
    <w:rPr>
      <w:rFonts w:ascii="Arial" w:hAnsi="Arial" w:cs="Arial"/>
      <w:sz w:val="20"/>
    </w:rPr>
  </w:style>
  <w:style w:type="paragraph" w:styleId="yange2" w:customStyle="1">
    <w:name w:val="yange2"/>
    <w:basedOn w:val="DiQi"/>
    <w:qFormat/>
    <w:rsid w:val="00da0390"/>
    <w:pPr>
      <w:numPr>
        <w:ilvl w:val="0"/>
        <w:numId w:val="1"/>
      </w:numPr>
      <w:spacing w:lineRule="auto" w:line="240"/>
    </w:pPr>
    <w:rPr>
      <w:rFonts w:ascii="Arial" w:hAnsi="Arial" w:cs="Arial"/>
      <w:sz w:val="20"/>
    </w:rPr>
  </w:style>
  <w:style w:type="paragraph" w:styleId="JossTole" w:customStyle="1">
    <w:name w:val="JossTole"/>
    <w:basedOn w:val="DiQi"/>
    <w:qFormat/>
    <w:rsid w:val="00da0390"/>
    <w:pPr>
      <w:spacing w:lineRule="auto" w:line="240"/>
      <w:ind w:firstLine="709"/>
    </w:pPr>
    <w:rPr>
      <w:rFonts w:ascii="Arial" w:hAnsi="Arial" w:cs="Arial"/>
      <w:sz w:val="20"/>
    </w:rPr>
  </w:style>
  <w:style w:type="paragraph" w:styleId="BodyTextIndent3">
    <w:name w:val="Body Text Indent 3"/>
    <w:basedOn w:val="Normal"/>
    <w:qFormat/>
    <w:rsid w:val="00db3d8c"/>
    <w:pPr>
      <w:spacing w:before="0" w:after="120"/>
      <w:ind w:left="360"/>
    </w:pPr>
    <w:rPr>
      <w:sz w:val="16"/>
      <w:szCs w:val="16"/>
    </w:rPr>
  </w:style>
  <w:style w:type="paragraph" w:styleId="Body0" w:customStyle="1">
    <w:name w:val="Body 0"/>
    <w:basedOn w:val="Normal"/>
    <w:qFormat/>
    <w:rsid w:val="00db3d8c"/>
    <w:pPr>
      <w:spacing w:lineRule="atLeast" w:line="360"/>
      <w:jc w:val="both"/>
    </w:pPr>
    <w:rPr>
      <w:rFonts w:ascii="Palatino" w:hAnsi="Palatino"/>
      <w:sz w:val="24"/>
      <w:szCs w:val="24"/>
    </w:rPr>
  </w:style>
  <w:style w:type="paragraph" w:styleId="BodyText2">
    <w:name w:val="Body Text 2"/>
    <w:basedOn w:val="Normal"/>
    <w:qFormat/>
    <w:rsid w:val="005e736a"/>
    <w:pPr>
      <w:spacing w:lineRule="auto" w:line="480" w:before="0" w:after="120"/>
    </w:pPr>
    <w:rPr/>
  </w:style>
  <w:style w:type="paragraph" w:styleId="Title">
    <w:name w:val="Title"/>
    <w:basedOn w:val="Normal"/>
    <w:qFormat/>
    <w:rsid w:val="00f866b0"/>
    <w:pPr>
      <w:jc w:val="center"/>
    </w:pPr>
    <w:rPr>
      <w:b/>
      <w:bCs/>
      <w:sz w:val="28"/>
      <w:szCs w:val="24"/>
      <w:lang w:val="id-ID"/>
    </w:rPr>
  </w:style>
  <w:style w:type="paragraph" w:styleId="AutoBiography" w:customStyle="1">
    <w:name w:val="AutoBiography"/>
    <w:basedOn w:val="Normal"/>
    <w:qFormat/>
    <w:rsid w:val="004e154b"/>
    <w:pPr>
      <w:jc w:val="both"/>
    </w:pPr>
    <w:rPr>
      <w:rFonts w:eastAsia="MS Mincho" w:cs="Angsana New"/>
      <w:sz w:val="18"/>
      <w:szCs w:val="18"/>
      <w:lang w:bidi="th-TH"/>
    </w:rPr>
  </w:style>
  <w:style w:type="paragraph" w:styleId="Default" w:customStyle="1">
    <w:name w:val="Default"/>
    <w:qFormat/>
    <w:rsid w:val="004e154b"/>
    <w:pPr>
      <w:widowControl w:val="false"/>
      <w:suppressAutoHyphens w:val="true"/>
      <w:bidi w:val="0"/>
      <w:spacing w:before="0" w:after="0"/>
      <w:jc w:val="left"/>
    </w:pPr>
    <w:rPr>
      <w:rFonts w:ascii="Times New Roman" w:hAnsi="Times New Roman" w:eastAsia="Times New Roman" w:cs="Angsana New"/>
      <w:color w:val="000000"/>
      <w:kern w:val="0"/>
      <w:sz w:val="24"/>
      <w:szCs w:val="24"/>
      <w:lang w:val="en-US" w:eastAsia="en-US" w:bidi="ar-SA"/>
    </w:rPr>
  </w:style>
  <w:style w:type="paragraph" w:styleId="SectionTitle" w:customStyle="1">
    <w:name w:val="Section Title"/>
    <w:basedOn w:val="Normal"/>
    <w:autoRedefine/>
    <w:qFormat/>
    <w:rsid w:val="00771a7c"/>
    <w:pPr>
      <w:snapToGrid w:val="false"/>
      <w:jc w:val="both"/>
    </w:pPr>
    <w:rPr>
      <w:rFonts w:eastAsia="MS Mincho" w:cs="Angsana New"/>
      <w:lang w:val="en-GB" w:bidi="th-TH"/>
    </w:rPr>
  </w:style>
  <w:style w:type="paragraph" w:styleId="Style10ptJustified" w:customStyle="1">
    <w:name w:val="Style 10 pt Justified"/>
    <w:basedOn w:val="Normal"/>
    <w:link w:val="Style10ptJustifiedChar"/>
    <w:autoRedefine/>
    <w:qFormat/>
    <w:rsid w:val="00353885"/>
    <w:pPr>
      <w:snapToGrid w:val="false"/>
      <w:ind w:firstLine="720"/>
      <w:jc w:val="both"/>
    </w:pPr>
    <w:rPr>
      <w:rFonts w:ascii="Arial" w:hAnsi="Arial" w:eastAsia="MS Mincho" w:cs="Arial"/>
      <w:iCs/>
      <w:lang w:val="en-GB"/>
    </w:rPr>
  </w:style>
  <w:style w:type="paragraph" w:styleId="paperbody" w:customStyle="1">
    <w:name w:val="paper body"/>
    <w:basedOn w:val="Normal"/>
    <w:qFormat/>
    <w:rsid w:val="00097958"/>
    <w:pPr>
      <w:jc w:val="both"/>
    </w:pPr>
    <w:rPr>
      <w:sz w:val="24"/>
      <w:szCs w:val="24"/>
      <w:lang w:val="en-AU"/>
    </w:rPr>
  </w:style>
  <w:style w:type="paragraph" w:styleId="PlainText">
    <w:name w:val="Plain Text"/>
    <w:basedOn w:val="Normal"/>
    <w:semiHidden/>
    <w:qFormat/>
    <w:rsid w:val="00097958"/>
    <w:pPr/>
    <w:rPr>
      <w:rFonts w:ascii="Courier New" w:hAnsi="Courier New" w:eastAsia="BatangChe"/>
      <w:sz w:val="24"/>
      <w:szCs w:val="24"/>
    </w:rPr>
  </w:style>
  <w:style w:type="paragraph" w:styleId="Subtitle">
    <w:name w:val="Subtitle"/>
    <w:basedOn w:val="Normal"/>
    <w:qFormat/>
    <w:rsid w:val="00097958"/>
    <w:pPr>
      <w:jc w:val="center"/>
    </w:pPr>
    <w:rPr>
      <w:b/>
      <w:bCs/>
      <w:sz w:val="32"/>
      <w:szCs w:val="32"/>
      <w:lang w:val="en-GB"/>
    </w:rPr>
  </w:style>
  <w:style w:type="paragraph" w:styleId="Body" w:customStyle="1">
    <w:name w:val="Body"/>
    <w:basedOn w:val="Normal"/>
    <w:qFormat/>
    <w:rsid w:val="00097958"/>
    <w:pPr>
      <w:widowControl w:val="false"/>
      <w:ind w:firstLine="340"/>
      <w:jc w:val="both"/>
      <w:textAlignment w:val="baseline"/>
    </w:pPr>
    <w:rPr>
      <w:rFonts w:eastAsia="BatangChe"/>
      <w:lang w:eastAsia="ko-KR"/>
    </w:rPr>
  </w:style>
  <w:style w:type="paragraph" w:styleId="Reference" w:customStyle="1">
    <w:name w:val="Reference"/>
    <w:basedOn w:val="Normal"/>
    <w:qFormat/>
    <w:rsid w:val="00097958"/>
    <w:pPr>
      <w:widowControl w:val="false"/>
      <w:spacing w:before="60" w:after="60"/>
      <w:ind w:hanging="288" w:left="288"/>
      <w:jc w:val="both"/>
      <w:textAlignment w:val="baseline"/>
    </w:pPr>
    <w:rPr>
      <w:rFonts w:eastAsia="BatangChe"/>
      <w:lang w:eastAsia="ko-KR"/>
    </w:rPr>
  </w:style>
  <w:style w:type="paragraph" w:styleId="Demenko" w:customStyle="1">
    <w:name w:val="Demenko"/>
    <w:basedOn w:val="Normal"/>
    <w:qFormat/>
    <w:rsid w:val="00097958"/>
    <w:pPr>
      <w:widowControl w:val="false"/>
      <w:tabs>
        <w:tab w:val="clear" w:pos="720"/>
        <w:tab w:val="left" w:pos="567" w:leader="none"/>
        <w:tab w:val="center" w:pos="4820" w:leader="none"/>
        <w:tab w:val="right" w:pos="9639" w:leader="none"/>
      </w:tabs>
      <w:spacing w:lineRule="auto" w:line="360" w:before="0" w:after="113"/>
      <w:jc w:val="both"/>
    </w:pPr>
    <w:rPr>
      <w:sz w:val="22"/>
      <w:szCs w:val="22"/>
      <w:lang w:val="en-GB" w:eastAsia="pl-PL"/>
    </w:rPr>
  </w:style>
  <w:style w:type="paragraph" w:styleId="Texto" w:customStyle="1">
    <w:name w:val="Texto"/>
    <w:basedOn w:val="Normal"/>
    <w:qFormat/>
    <w:rsid w:val="00097958"/>
    <w:pPr>
      <w:widowControl w:val="false"/>
      <w:spacing w:lineRule="auto" w:line="252"/>
      <w:ind w:firstLine="202"/>
      <w:jc w:val="both"/>
    </w:pPr>
    <w:rPr>
      <w:rFonts w:eastAsia="Batang"/>
      <w:lang w:eastAsia="ko-KR"/>
    </w:rPr>
  </w:style>
  <w:style w:type="paragraph" w:styleId="Equation" w:customStyle="1">
    <w:name w:val="Equation"/>
    <w:basedOn w:val="Normal"/>
    <w:next w:val="Normal"/>
    <w:qFormat/>
    <w:rsid w:val="00097958"/>
    <w:pPr>
      <w:widowControl w:val="false"/>
      <w:tabs>
        <w:tab w:val="clear" w:pos="720"/>
        <w:tab w:val="right" w:pos="5040" w:leader="none"/>
      </w:tabs>
      <w:spacing w:lineRule="auto" w:line="252"/>
      <w:jc w:val="both"/>
    </w:pPr>
    <w:rPr>
      <w:rFonts w:eastAsia="Batang"/>
      <w:lang w:eastAsia="ko-KR"/>
    </w:rPr>
  </w:style>
  <w:style w:type="paragraph" w:styleId="TableTitle" w:customStyle="1">
    <w:name w:val="Table Title"/>
    <w:basedOn w:val="Normal"/>
    <w:qFormat/>
    <w:rsid w:val="00097958"/>
    <w:pPr>
      <w:jc w:val="center"/>
    </w:pPr>
    <w:rPr>
      <w:smallCaps/>
      <w:sz w:val="16"/>
      <w:szCs w:val="16"/>
    </w:rPr>
  </w:style>
  <w:style w:type="paragraph" w:styleId="Sub-titles" w:customStyle="1">
    <w:name w:val="Sub-titles"/>
    <w:basedOn w:val="Normal"/>
    <w:qFormat/>
    <w:rsid w:val="00097958"/>
    <w:pPr>
      <w:jc w:val="both"/>
    </w:pPr>
    <w:rPr>
      <w:b/>
      <w:bCs/>
      <w:color w:val="000000"/>
      <w:sz w:val="24"/>
      <w:szCs w:val="24"/>
      <w:lang w:val="pt-PT" w:eastAsia="pt-PT"/>
    </w:rPr>
  </w:style>
  <w:style w:type="paragraph" w:styleId="text" w:customStyle="1">
    <w:name w:val="text"/>
    <w:basedOn w:val="Normal"/>
    <w:qFormat/>
    <w:rsid w:val="00097958"/>
    <w:pPr>
      <w:ind w:firstLine="227"/>
      <w:jc w:val="both"/>
    </w:pPr>
    <w:rPr/>
  </w:style>
  <w:style w:type="paragraph" w:styleId="tables" w:customStyle="1">
    <w:name w:val="tables"/>
    <w:basedOn w:val="Normal"/>
    <w:qFormat/>
    <w:rsid w:val="00097958"/>
    <w:pPr>
      <w:jc w:val="both"/>
    </w:pPr>
    <w:rPr>
      <w:sz w:val="18"/>
      <w:szCs w:val="18"/>
    </w:rPr>
  </w:style>
  <w:style w:type="paragraph" w:styleId="NormalWeb">
    <w:name w:val="Normal (Web)"/>
    <w:basedOn w:val="Normal"/>
    <w:qFormat/>
    <w:rsid w:val="00232da1"/>
    <w:pPr>
      <w:spacing w:beforeAutospacing="1" w:afterAutospacing="1"/>
    </w:pPr>
    <w:rPr>
      <w:sz w:val="24"/>
      <w:szCs w:val="24"/>
    </w:rPr>
  </w:style>
  <w:style w:type="paragraph" w:styleId="Abstract" w:customStyle="1">
    <w:name w:val="Abstract"/>
    <w:qFormat/>
    <w:rsid w:val="007017c6"/>
    <w:pPr>
      <w:widowControl/>
      <w:suppressAutoHyphens w:val="true"/>
      <w:bidi w:val="0"/>
      <w:spacing w:before="0" w:after="200"/>
      <w:jc w:val="both"/>
    </w:pPr>
    <w:rPr>
      <w:rFonts w:ascii="Times New Roman" w:hAnsi="Times New Roman" w:eastAsia="SimSun" w:cs="Times New Roman"/>
      <w:b/>
      <w:color w:val="auto"/>
      <w:kern w:val="0"/>
      <w:sz w:val="18"/>
      <w:szCs w:val="20"/>
      <w:lang w:val="en-US" w:eastAsia="en-US" w:bidi="ar-SA"/>
    </w:rPr>
  </w:style>
  <w:style w:type="paragraph" w:styleId="Affiliation" w:customStyle="1">
    <w:name w:val="Affiliation"/>
    <w:qFormat/>
    <w:rsid w:val="007017c6"/>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equation1" w:customStyle="1">
    <w:name w:val="equation1"/>
    <w:basedOn w:val="Normal"/>
    <w:qFormat/>
    <w:rsid w:val="007017c6"/>
    <w:pPr>
      <w:tabs>
        <w:tab w:val="clear" w:pos="720"/>
        <w:tab w:val="center" w:pos="2520" w:leader="none"/>
        <w:tab w:val="right" w:pos="5040" w:leader="none"/>
      </w:tabs>
      <w:spacing w:lineRule="auto" w:line="216" w:before="240" w:after="240"/>
      <w:jc w:val="center"/>
    </w:pPr>
    <w:rPr>
      <w:rFonts w:eastAsia="SimSun"/>
    </w:rPr>
  </w:style>
  <w:style w:type="paragraph" w:styleId="figurecaption" w:customStyle="1">
    <w:name w:val="figure caption"/>
    <w:qFormat/>
    <w:rsid w:val="007017c6"/>
    <w:pPr>
      <w:widowControl/>
      <w:suppressAutoHyphens w:val="true"/>
      <w:bidi w:val="0"/>
      <w:spacing w:before="80" w:after="200"/>
      <w:jc w:val="center"/>
    </w:pPr>
    <w:rPr>
      <w:rFonts w:ascii="Times New Roman" w:hAnsi="Times New Roman" w:eastAsia="SimSun" w:cs="Times New Roman"/>
      <w:color w:val="auto"/>
      <w:kern w:val="0"/>
      <w:sz w:val="16"/>
      <w:szCs w:val="20"/>
      <w:lang w:val="en-US" w:eastAsia="en-US" w:bidi="ar-SA"/>
    </w:rPr>
  </w:style>
  <w:style w:type="paragraph" w:styleId="papertitle" w:customStyle="1">
    <w:name w:val="paper title"/>
    <w:qFormat/>
    <w:rsid w:val="007017c6"/>
    <w:pPr>
      <w:widowControl/>
      <w:suppressAutoHyphens w:val="true"/>
      <w:bidi w:val="0"/>
      <w:spacing w:before="0" w:after="120"/>
      <w:jc w:val="center"/>
    </w:pPr>
    <w:rPr>
      <w:rFonts w:ascii="Times New Roman" w:hAnsi="Times New Roman" w:eastAsia="SimSun" w:cs="Times New Roman"/>
      <w:color w:val="auto"/>
      <w:kern w:val="0"/>
      <w:sz w:val="48"/>
      <w:szCs w:val="20"/>
      <w:lang w:val="en-US" w:eastAsia="en-US" w:bidi="ar-SA"/>
    </w:rPr>
  </w:style>
  <w:style w:type="paragraph" w:styleId="references" w:customStyle="1">
    <w:name w:val="references"/>
    <w:qFormat/>
    <w:rsid w:val="007017c6"/>
    <w:pPr>
      <w:widowControl/>
      <w:numPr>
        <w:ilvl w:val="0"/>
        <w:numId w:val="2"/>
      </w:numPr>
      <w:suppressAutoHyphens w:val="true"/>
      <w:bidi w:val="0"/>
      <w:spacing w:lineRule="exact" w:line="180" w:before="0" w:after="40"/>
      <w:jc w:val="both"/>
    </w:pPr>
    <w:rPr>
      <w:rFonts w:ascii="Times New Roman" w:hAnsi="Times New Roman" w:eastAsia="SimSun" w:cs="Times New Roman"/>
      <w:color w:val="auto"/>
      <w:kern w:val="0"/>
      <w:sz w:val="16"/>
      <w:szCs w:val="20"/>
      <w:lang w:val="en-US" w:eastAsia="en-US" w:bidi="ar-SA"/>
    </w:rPr>
  </w:style>
  <w:style w:type="paragraph" w:styleId="tablecolsubhead" w:customStyle="1">
    <w:name w:val="table col subhead"/>
    <w:basedOn w:val="Normal"/>
    <w:qFormat/>
    <w:rsid w:val="007017c6"/>
    <w:pPr>
      <w:jc w:val="center"/>
    </w:pPr>
    <w:rPr>
      <w:rFonts w:eastAsia="SimSun"/>
      <w:b/>
      <w:i/>
      <w:sz w:val="15"/>
    </w:rPr>
  </w:style>
  <w:style w:type="paragraph" w:styleId="tablecopy" w:customStyle="1">
    <w:name w:val="table copy"/>
    <w:qFormat/>
    <w:rsid w:val="007017c6"/>
    <w:pPr>
      <w:widowControl/>
      <w:suppressAutoHyphens w:val="true"/>
      <w:bidi w:val="0"/>
      <w:spacing w:before="0" w:after="0"/>
      <w:jc w:val="both"/>
    </w:pPr>
    <w:rPr>
      <w:rFonts w:ascii="Times New Roman" w:hAnsi="Times New Roman" w:eastAsia="SimSun" w:cs="Times New Roman"/>
      <w:color w:val="auto"/>
      <w:kern w:val="0"/>
      <w:sz w:val="16"/>
      <w:szCs w:val="20"/>
      <w:lang w:val="en-US" w:eastAsia="en-US" w:bidi="ar-SA"/>
    </w:rPr>
  </w:style>
  <w:style w:type="paragraph" w:styleId="tablehead" w:customStyle="1">
    <w:name w:val="table head"/>
    <w:qFormat/>
    <w:rsid w:val="007017c6"/>
    <w:pPr>
      <w:widowControl/>
      <w:numPr>
        <w:ilvl w:val="0"/>
        <w:numId w:val="3"/>
      </w:numPr>
      <w:suppressAutoHyphens w:val="true"/>
      <w:bidi w:val="0"/>
      <w:spacing w:lineRule="auto" w:line="216" w:before="240" w:after="120"/>
      <w:jc w:val="center"/>
    </w:pPr>
    <w:rPr>
      <w:rFonts w:ascii="Times New Roman" w:hAnsi="Times New Roman" w:eastAsia="SimSun" w:cs="Times New Roman"/>
      <w:smallCaps/>
      <w:color w:val="auto"/>
      <w:kern w:val="0"/>
      <w:sz w:val="16"/>
      <w:szCs w:val="20"/>
      <w:lang w:val="en-US" w:eastAsia="en-US" w:bidi="ar-SA"/>
    </w:rPr>
  </w:style>
  <w:style w:type="paragraph" w:styleId="HTMLPreformatted">
    <w:name w:val="HTML Preformatted"/>
    <w:basedOn w:val="Normal"/>
    <w:qFormat/>
    <w:rsid w:val="00c35b8f"/>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ListParagraph">
    <w:name w:val="List Paragraph"/>
    <w:basedOn w:val="Normal"/>
    <w:uiPriority w:val="34"/>
    <w:qFormat/>
    <w:rsid w:val="00c35b8f"/>
    <w:pPr>
      <w:spacing w:lineRule="auto" w:line="276" w:before="0" w:after="200"/>
      <w:ind w:left="720"/>
      <w:contextualSpacing/>
    </w:pPr>
    <w:rPr>
      <w:rFonts w:ascii="Calibri" w:hAnsi="Calibri"/>
      <w:sz w:val="22"/>
      <w:szCs w:val="22"/>
      <w:lang w:val="en-GB" w:eastAsia="en-GB"/>
    </w:rPr>
  </w:style>
  <w:style w:type="paragraph" w:styleId="NoSpacing">
    <w:name w:val="No Spacing"/>
    <w:qFormat/>
    <w:rsid w:val="00c35b8f"/>
    <w:pPr>
      <w:widowControl/>
      <w:suppressAutoHyphens w:val="true"/>
      <w:bidi w:val="0"/>
      <w:spacing w:before="0" w:after="0"/>
      <w:jc w:val="left"/>
    </w:pPr>
    <w:rPr>
      <w:rFonts w:ascii="Calibri" w:hAnsi="Calibri" w:eastAsia="Calibri" w:cs="Times New Roman"/>
      <w:color w:val="auto"/>
      <w:kern w:val="0"/>
      <w:sz w:val="22"/>
      <w:szCs w:val="22"/>
      <w:lang w:val="en-US" w:eastAsia="en-US" w:bidi="ar-SA"/>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740e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sa/4.0/" TargetMode="External"/><Relationship Id="rId3" Type="http://schemas.openxmlformats.org/officeDocument/2006/relationships/image" Target="media/image1.png"/><Relationship Id="rId4" Type="http://schemas.openxmlformats.org/officeDocument/2006/relationships/image" Target="media/image2.wmf"/><Relationship Id="rId5" Type="http://schemas.openxmlformats.org/officeDocument/2006/relationships/image" Target="media/image3.png"/><Relationship Id="rId6" Type="http://schemas.openxmlformats.org/officeDocument/2006/relationships/hyperlink" Target="https://orcid.org/0000-0001-9902-7729" TargetMode="External"/><Relationship Id="rId7" Type="http://schemas.openxmlformats.org/officeDocument/2006/relationships/image" Target="media/image4.png"/><Relationship Id="rId8" Type="http://schemas.openxmlformats.org/officeDocument/2006/relationships/hyperlink" Target="https://scholar.google.com/citations?user=bwiNxDQAAAAJ" TargetMode="External"/><Relationship Id="rId9" Type="http://schemas.openxmlformats.org/officeDocument/2006/relationships/image" Target="media/image5.png"/><Relationship Id="rId10" Type="http://schemas.openxmlformats.org/officeDocument/2006/relationships/image" Target="media/image6.svg"/><Relationship Id="rId11" Type="http://schemas.openxmlformats.org/officeDocument/2006/relationships/hyperlink" Target="https://www.scopus.com/authid/detail.uri?authorId=6508110941" TargetMode="External"/><Relationship Id="rId12" Type="http://schemas.openxmlformats.org/officeDocument/2006/relationships/image" Target="media/image7.png"/><Relationship Id="rId13" Type="http://schemas.openxmlformats.org/officeDocument/2006/relationships/hyperlink" Target="https://publons.com/researcher/3133629/suttichai-premrudeepreechacharn/" TargetMode="External"/><Relationship Id="rId14" Type="http://schemas.openxmlformats.org/officeDocument/2006/relationships/image" Target="media/image8.jpeg"/><Relationship Id="rId15" Type="http://schemas.openxmlformats.org/officeDocument/2006/relationships/image" Target="media/image3.png"/><Relationship Id="rId16" Type="http://schemas.openxmlformats.org/officeDocument/2006/relationships/hyperlink" Target="https://orcid.org/0000-0003-2838-8679" TargetMode="External"/><Relationship Id="rId17" Type="http://schemas.openxmlformats.org/officeDocument/2006/relationships/image" Target="media/image4.png"/><Relationship Id="rId18" Type="http://schemas.openxmlformats.org/officeDocument/2006/relationships/hyperlink" Target="https://scholar.google.com/citations?user=kdOwHMIAAAAJ&amp;hl=en&amp;oi=sra" TargetMode="External"/><Relationship Id="rId19" Type="http://schemas.openxmlformats.org/officeDocument/2006/relationships/image" Target="media/image5.png"/><Relationship Id="rId20" Type="http://schemas.openxmlformats.org/officeDocument/2006/relationships/image" Target="media/image6.svg"/><Relationship Id="rId21" Type="http://schemas.openxmlformats.org/officeDocument/2006/relationships/hyperlink" Target="https://www.scopus.com/authid/detail.uri?authorId=35730929200" TargetMode="External"/><Relationship Id="rId22" Type="http://schemas.openxmlformats.org/officeDocument/2006/relationships/image" Target="media/image7.png"/><Relationship Id="rId23" Type="http://schemas.openxmlformats.org/officeDocument/2006/relationships/hyperlink" Target="https://publons.com/researcher/1170442/dr-angela-amphawan/" TargetMode="External"/><Relationship Id="rId24" Type="http://schemas.openxmlformats.org/officeDocument/2006/relationships/image" Target="media/image9.jpeg"/><Relationship Id="rId25" Type="http://schemas.openxmlformats.org/officeDocument/2006/relationships/image" Target="media/image3.png"/><Relationship Id="rId26" Type="http://schemas.openxmlformats.org/officeDocument/2006/relationships/hyperlink" Target="https://orcid.org/0000-0001-5903-5257" TargetMode="External"/><Relationship Id="rId27" Type="http://schemas.openxmlformats.org/officeDocument/2006/relationships/image" Target="media/image4.png"/><Relationship Id="rId28" Type="http://schemas.openxmlformats.org/officeDocument/2006/relationships/hyperlink" Target="https://scholar.google.com/citations?hl=en&amp;user=646RieYAAAAJ" TargetMode="External"/><Relationship Id="rId29" Type="http://schemas.openxmlformats.org/officeDocument/2006/relationships/image" Target="media/image5.png"/><Relationship Id="rId30" Type="http://schemas.openxmlformats.org/officeDocument/2006/relationships/image" Target="media/image6.svg"/><Relationship Id="rId31" Type="http://schemas.openxmlformats.org/officeDocument/2006/relationships/hyperlink" Target="https://www.scopus.com/authid/detail.uri?authorId=7003870872" TargetMode="External"/><Relationship Id="rId32" Type="http://schemas.openxmlformats.org/officeDocument/2006/relationships/image" Target="media/image7.png"/><Relationship Id="rId33" Type="http://schemas.openxmlformats.org/officeDocument/2006/relationships/hyperlink" Target="https://publons.com/researcher/2894894/almoataz-y-abdelaziz/" TargetMode="External"/><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header" Target="header3.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F6F19-2AB0-4E98-948B-2BADE3131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1496</TotalTime>
  <Application>LibreOffice/24.2.7.2$Linux_X86_64 LibreOffice_project/420$Build-2</Application>
  <AppVersion>15.0000</AppVersion>
  <Pages>8</Pages>
  <Words>15094</Words>
  <Characters>83021</Characters>
  <CharactersWithSpaces>97049</CharactersWithSpaces>
  <Paragraphs>1066</Paragraphs>
  <Company>IAES | Institute of Advanced Engineering and Science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2021-04-05T07:37:00Z</dcterms:created>
  <dc:creator>IJECE</dc:creator>
  <dc:description>IJECE Template and Guide of Authors</dc:description>
  <cp:keywords>artificial intelligence &amp; soft computing automation big data &amp; cloud computing circuits &amp; electronics computer science &amp; information technology digital signal electrical &amp; power engineering image &amp; video processing instrumentation &amp; control engineering internet of things power electronics &amp; drives telecommunication system &amp; technology </cp:keywords>
  <dc:language>es-ES</dc:language>
  <cp:lastModifiedBy/>
  <cp:lastPrinted>2021-08-31T02:39:00Z</cp:lastPrinted>
  <dcterms:modified xsi:type="dcterms:W3CDTF">2025-11-03T01:12:54Z</dcterms:modified>
  <cp:revision>123</cp:revision>
  <dc:subject/>
  <dc:title>International Journal of Electrical and Computer Engineering (IJECE)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a9bfc6adc827b986073dca98e1af3bd5bffb2178019f3743b8992a92461cb2e4</vt:lpwstr>
  </property>
</Properties>
</file>