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1.jpeg" ContentType="image/jpeg"/>
  <Override PartName="/word/media/image12.jpeg" ContentType="image/jpeg"/>
  <Override PartName="/word/media/image7.png" ContentType="image/png"/>
  <Override PartName="/word/media/image2.wmf" ContentType="image/x-wmf"/>
  <Override PartName="/word/media/image3.png" ContentType="image/png"/>
  <Override PartName="/word/media/hdphoto1.wdp" ContentType="image/vnd.ms-photo"/>
  <Override PartName="/word/media/hdphoto2.wdp" ContentType="image/vnd.ms-photo"/>
  <Override PartName="/word/media/image4.png" ContentType="image/png"/>
  <Override PartName="/word/media/image5.wmf" ContentType="image/x-wmf"/>
  <Override PartName="/word/media/image6.png" ContentType="image/png"/>
  <Override PartName="/word/media/image1.png" ContentType="image/png"/>
  <Override PartName="/word/media/image10.png" ContentType="image/png"/>
  <Override PartName="/word/media/image8.png" ContentType="image/png"/>
  <Override PartName="/word/media/image9.svg" ContentType="image/sv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sz w:val="32"/>
          <w:szCs w:val="32"/>
          <w:lang w:val="en-US"/>
        </w:rPr>
      </w:pPr>
      <w:bookmarkStart w:id="0" w:name="_Hlk78354194"/>
      <w:r>
        <w:rPr>
          <w:sz w:val="32"/>
          <w:szCs w:val="32"/>
          <w:lang w:val="en-US"/>
        </w:rPr>
        <w:t>TinyML aplicado al IoT para optimizar el rendimiento y consumo energético en dispositivos embebidos:  Revisión Sistemática de Literatura</w:t>
      </w:r>
      <w:bookmarkEnd w:id="0"/>
    </w:p>
    <w:p>
      <w:pPr>
        <w:pStyle w:val="Normal"/>
        <w:jc w:val="center"/>
        <w:rPr>
          <w:b/>
          <w:bCs/>
        </w:rPr>
      </w:pPr>
      <w:r>
        <w:rPr>
          <w:b/>
          <w:bCs/>
        </w:rPr>
      </w:r>
    </w:p>
    <w:p>
      <w:pPr>
        <w:pStyle w:val="Normal"/>
        <w:jc w:val="center"/>
        <w:rPr>
          <w:b/>
          <w:bCs/>
        </w:rPr>
      </w:pPr>
      <w:r>
        <w:rPr>
          <w:b/>
          <w:bCs/>
        </w:rPr>
        <w:t>Elkin</w:t>
      </w:r>
      <w:bookmarkStart w:id="1" w:name="_Hlk80000582"/>
      <w:r>
        <w:rPr>
          <w:b/>
          <w:bCs/>
        </w:rPr>
        <w:t xml:space="preserve"> </w:t>
      </w:r>
      <w:r>
        <w:rPr>
          <w:b/>
          <w:bCs/>
        </w:rPr>
        <w:t>J</w:t>
      </w:r>
      <w:r>
        <w:rPr>
          <w:b/>
          <w:bCs/>
        </w:rPr>
        <w:t>e</w:t>
      </w:r>
      <w:r>
        <w:rPr>
          <w:b/>
          <w:bCs/>
        </w:rPr>
        <w:t>nn</w:t>
      </w:r>
      <w:r>
        <w:rPr>
          <w:b/>
          <w:bCs/>
        </w:rPr>
        <w:t>e</w:t>
      </w:r>
      <w:r>
        <w:rPr>
          <w:b/>
          <w:bCs/>
        </w:rPr>
        <w:t>r Rivera</w:t>
      </w:r>
      <w:r>
        <w:rPr>
          <w:b/>
          <w:bCs/>
          <w:vertAlign w:val="superscript"/>
        </w:rPr>
        <w:t>1</w:t>
      </w:r>
      <w:r>
        <w:rPr>
          <w:b/>
          <w:bCs/>
        </w:rPr>
        <w:t xml:space="preserve"> (10 pt)</w:t>
      </w:r>
    </w:p>
    <w:p>
      <w:pPr>
        <w:pStyle w:val="Normal"/>
        <w:jc w:val="center"/>
        <w:rPr>
          <w:sz w:val="16"/>
          <w:szCs w:val="16"/>
        </w:rPr>
      </w:pPr>
      <w:bookmarkStart w:id="2" w:name="_Hlk68515371"/>
      <w:r>
        <w:rPr>
          <w:sz w:val="16"/>
          <w:szCs w:val="16"/>
          <w:vertAlign w:val="superscript"/>
        </w:rPr>
        <w:t>1</w:t>
      </w:r>
      <w:r>
        <w:rPr>
          <w:sz w:val="16"/>
          <w:szCs w:val="16"/>
        </w:rPr>
        <w:t>Department of Electrical Engineering, Faculty of Engineering, Chiang Mai University, Chiang Mai, Thailand (8 pt)</w:t>
      </w:r>
    </w:p>
    <w:p>
      <w:pPr>
        <w:pStyle w:val="Normal"/>
        <w:jc w:val="center"/>
        <w:rPr>
          <w:sz w:val="16"/>
          <w:szCs w:val="16"/>
        </w:rPr>
      </w:pPr>
      <w:r>
        <w:rPr>
          <w:sz w:val="16"/>
          <w:szCs w:val="16"/>
          <w:vertAlign w:val="superscript"/>
        </w:rPr>
        <w:t>2</w:t>
      </w:r>
      <w:r>
        <w:rPr>
          <w:sz w:val="16"/>
          <w:szCs w:val="16"/>
        </w:rPr>
        <w:t>Research Laboratory of Electronics, Massachusetts Institute of Technology, Cambridge, United States</w:t>
      </w:r>
      <w:bookmarkEnd w:id="2"/>
    </w:p>
    <w:p>
      <w:pPr>
        <w:pStyle w:val="Normal"/>
        <w:jc w:val="center"/>
        <w:rPr>
          <w:sz w:val="16"/>
          <w:szCs w:val="16"/>
        </w:rPr>
      </w:pPr>
      <w:r>
        <w:rPr>
          <w:sz w:val="16"/>
          <w:szCs w:val="16"/>
          <w:vertAlign w:val="superscript"/>
        </w:rPr>
        <w:t>3</w:t>
      </w:r>
      <w:r>
        <w:rPr>
          <w:sz w:val="16"/>
          <w:szCs w:val="16"/>
        </w:rPr>
        <w:t>Department of Electrical Engineering, Faculty of Engineering, Ain Shams University, Cairo, Egypt</w:t>
      </w:r>
    </w:p>
    <w:p>
      <w:pPr>
        <w:pStyle w:val="Normal"/>
        <w:jc w:val="center"/>
        <w:rPr>
          <w:sz w:val="16"/>
          <w:szCs w:val="16"/>
        </w:rPr>
      </w:pPr>
      <w:bookmarkStart w:id="3" w:name="_Hlk80023275"/>
      <w:r>
        <w:rPr>
          <w:sz w:val="16"/>
          <w:szCs w:val="16"/>
          <w:vertAlign w:val="superscript"/>
        </w:rPr>
        <w:t>4</w:t>
      </w:r>
      <w:r>
        <w:rPr>
          <w:sz w:val="16"/>
          <w:szCs w:val="16"/>
        </w:rPr>
        <w:t xml:space="preserve">Department of </w:t>
      </w:r>
      <w:bookmarkStart w:id="4" w:name="_Hlk80015074"/>
      <w:r>
        <w:rPr>
          <w:sz w:val="16"/>
          <w:szCs w:val="16"/>
        </w:rPr>
        <w:t>Electrical Engineering</w:t>
      </w:r>
      <w:bookmarkEnd w:id="4"/>
      <w:r>
        <w:rPr>
          <w:sz w:val="16"/>
          <w:szCs w:val="16"/>
        </w:rPr>
        <w:t xml:space="preserve">, Faculty of Engineering and Technology, </w:t>
      </w:r>
      <w:bookmarkStart w:id="5" w:name="_Hlk80026573"/>
      <w:bookmarkStart w:id="6" w:name="_Hlk80015015"/>
      <w:r>
        <w:rPr>
          <w:sz w:val="16"/>
          <w:szCs w:val="16"/>
        </w:rPr>
        <w:t>Future University in</w:t>
      </w:r>
      <w:bookmarkEnd w:id="3"/>
      <w:r>
        <w:rPr>
          <w:sz w:val="16"/>
          <w:szCs w:val="16"/>
        </w:rPr>
        <w:t xml:space="preserve"> Egypt</w:t>
      </w:r>
      <w:bookmarkEnd w:id="6"/>
      <w:r>
        <w:rPr>
          <w:sz w:val="16"/>
          <w:szCs w:val="16"/>
        </w:rPr>
        <w:t>, Cairo, Egypt</w:t>
      </w:r>
      <w:bookmarkEnd w:id="1"/>
      <w:bookmarkEnd w:id="5"/>
    </w:p>
    <w:p>
      <w:pPr>
        <w:pStyle w:val="Normal"/>
        <w:jc w:val="center"/>
        <w:rPr/>
      </w:pPr>
      <w:r>
        <w:rPr/>
      </w:r>
    </w:p>
    <w:p>
      <w:pPr>
        <w:pStyle w:val="Normal"/>
        <w:jc w:val="center"/>
        <w:rPr/>
      </w:pPr>
      <w:r>
        <w:rPr/>
      </w:r>
    </w:p>
    <w:tbl>
      <w:tblPr>
        <w:tblStyle w:val="TableGrid"/>
        <w:tblW w:w="884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787"/>
        <w:gridCol w:w="282"/>
        <w:gridCol w:w="5776"/>
      </w:tblGrid>
      <w:tr>
        <w:trPr/>
        <w:tc>
          <w:tcPr>
            <w:tcW w:w="2787" w:type="dxa"/>
            <w:tcBorders>
              <w:top w:val="double" w:sz="4" w:space="0" w:color="000000"/>
              <w:left w:val="nil"/>
              <w:right w:val="nil"/>
            </w:tcBorders>
          </w:tcPr>
          <w:p>
            <w:pPr>
              <w:pStyle w:val="Normal"/>
              <w:widowControl/>
              <w:spacing w:before="120" w:after="0"/>
              <w:jc w:val="both"/>
              <w:rPr>
                <w:b/>
              </w:rPr>
            </w:pPr>
            <w:r>
              <w:rPr>
                <w:rFonts w:eastAsia="Times New Roman" w:cs="Times New Roman"/>
                <w:b/>
                <w:kern w:val="0"/>
                <w:sz w:val="20"/>
                <w:szCs w:val="20"/>
                <w:lang w:val="en-US" w:eastAsia="en-US" w:bidi="ar-SA"/>
              </w:rPr>
              <w:t>Article Info</w:t>
            </w:r>
          </w:p>
        </w:tc>
        <w:tc>
          <w:tcPr>
            <w:tcW w:w="282" w:type="dxa"/>
            <w:tcBorders>
              <w:top w:val="double" w:sz="4" w:space="0" w:color="000000"/>
              <w:left w:val="nil"/>
              <w:bottom w:val="nil"/>
              <w:right w:val="nil"/>
            </w:tcBorders>
          </w:tcPr>
          <w:p>
            <w:pPr>
              <w:pStyle w:val="Normal"/>
              <w:widowControl/>
              <w:spacing w:before="120" w:after="0"/>
              <w:jc w:val="center"/>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5776" w:type="dxa"/>
            <w:tcBorders>
              <w:top w:val="double" w:sz="4" w:space="0" w:color="000000"/>
              <w:left w:val="nil"/>
              <w:right w:val="nil"/>
            </w:tcBorders>
          </w:tcPr>
          <w:p>
            <w:pPr>
              <w:pStyle w:val="Normal"/>
              <w:widowControl/>
              <w:spacing w:before="120" w:after="0"/>
              <w:jc w:val="left"/>
              <w:rPr>
                <w:color w:val="000000"/>
                <w:sz w:val="24"/>
                <w:szCs w:val="24"/>
              </w:rPr>
            </w:pPr>
            <w:r>
              <w:rPr>
                <w:rFonts w:eastAsia="Times New Roman" w:cs="Times New Roman"/>
                <w:b/>
                <w:bCs/>
                <w:iCs/>
                <w:color w:val="000000"/>
                <w:kern w:val="0"/>
                <w:sz w:val="20"/>
                <w:szCs w:val="20"/>
                <w:lang w:val="en-US" w:eastAsia="en-US" w:bidi="ar-SA"/>
              </w:rPr>
              <w:t xml:space="preserve">ABSTRACT </w:t>
            </w:r>
            <w:r>
              <w:rPr>
                <w:rFonts w:eastAsia="Times New Roman" w:cs="Times New Roman"/>
                <w:kern w:val="0"/>
                <w:sz w:val="18"/>
                <w:szCs w:val="18"/>
                <w:lang w:val="en-US" w:eastAsia="en-US" w:bidi="ar-SA"/>
              </w:rPr>
              <w:t>(10 PT)</w:t>
            </w:r>
          </w:p>
        </w:tc>
      </w:tr>
      <w:tr>
        <w:trPr>
          <w:trHeight w:val="1268" w:hRule="atLeast"/>
        </w:trPr>
        <w:tc>
          <w:tcPr>
            <w:tcW w:w="2787" w:type="dxa"/>
            <w:tcBorders>
              <w:left w:val="nil"/>
              <w:right w:val="nil"/>
            </w:tcBorders>
          </w:tcPr>
          <w:p>
            <w:pPr>
              <w:pStyle w:val="Normal"/>
              <w:widowControl/>
              <w:spacing w:before="120" w:after="120"/>
              <w:jc w:val="both"/>
              <w:rPr>
                <w:b/>
                <w:i/>
                <w:i/>
              </w:rPr>
            </w:pPr>
            <w:r>
              <w:rPr>
                <w:rFonts w:eastAsia="Times New Roman" w:cs="Times New Roman"/>
                <w:b/>
                <w:i/>
                <w:kern w:val="0"/>
                <w:sz w:val="20"/>
                <w:szCs w:val="20"/>
                <w:lang w:val="en-US" w:eastAsia="en-US" w:bidi="ar-SA"/>
              </w:rPr>
              <w:t>Article history:</w:t>
            </w:r>
          </w:p>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Received month dd, yyyy</w:t>
            </w:r>
          </w:p>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Revised month dd, yyyy</w:t>
            </w:r>
          </w:p>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Accepted month dd, yyyy</w:t>
            </w:r>
          </w:p>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282" w:type="dxa"/>
            <w:vMerge w:val="restart"/>
            <w:tcBorders>
              <w:top w:val="nil"/>
              <w:left w:val="nil"/>
              <w:bottom w:val="nil"/>
              <w:right w:val="nil"/>
            </w:tcBorders>
          </w:tcPr>
          <w:p>
            <w:pPr>
              <w:pStyle w:val="Normal"/>
              <w:widowControl/>
              <w:spacing w:before="12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5776" w:type="dxa"/>
            <w:vMerge w:val="restart"/>
            <w:tcBorders>
              <w:left w:val="nil"/>
              <w:bottom w:val="nil"/>
              <w:right w:val="nil"/>
            </w:tcBorders>
          </w:tcPr>
          <w:p>
            <w:pPr>
              <w:pStyle w:val="Normal"/>
              <w:widowControl/>
              <w:spacing w:before="120" w:after="0"/>
              <w:jc w:val="both"/>
              <w:rPr>
                <w:rFonts w:ascii="Times New Roman" w:hAnsi="Times New Roman" w:eastAsia="Times New Roman" w:cs="Times New Roman"/>
                <w:kern w:val="0"/>
                <w:sz w:val="20"/>
                <w:szCs w:val="20"/>
                <w:lang w:val="en-US" w:eastAsia="en-US" w:bidi="ar-SA"/>
              </w:rPr>
            </w:pPr>
            <w:r>
              <w:rPr>
                <w:rFonts w:eastAsia="Times New Roman" w:cs="Times New Roman"/>
                <w:iCs/>
                <w:color w:val="000000"/>
                <w:kern w:val="0"/>
                <w:sz w:val="18"/>
                <w:szCs w:val="18"/>
                <w:lang w:val="en-US" w:eastAsia="en-US" w:bidi="ar-SA"/>
              </w:rPr>
              <w:t>An abstract is often presented separate from the article, so it must be able to stand alone.  A well-prepared abstract enables the reader to identify the basic content of a document quickly and accurately, to determine its relevance to their interests, and thus to decide whether to read the document in its entirety.</w:t>
            </w:r>
            <w:r>
              <w:rPr>
                <w:rFonts w:eastAsia="Times New Roman" w:cs="Times New Roman"/>
                <w:kern w:val="0"/>
                <w:sz w:val="18"/>
                <w:szCs w:val="18"/>
                <w:lang w:val="en-US" w:eastAsia="en-US" w:bidi="ar-SA"/>
              </w:rPr>
              <w:t xml:space="preserve"> </w:t>
            </w:r>
            <w:r>
              <w:rPr>
                <w:rFonts w:eastAsia="Times New Roman" w:cs="Times New Roman"/>
                <w:iCs/>
                <w:color w:val="000000"/>
                <w:kern w:val="0"/>
                <w:sz w:val="18"/>
                <w:szCs w:val="18"/>
                <w:lang w:val="en-US" w:eastAsia="en-US" w:bidi="ar-SA"/>
              </w:rPr>
              <w:t xml:space="preserve">The abstract should be informative and completely self-explanatory, provide a clear statement of the problem, the proposed approach or solution, and point out major findings and conclusions. </w:t>
            </w:r>
            <w:r>
              <w:rPr>
                <w:rFonts w:eastAsia="Times New Roman" w:cs="Times New Roman"/>
                <w:b/>
                <w:bCs/>
                <w:iCs/>
                <w:color w:val="000000"/>
                <w:kern w:val="0"/>
                <w:sz w:val="18"/>
                <w:szCs w:val="18"/>
                <w:lang w:val="en-US" w:eastAsia="en-US" w:bidi="ar-SA"/>
              </w:rPr>
              <w:t xml:space="preserve">The Abstract should be 100 to 200 words in length. </w:t>
            </w:r>
            <w:r>
              <w:rPr>
                <w:rFonts w:eastAsia="Times New Roman" w:cs="Times New Roman"/>
                <w:iCs/>
                <w:color w:val="000000"/>
                <w:kern w:val="0"/>
                <w:sz w:val="18"/>
                <w:szCs w:val="18"/>
                <w:lang w:val="en-US" w:eastAsia="en-US" w:bidi="ar-SA"/>
              </w:rPr>
              <w:t>References should be avoided, but if essential, then cite the author(s) and year(s). Standard nomenclature should be used, and non-standard or uncommon abbreviations should be avoided, but if essential they must be defined at their first mention in the abstract itself. No literature should be cited.</w:t>
            </w:r>
            <w:r>
              <w:rPr>
                <w:rFonts w:eastAsia="Times New Roman" w:cs="Times New Roman"/>
                <w:kern w:val="0"/>
                <w:sz w:val="18"/>
                <w:szCs w:val="18"/>
                <w:lang w:val="en-US" w:eastAsia="en-US" w:bidi="ar-SA"/>
              </w:rPr>
              <w:t xml:space="preserve"> </w:t>
            </w:r>
            <w:r>
              <w:rPr>
                <w:rFonts w:eastAsia="Times New Roman" w:cs="Times New Roman"/>
                <w:iCs/>
                <w:color w:val="000000"/>
                <w:kern w:val="0"/>
                <w:sz w:val="18"/>
                <w:szCs w:val="18"/>
                <w:lang w:val="en-US" w:eastAsia="en-US" w:bidi="ar-SA"/>
              </w:rPr>
              <w:t xml:space="preserve">The keyword list provides the opportunity to add 5 to 7 keywords, used by the indexing and abstracting services, in addition to those already present in the title </w:t>
            </w:r>
            <w:r>
              <w:rPr>
                <w:rFonts w:eastAsia="Times New Roman" w:cs="Times New Roman"/>
                <w:kern w:val="0"/>
                <w:sz w:val="18"/>
                <w:szCs w:val="18"/>
                <w:lang w:val="en-US" w:eastAsia="en-US" w:bidi="ar-SA"/>
              </w:rPr>
              <w:t>(9 pt)</w:t>
            </w:r>
            <w:r>
              <w:rPr>
                <w:rFonts w:eastAsia="Times New Roman" w:cs="Times New Roman"/>
                <w:iCs/>
                <w:color w:val="000000"/>
                <w:kern w:val="0"/>
                <w:sz w:val="18"/>
                <w:szCs w:val="18"/>
                <w:lang w:val="en-US" w:eastAsia="en-US" w:bidi="ar-SA"/>
              </w:rPr>
              <w:t>.</w:t>
            </w:r>
          </w:p>
        </w:tc>
      </w:tr>
      <w:tr>
        <w:trPr>
          <w:trHeight w:val="1231" w:hRule="atLeast"/>
        </w:trPr>
        <w:tc>
          <w:tcPr>
            <w:tcW w:w="2787" w:type="dxa"/>
            <w:vMerge w:val="restart"/>
            <w:tcBorders>
              <w:left w:val="nil"/>
              <w:right w:val="nil"/>
            </w:tcBorders>
          </w:tcPr>
          <w:p>
            <w:pPr>
              <w:pStyle w:val="Normal"/>
              <w:widowControl/>
              <w:spacing w:before="120" w:after="120"/>
              <w:jc w:val="both"/>
              <w:rPr>
                <w:b/>
                <w:i/>
                <w:i/>
              </w:rPr>
            </w:pPr>
            <w:r>
              <w:rPr>
                <w:rFonts w:eastAsia="Times New Roman" w:cs="Times New Roman"/>
                <w:b/>
                <w:i/>
                <w:kern w:val="0"/>
                <w:sz w:val="20"/>
                <w:szCs w:val="20"/>
                <w:lang w:val="en-US" w:eastAsia="en-US" w:bidi="ar-SA"/>
              </w:rPr>
              <w:t>Keywords:</w:t>
            </w:r>
          </w:p>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First keyword</w:t>
            </w:r>
          </w:p>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Second keyword</w:t>
            </w:r>
          </w:p>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Third keyword</w:t>
            </w:r>
          </w:p>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Fourth keyword</w:t>
            </w:r>
          </w:p>
          <w:p>
            <w:pPr>
              <w:pStyle w:val="Normal"/>
              <w:widowControl/>
              <w:spacing w:before="0" w:after="0"/>
              <w:jc w:val="both"/>
              <w:rPr>
                <w:b/>
                <w:i/>
                <w:i/>
              </w:rPr>
            </w:pPr>
            <w:r>
              <w:rPr>
                <w:rFonts w:eastAsia="Times New Roman" w:cs="Times New Roman"/>
                <w:kern w:val="0"/>
                <w:sz w:val="20"/>
                <w:szCs w:val="20"/>
                <w:lang w:val="en-US" w:eastAsia="en-US" w:bidi="ar-SA"/>
              </w:rPr>
              <w:t>Fifth keyword</w:t>
            </w:r>
          </w:p>
        </w:tc>
        <w:tc>
          <w:tcPr>
            <w:tcW w:w="282" w:type="dxa"/>
            <w:vMerge w:val="continue"/>
            <w:tcBorders>
              <w:top w:val="nil"/>
              <w:left w:val="nil"/>
              <w:bottom w:val="nil"/>
              <w:right w:val="nil"/>
            </w:tcBorders>
          </w:tcPr>
          <w:p>
            <w:pPr>
              <w:pStyle w:val="Normal"/>
              <w:widowControl/>
              <w:spacing w:before="12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5776" w:type="dxa"/>
            <w:vMerge w:val="continue"/>
            <w:tcBorders>
              <w:top w:val="nil"/>
              <w:left w:val="nil"/>
              <w:bottom w:val="nil"/>
              <w:right w:val="nil"/>
            </w:tcBorders>
          </w:tcPr>
          <w:p>
            <w:pPr>
              <w:pStyle w:val="Normal"/>
              <w:widowControl/>
              <w:spacing w:before="120" w:after="0"/>
              <w:jc w:val="both"/>
              <w:rPr>
                <w:iCs/>
                <w:color w:val="000000"/>
                <w:sz w:val="18"/>
                <w:szCs w:val="18"/>
              </w:rPr>
            </w:pPr>
            <w:r>
              <w:rPr>
                <w:rFonts w:eastAsia="Times New Roman" w:cs="Times New Roman"/>
                <w:iCs/>
                <w:color w:val="000000"/>
                <w:kern w:val="0"/>
                <w:sz w:val="18"/>
                <w:szCs w:val="18"/>
                <w:lang w:val="en-US" w:eastAsia="en-US" w:bidi="ar-SA"/>
              </w:rPr>
            </w:r>
          </w:p>
        </w:tc>
      </w:tr>
      <w:tr>
        <w:trPr>
          <w:trHeight w:val="70" w:hRule="atLeast"/>
        </w:trPr>
        <w:tc>
          <w:tcPr>
            <w:tcW w:w="2787" w:type="dxa"/>
            <w:vMerge w:val="continue"/>
            <w:tcBorders>
              <w:left w:val="nil"/>
              <w:right w:val="nil"/>
            </w:tcBorders>
          </w:tcPr>
          <w:p>
            <w:pPr>
              <w:pStyle w:val="Normal"/>
              <w:widowControl/>
              <w:spacing w:before="120" w:after="120"/>
              <w:jc w:val="both"/>
              <w:rPr>
                <w:b/>
                <w:i/>
                <w:i/>
              </w:rPr>
            </w:pPr>
            <w:r>
              <w:rPr>
                <w:rFonts w:eastAsia="Times New Roman" w:cs="Times New Roman"/>
                <w:b/>
                <w:i/>
                <w:kern w:val="0"/>
                <w:sz w:val="20"/>
                <w:szCs w:val="20"/>
                <w:lang w:val="en-US" w:eastAsia="en-US" w:bidi="ar-SA"/>
              </w:rPr>
            </w:r>
          </w:p>
        </w:tc>
        <w:tc>
          <w:tcPr>
            <w:tcW w:w="282" w:type="dxa"/>
            <w:vMerge w:val="continue"/>
            <w:tcBorders>
              <w:top w:val="nil"/>
              <w:left w:val="nil"/>
              <w:bottom w:val="nil"/>
              <w:right w:val="nil"/>
            </w:tcBorders>
          </w:tcPr>
          <w:p>
            <w:pPr>
              <w:pStyle w:val="Normal"/>
              <w:widowControl/>
              <w:spacing w:before="12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5776" w:type="dxa"/>
            <w:tcBorders>
              <w:top w:val="nil"/>
              <w:left w:val="nil"/>
              <w:right w:val="nil"/>
            </w:tcBorders>
          </w:tcPr>
          <w:p>
            <w:pPr>
              <w:pStyle w:val="Normal"/>
              <w:widowControl/>
              <w:spacing w:before="120" w:after="120"/>
              <w:jc w:val="right"/>
              <w:rPr>
                <w:i/>
                <w:i/>
                <w:iCs/>
                <w:color w:val="000000"/>
                <w:sz w:val="18"/>
                <w:szCs w:val="18"/>
              </w:rPr>
            </w:pPr>
            <w:r>
              <w:rPr>
                <w:rFonts w:eastAsia="Times New Roman" w:cs="Times New Roman"/>
                <w:i/>
                <w:iCs/>
                <w:color w:val="000000"/>
                <w:kern w:val="0"/>
                <w:sz w:val="18"/>
                <w:szCs w:val="18"/>
                <w:lang w:val="en-US" w:eastAsia="en-US" w:bidi="ar-SA"/>
              </w:rPr>
              <w:t xml:space="preserve">This is an open access article under the </w:t>
            </w:r>
            <w:hyperlink r:id="rId2">
              <w:r>
                <w:rPr>
                  <w:rStyle w:val="Hyperlink"/>
                  <w:rFonts w:eastAsia="Times New Roman" w:cs="Times New Roman"/>
                  <w:i/>
                  <w:iCs/>
                  <w:kern w:val="0"/>
                  <w:sz w:val="18"/>
                  <w:szCs w:val="18"/>
                  <w:lang w:val="en-US" w:eastAsia="en-US" w:bidi="ar-SA"/>
                </w:rPr>
                <w:t>CC BY-SA</w:t>
              </w:r>
            </w:hyperlink>
            <w:r>
              <w:rPr>
                <w:rFonts w:eastAsia="Times New Roman" w:cs="Times New Roman"/>
                <w:i/>
                <w:iCs/>
                <w:color w:val="000000"/>
                <w:kern w:val="0"/>
                <w:sz w:val="18"/>
                <w:szCs w:val="18"/>
                <w:lang w:val="en-US" w:eastAsia="en-US" w:bidi="ar-SA"/>
              </w:rPr>
              <w:t xml:space="preserve"> license.</w:t>
            </w:r>
          </w:p>
          <w:p>
            <w:pPr>
              <w:pStyle w:val="Normal"/>
              <w:widowControl/>
              <w:spacing w:before="120" w:after="120"/>
              <w:jc w:val="right"/>
              <w:rPr>
                <w:i/>
                <w:i/>
                <w:iCs/>
                <w:color w:val="000000"/>
                <w:sz w:val="18"/>
                <w:szCs w:val="18"/>
              </w:rPr>
            </w:pPr>
            <w:r>
              <w:rPr>
                <w:rFonts w:eastAsia="Times New Roman" w:cs="Times New Roman"/>
                <w:kern w:val="0"/>
                <w:lang w:val="en-US" w:eastAsia="en-US" w:bidi="ar-SA"/>
              </w:rPr>
              <w:drawing>
                <wp:inline distT="0" distB="0" distL="0" distR="0">
                  <wp:extent cx="1057275" cy="371475"/>
                  <wp:effectExtent l="0" t="0" r="0" b="0"/>
                  <wp:docPr id="1"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
                          <pic:cNvPicPr>
                            <a:picLocks noChangeAspect="1" noChangeArrowheads="1"/>
                          </pic:cNvPicPr>
                        </pic:nvPicPr>
                        <pic:blipFill>
                          <a:blip r:embed="rId3"/>
                          <a:stretch>
                            <a:fillRect/>
                          </a:stretch>
                        </pic:blipFill>
                        <pic:spPr bwMode="auto">
                          <a:xfrm>
                            <a:off x="0" y="0"/>
                            <a:ext cx="1057275" cy="371475"/>
                          </a:xfrm>
                          <a:prstGeom prst="rect">
                            <a:avLst/>
                          </a:prstGeom>
                        </pic:spPr>
                      </pic:pic>
                    </a:graphicData>
                  </a:graphic>
                </wp:inline>
              </w:drawing>
            </w:r>
          </w:p>
        </w:tc>
      </w:tr>
      <w:tr>
        <w:trPr/>
        <w:tc>
          <w:tcPr>
            <w:tcW w:w="8845" w:type="dxa"/>
            <w:gridSpan w:val="3"/>
            <w:tcBorders>
              <w:top w:val="nil"/>
              <w:left w:val="nil"/>
              <w:bottom w:val="double" w:sz="4" w:space="0" w:color="000000"/>
              <w:right w:val="nil"/>
            </w:tcBorders>
          </w:tcPr>
          <w:p>
            <w:pPr>
              <w:pStyle w:val="Normal"/>
              <w:widowControl/>
              <w:spacing w:before="120" w:after="120"/>
              <w:jc w:val="left"/>
              <w:rPr>
                <w:b/>
                <w:i/>
                <w:i/>
              </w:rPr>
            </w:pPr>
            <w:r>
              <w:rPr>
                <w:rFonts w:eastAsia="Times New Roman" w:cs="Times New Roman"/>
                <w:b/>
                <w:i/>
                <w:kern w:val="0"/>
                <w:sz w:val="20"/>
                <w:szCs w:val="20"/>
                <w:lang w:val="en-US" w:eastAsia="en-US" w:bidi="ar-SA"/>
              </w:rPr>
              <w:t>Corresponding Author:</w:t>
            </w:r>
          </w:p>
          <w:p>
            <w:pPr>
              <w:pStyle w:val="Normal"/>
              <w:widowControl/>
              <w:spacing w:before="0" w:after="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Suttichai Premrudeeprechacharn</w:t>
            </w:r>
          </w:p>
          <w:p>
            <w:pPr>
              <w:pStyle w:val="Normal"/>
              <w:widowControl/>
              <w:spacing w:before="0" w:after="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Department of Electrical Engineering, Faculty of Engineering, Chiang Mai University</w:t>
            </w:r>
          </w:p>
          <w:p>
            <w:pPr>
              <w:pStyle w:val="Normal"/>
              <w:widowControl/>
              <w:spacing w:before="0" w:after="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239 Huay Kaew Road, Muang District, Chiang Mai 50200, Thailand</w:t>
            </w:r>
          </w:p>
          <w:p>
            <w:pPr>
              <w:pStyle w:val="Normal"/>
              <w:widowControl/>
              <w:spacing w:before="0" w:after="1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Email: suttichai@mail.com</w:t>
            </w:r>
          </w:p>
        </w:tc>
      </w:tr>
    </w:tbl>
    <w:p>
      <w:pPr>
        <w:pStyle w:val="Normal"/>
        <w:jc w:val="both"/>
        <w:rPr/>
      </w:pPr>
      <w:r>
        <w:rPr/>
      </w:r>
    </w:p>
    <w:p>
      <w:pPr>
        <w:pStyle w:val="Normal"/>
        <w:jc w:val="both"/>
        <w:rPr/>
      </w:pPr>
      <w:r>
        <w:rPr/>
      </w:r>
    </w:p>
    <w:p>
      <w:pPr>
        <w:pStyle w:val="Normal"/>
        <w:numPr>
          <w:ilvl w:val="0"/>
          <w:numId w:val="4"/>
        </w:numPr>
        <w:tabs>
          <w:tab w:val="clear" w:pos="720"/>
          <w:tab w:val="left" w:pos="426" w:leader="none"/>
        </w:tabs>
        <w:ind w:hanging="426" w:left="426"/>
        <w:rPr>
          <w:b/>
          <w:bCs/>
        </w:rPr>
      </w:pPr>
      <w:r>
        <w:rPr>
          <w:b/>
          <w:bCs/>
        </w:rPr>
        <w:t>INTRODUCTION (10 PT)</w:t>
      </w:r>
    </w:p>
    <w:p>
      <w:pPr>
        <w:pStyle w:val="Normal"/>
        <w:ind w:firstLine="720"/>
        <w:jc w:val="both"/>
        <w:rPr/>
      </w:pPr>
      <w:bookmarkStart w:id="7" w:name="_Hlk80016671"/>
      <w:bookmarkStart w:id="8" w:name="_Hlk80000636"/>
      <w:r>
        <w:rPr/>
        <w:t>E</w:t>
      </w:r>
      <w:bookmarkEnd w:id="7"/>
      <w:bookmarkEnd w:id="8"/>
      <w:r>
        <w:rPr/>
        <w:t xml:space="preserve">l crecimiento del IoT </w:t>
      </w:r>
      <w:r>
        <w:rPr/>
        <w:t xml:space="preserve">(Internet of things) se ha consolidado como un potencial expansivo tecnológico en los últimos años, </w:t>
      </w:r>
      <w:r>
        <w:rPr/>
        <w:t>mediante el</w:t>
      </w:r>
      <w:r>
        <w:rPr/>
        <w:t xml:space="preserve"> impuls</w:t>
      </w:r>
      <w:r>
        <w:rPr/>
        <w:t>o</w:t>
      </w:r>
      <w:r>
        <w:rPr/>
        <w:t xml:space="preserve"> conjunto de millones de dispositivos conectados a internet atravez </w:t>
      </w:r>
      <w:r>
        <w:rPr/>
        <w:t>del uso de sensores</w:t>
      </w:r>
      <w:r>
        <w:rPr/>
        <w:t xml:space="preserve"> </w:t>
      </w:r>
      <w:r>
        <w:rPr/>
        <w:t>determinados en conectar objetos físicos para recopilar datos e intercambiarlos [1]. De esta manera, permite ser usado en distintos sectores como la agricultura, medicina y bajo un entorno de soluciones industriales y prácticas [</w:t>
      </w:r>
      <w:r>
        <w:rPr/>
        <w:t>2</w:t>
      </w:r>
      <w:r>
        <w:rPr/>
        <w:t>].</w:t>
      </w:r>
    </w:p>
    <w:p>
      <w:pPr>
        <w:pStyle w:val="Normal"/>
        <w:ind w:firstLine="720"/>
        <w:jc w:val="both"/>
        <w:rPr/>
      </w:pPr>
      <w:r>
        <w:rPr/>
      </w:r>
    </w:p>
    <w:p>
      <w:pPr>
        <w:pStyle w:val="Normal"/>
        <w:ind w:firstLine="720"/>
        <w:jc w:val="both"/>
        <w:rPr/>
      </w:pPr>
      <w:r>
        <w:rPr>
          <w:b w:val="false"/>
          <w:bCs w:val="false"/>
        </w:rPr>
        <w:t>Pese a ello,</w:t>
      </w:r>
      <w:r>
        <w:rPr>
          <w:b w:val="false"/>
          <w:bCs w:val="false"/>
        </w:rPr>
        <w:t xml:space="preserve"> el </w:t>
      </w:r>
      <w:r>
        <w:rPr>
          <w:rStyle w:val="Strong"/>
          <w:b w:val="false"/>
          <w:bCs w:val="false"/>
        </w:rPr>
        <w:t xml:space="preserve">consumo energético y las limitaciones de hardware </w:t>
      </w:r>
      <w:r>
        <w:rPr>
          <w:rStyle w:val="Strong"/>
          <w:b w:val="false"/>
          <w:bCs w:val="false"/>
        </w:rPr>
        <w:t>es un factor crítico e</w:t>
      </w:r>
      <w:r>
        <w:rPr>
          <w:rStyle w:val="Strong"/>
          <w:b w:val="false"/>
          <w:bCs w:val="false"/>
        </w:rPr>
        <w:t xml:space="preserve">n </w:t>
      </w:r>
      <w:r>
        <w:rPr>
          <w:rStyle w:val="Strong"/>
          <w:b w:val="false"/>
          <w:bCs w:val="false"/>
        </w:rPr>
        <w:t>dispositivos</w:t>
      </w:r>
      <w:r>
        <w:rPr>
          <w:rStyle w:val="Strong"/>
          <w:b w:val="false"/>
          <w:bCs w:val="false"/>
        </w:rPr>
        <w:t xml:space="preserve"> embebidos, </w:t>
      </w:r>
      <w:r>
        <w:rPr>
          <w:rStyle w:val="Strong"/>
          <w:b w:val="false"/>
          <w:bCs w:val="false"/>
        </w:rPr>
        <w:t>pues</w:t>
      </w:r>
      <w:r>
        <w:rPr>
          <w:rStyle w:val="Strong"/>
          <w:b w:val="false"/>
          <w:bCs w:val="false"/>
        </w:rPr>
        <w:t xml:space="preserve"> representan un desafío importante </w:t>
      </w:r>
      <w:r>
        <w:rPr>
          <w:rStyle w:val="Strong"/>
          <w:b w:val="false"/>
          <w:bCs w:val="false"/>
        </w:rPr>
        <w:t>en</w:t>
      </w:r>
      <w:r>
        <w:rPr>
          <w:rStyle w:val="Strong"/>
          <w:b w:val="false"/>
          <w:bCs w:val="false"/>
        </w:rPr>
        <w:t xml:space="preserve"> su funcionamiento sostenible </w:t>
      </w:r>
      <w:r>
        <w:rPr>
          <w:rStyle w:val="Strong"/>
          <w:b w:val="false"/>
          <w:bCs w:val="false"/>
        </w:rPr>
        <w:t>y procesamiento muy limitado para optimizar su operación [3]</w:t>
      </w:r>
      <w:r>
        <w:rPr>
          <w:rStyle w:val="Strong"/>
          <w:b w:val="false"/>
          <w:bCs w:val="false"/>
        </w:rPr>
        <w:t>. A raíz de lo mencionado anteriormente</w:t>
      </w:r>
    </w:p>
    <w:p>
      <w:pPr>
        <w:pStyle w:val="Normal"/>
        <w:ind w:firstLine="720"/>
        <w:jc w:val="both"/>
        <w:rPr>
          <w:rStyle w:val="Strong"/>
          <w:b w:val="false"/>
          <w:bCs w:val="false"/>
        </w:rPr>
      </w:pPr>
      <w:r>
        <w:rPr/>
      </w:r>
    </w:p>
    <w:p>
      <w:pPr>
        <w:pStyle w:val="Normal"/>
        <w:ind w:firstLine="720"/>
        <w:jc w:val="both"/>
        <w:rPr>
          <w:rStyle w:val="Strong"/>
        </w:rPr>
      </w:pPr>
      <w:r>
        <w:rPr>
          <w:rStyle w:val="Strong"/>
          <w:b w:val="false"/>
          <w:bCs w:val="false"/>
        </w:rPr>
        <w:t>En este escenario, Tiny Machine Learning (TinyML) surge como una tecnología emergente que combina el aprendizaje automático con la computación de borde, permitiendo ejecutar modelos de inteligencia artificial directamente en dispositivos de baja potencia. Esto no solo reduce la dependencia de la nube y el uso de ancho de banda, sino que también optimiza el rendimiento energético y la capacidad de respuesta del sistema</w:t>
      </w:r>
    </w:p>
    <w:p>
      <w:pPr>
        <w:pStyle w:val="Normal"/>
        <w:ind w:firstLine="720"/>
        <w:jc w:val="both"/>
        <w:rPr/>
      </w:pPr>
      <w:r>
        <w:rPr/>
      </w:r>
      <w:bookmarkStart w:id="9" w:name="_Hlk78354294"/>
      <w:bookmarkStart w:id="10" w:name="_Hlk80000657"/>
      <w:bookmarkStart w:id="11" w:name="_Hlk78354294"/>
      <w:bookmarkStart w:id="12" w:name="_Hlk80000657"/>
    </w:p>
    <w:p>
      <w:pPr>
        <w:pStyle w:val="Normal"/>
        <w:ind w:firstLine="720"/>
        <w:jc w:val="both"/>
        <w:rPr/>
      </w:pPr>
      <w:r>
        <w:rPr/>
        <w:t>A concise and factual abstract is required. The abstract should state briefly the purpose of the research, the principal results and major conclusions. An abstract is often presented separately from the article, so it must be able to stand alone. For this reason, References should be avoided, but if essential, then cite the author(s) and year(s). Also, non-standard or uncommon abbreviations should be avoided, but if essential they must be defined at their first mention in the abstract itself. Immediately after the abstract, provide a maximum of 7 keywords, using American spelling and avoiding general and plural terms and multiple concepts (avoid, for example, 'and', 'of'). Be sparing with abbreviations: only abbreviations firmly established in the field may be eligible. These keywords will be used for indexing purposes. Indexing and abstracting services depend on the accuracy of the title, extracting from it keywords useful in cross-referencing and computer searching. An improperly titled paper may never reach the audience for which it was intended, so be specific.</w:t>
      </w:r>
    </w:p>
    <w:p>
      <w:pPr>
        <w:pStyle w:val="Normal"/>
        <w:ind w:firstLine="720"/>
        <w:jc w:val="both"/>
        <w:rPr/>
      </w:pPr>
      <w:r>
        <w:rPr/>
        <w:t xml:space="preserve">The Introduction section should provide: i) a clear background, ii) a clear statement of the problem, iii) the relevant literature on the subject, iv) the proposed approach or solution, and v) the new value of research which is innovation (within 3-6 paragraphs). It should be understandable to colleagues from a broad range of scientific disciplines. Organization and citation of the bibliography are made in Institute of Electrical and Electronics Engineers (IEEE) style in sign </w:t>
      </w:r>
      <w:r>
        <w:fldChar w:fldCharType="begin"/>
      </w:r>
      <w:r>
        <w:rPr/>
        <w:instrText xml:space="preserve">ADDIN CSL_CITATION {"citationItems":[{"id":"ITEM-1","itemData":{"author":[{"dropping-particle":"","family":"Sigala","given":"Marianna","non-dropping-particle":"","parse-names":false,"suffix":""},{"dropping-particle":"","family":"Beer","given":"Andrew","non-dropping-particle":"","parse-names":false,"suffix":""},{"dropping-particle":"","family":"Hodgson","given":"Laura","non-dropping-particle":"","parse-names":false,"suffix":""},{"dropping-particle":"","family":"O’Connor","given":"Allan","non-dropping-particle":"","parse-names":false,"suffix":""}],"id":"ITEM-1","issued":{"date-parts":[["2019"]]},"number-of-pages":"57-73","title":"Big Data for Measuring the Impact of Tourism Economic Development Programmes: A Process and Quality Criteria Framework for Using Big Data","type":"book"},"uris":["http://www.mendeley.com/documents/?uuid=c45269a4-d73f-4938-a305-ba67f67d0604"]},{"id":"ITEM-2","itemData":{"DOI":"10.1007/s10462-018-09679-z","ISSN":"15737462","abstract":"The combined impact of new computing resources and techniques with an increasing avalanche of large datasets, is transforming many research areas and may lead to technological breakthroughs that can be used by billions of people. In the recent years, Machine Learning and especially its subfield Deep Learning have seen impressive advances. Techniques developed within these two fields are now able to analyze and learn from huge amounts of real world examples in a disparate formats. While the number of Machine Learning algorithms is extensive and growing, their implementations through frameworks and libraries is also extensive and growing too. The software development in this field is fast paced with a large number of open-source software coming from the academy, industry, start-ups or wider open-source communities. This survey presents a recent time-slide comprehensive overview with comparisons as well as trends in development and usage of cutting-edge Artificial Intelligence software. It also provides an overview of massive parallelism support that is capable of scaling computation effectively and efficiently in the era of Big Data.","author":[{"dropping-particle":"","family":"Nguyen","given":"Giang","non-dropping-particle":"","parse-names":false,"suffix":""},{"dropping-particle":"","family":"Dlugolinsky","given":"Stefan","non-dropping-particle":"","parse-names":false,"suffix":""},{"dropping-particle":"","family":"Bobák","given":"Martin","non-dropping-particle":"","parse-names":false,"suffix":""},{"dropping-particle":"","family":"Tran","given":"Viet","non-dropping-particle":"","parse-names":false,"suffix":""},{"dropping-particle":"","family":"López García","given":"Álvaro","non-dropping-particle":"","parse-names":false,"suffix":""},{"dropping-particle":"","family":"Heredia","given":"Ignacio","non-dropping-particle":"","parse-names":false,"suffix":""},{"dropping-particle":"","family":"Malík","given":"Peter","non-dropping-particle":"","parse-names":false,"suffix":""},{"dropping-particle":"","family":"Hluchý","given":"Ladislav","non-dropping-particle":"","parse-names":false,"suffix":""}],"container-title":"Artificial Intelligence Review","id":"ITEM-2","issue":"1","issued":{"date-parts":[["2019"]]},"page":"77-124","publisher":"Springer Netherlands","title":"Machine Learning and Deep Learning frameworks and libraries for large-scale data mining: a survey","type":"article-journal","volume":"52"},"uris":["http://www.mendeley.com/documents/?uuid=ba6f84de-1264-4176-bb33-d4bd0856084e"]}],"mendeley":{"formattedCitation":"[1], [2]","plainTextFormattedCitation":"[1], [2]","previouslyFormattedCitation":"[1], [2]"},"properties":{"noteIndex":0},"schema":"https://github.com/citation-style-language/schema/raw/master/csl-citation.json"}</w:instrText>
      </w:r>
      <w:r>
        <w:rPr/>
      </w:r>
      <w:r>
        <w:rPr/>
        <w:fldChar w:fldCharType="separate"/>
      </w:r>
      <w:r>
        <w:rPr/>
        <w:t>[1], [2]</w:t>
      </w:r>
      <w:r>
        <w:rPr/>
      </w:r>
      <w:r>
        <w:rPr/>
        <w:fldChar w:fldCharType="end"/>
      </w:r>
      <w:r>
        <w:rPr/>
        <w:t xml:space="preserve"> and so on. The terms in foreign languages are written italic (</w:t>
      </w:r>
      <w:r>
        <w:rPr>
          <w:i/>
          <w:iCs/>
        </w:rPr>
        <w:t>italic</w:t>
      </w:r>
      <w:r>
        <w:rPr/>
        <w:t xml:space="preserve">). The text should be divided into sections, each with a separate heading and numbered consecutively </w:t>
      </w:r>
      <w:r>
        <w:fldChar w:fldCharType="begin"/>
      </w:r>
      <w:r>
        <w:rPr/>
        <w:instrText xml:space="preserve">ADDIN CSL_CITATION {"citationItems":[{"id":"ITEM-1","itemData":{"DOI":"10.1186/s40537-019-0197-0","ISSN":"21961115","abstract":"Deep convolutional neural networks have performed remarkably well on many Computer Vision tasks. However, these networks are heavily reliant on big data to avoid overfitting. Overfitting refers to the phenomenon when a network learns a function with very high variance such as to perfectly model the training data. Unfortunately, many application domains do not have access to big data, such as medical image analysis. This survey focuses on Data Augmentation, a data-space solution to the problem of limited data. Data Augmentation encompasses a suite of techniques that enhance the size and quality of training datasets such that better Deep Learning models can be built using them. The image augmentation algorithms discussed in this survey include geometric transformations, color space augmentations, kernel filters, mixing images, random erasing, feature space augmentation, adversarial training, generative adversarial networks, neural style transfer, and meta-learning. The application of augmentation methods based on GANs are heavily covered in this survey. In addition to augmentation techniques, this paper will briefly discuss other characteristics of Data Augmentation such as test-time augmentation, resolution impact, final dataset size, and curriculum learning. This survey will present existing methods for Data Augmentation, promising developments, and meta-level decisions for implementing Data Augmentation. Readers will understand how Data Augmentation can improve the performance of their models and expand limited datasets to take advantage of the capabilities of big data.","author":[{"dropping-particle":"","family":"Shorten","given":"Connor","non-dropping-particle":"","parse-names":false,"suffix":""},{"dropping-particle":"","family":"Khoshgoftaar","given":"Taghi M.","non-dropping-particle":"","parse-names":false,"suffix":""}],"container-title":"Journal of Big Data","id":"ITEM-1","issue":"1","issued":{"date-parts":[["2019"]]},"publisher":"Springer International Publishing","title":"A survey on Image Data Augmentation for Deep Learning","type":"article-journal","volume":"6"},"uris":["http://www.mendeley.com/documents/?uuid=3913f4d2-bbc7-4192-a4bd-9da46121ec06"]}],"mendeley":{"formattedCitation":"[3]","plainTextFormattedCitation":"[3]","previouslyFormattedCitation":"[3]"},"properties":{"noteIndex":0},"schema":"https://github.com/citation-style-language/schema/raw/master/csl-citation.json"}</w:instrText>
      </w:r>
      <w:r>
        <w:rPr/>
      </w:r>
      <w:r>
        <w:rPr/>
        <w:fldChar w:fldCharType="separate"/>
      </w:r>
      <w:r>
        <w:rPr/>
        <w:t>[3]</w:t>
      </w:r>
      <w:r>
        <w:rPr/>
      </w:r>
      <w:r>
        <w:rPr/>
        <w:fldChar w:fldCharType="end"/>
      </w:r>
      <w:r>
        <w:rPr/>
        <w:t xml:space="preserve">. The section or subsection headings should be typed on a separate line, e.g., 1. INTRODUCTION. A full article usually follows a standard structure: </w:t>
      </w:r>
      <w:r>
        <w:rPr>
          <w:b/>
          <w:bCs/>
        </w:rPr>
        <w:t xml:space="preserve">1. INTRODUCTION, 2. THE COMPREHENSIVE THEORETICAL BASIS AND/OR THE PROPOSED METHOD/ALGORITHM </w:t>
      </w:r>
      <w:r>
        <w:rPr>
          <w:i/>
          <w:iCs/>
        </w:rPr>
        <w:t>(optional)</w:t>
      </w:r>
      <w:r>
        <w:rPr>
          <w:b/>
          <w:bCs/>
        </w:rPr>
        <w:t xml:space="preserve">, 3. METHOD, 4. RESULTS AND DISCUSSION, and 5. CONCLUSION. </w:t>
      </w:r>
      <w:r>
        <w:rPr/>
        <w:t xml:space="preserve">The structure is well-known as </w:t>
      </w:r>
      <w:r>
        <w:rPr>
          <w:b/>
          <w:bCs/>
        </w:rPr>
        <w:t xml:space="preserve">IMRaD </w:t>
      </w:r>
      <w:r>
        <w:rPr/>
        <w:t xml:space="preserve">style.  </w:t>
      </w:r>
    </w:p>
    <w:p>
      <w:pPr>
        <w:pStyle w:val="Normal"/>
        <w:ind w:firstLine="720"/>
        <w:jc w:val="both"/>
        <w:rPr>
          <w:spacing w:val="-2"/>
        </w:rPr>
      </w:pPr>
      <w:bookmarkStart w:id="13" w:name="_Hlk80000697"/>
      <w:r>
        <w:rPr>
          <w:spacing w:val="-2"/>
        </w:rPr>
        <w:t xml:space="preserve">Literature review that has been done author used in the section "INTRODUCTION" to explain </w:t>
        <w:br/>
        <w:t xml:space="preserve">the difference of the manuscript with other papers, that it is innovative, it are used in the section "METHOD" to describe the step of research and used in the section "RESULTS AND DISCUSSION" to support the analysis of the results </w:t>
      </w:r>
      <w:r>
        <w:fldChar w:fldCharType="begin"/>
      </w:r>
      <w:r>
        <w:rPr>
          <w:spacing w:val="-2"/>
        </w:rPr>
        <w:instrText xml:space="preserve">ADDIN CSL_CITATION {"citationItems":[{"id":"ITEM-1","itemData":{"DOI":"10.1007/s10462-018-09679-z","ISSN":"15737462","abstract":"The combined impact of new computing resources and techniques with an increasing avalanche of large datasets, is transforming many research areas and may lead to technological breakthroughs that can be used by billions of people. In the recent years, Machine Learning and especially its subfield Deep Learning have seen impressive advances. Techniques developed within these two fields are now able to analyze and learn from huge amounts of real world examples in a disparate formats. While the number of Machine Learning algorithms is extensive and growing, their implementations through frameworks and libraries is also extensive and growing too. The software development in this field is fast paced with a large number of open-source software coming from the academy, industry, start-ups or wider open-source communities. This survey presents a recent time-slide comprehensive overview with comparisons as well as trends in development and usage of cutting-edge Artificial Intelligence software. It also provides an overview of massive parallelism support that is capable of scaling computation effectively and efficiently in the era of Big Data.","author":[{"dropping-particle":"","family":"Nguyen","given":"Giang","non-dropping-particle":"","parse-names":false,"suffix":""},{"dropping-particle":"","family":"Dlugolinsky","given":"Stefan","non-dropping-particle":"","parse-names":false,"suffix":""},{"dropping-particle":"","family":"Bobák","given":"Martin","non-dropping-particle":"","parse-names":false,"suffix":""},{"dropping-particle":"","family":"Tran","given":"Viet","non-dropping-particle":"","parse-names":false,"suffix":""},{"dropping-particle":"","family":"López García","given":"Álvaro","non-dropping-particle":"","parse-names":false,"suffix":""},{"dropping-particle":"","family":"Heredia","given":"Ignacio","non-dropping-particle":"","parse-names":false,"suffix":""},{"dropping-particle":"","family":"Malík","given":"Peter","non-dropping-particle":"","parse-names":false,"suffix":""},{"dropping-particle":"","family":"Hluchý","given":"Ladislav","non-dropping-particle":"","parse-names":false,"suffix":""}],"container-title":"Artificial Intelligence Review","id":"ITEM-1","issue":"1","issued":{"date-parts":[["2019"]]},"page":"77-124","publisher":"Springer Netherlands","title":"Machine Learning and Deep Learning frameworks and libraries for large-scale data mining: a survey","type":"article-journal","volume":"52"},"uris":["http://www.mendeley.com/documents/?uuid=ba6f84de-1264-4176-bb33-d4bd0856084e"]}],"mendeley":{"formattedCitation":"[2]","plainTextFormattedCitation":"[2]","previouslyFormattedCitation":"[2]"},"properties":{"noteIndex":0},"schema":"https://github.com/citation-style-language/schema/raw/master/csl-citation.json"}</w:instrText>
      </w:r>
      <w:r>
        <w:rPr>
          <w:spacing w:val="-2"/>
        </w:rPr>
      </w:r>
      <w:r>
        <w:rPr>
          <w:spacing w:val="-2"/>
        </w:rPr>
        <w:fldChar w:fldCharType="separate"/>
      </w:r>
      <w:r>
        <w:rPr>
          <w:spacing w:val="-2"/>
        </w:rPr>
        <w:t>[2]</w:t>
      </w:r>
      <w:r>
        <w:rPr>
          <w:spacing w:val="-2"/>
        </w:rPr>
      </w:r>
      <w:r>
        <w:rPr>
          <w:spacing w:val="-2"/>
        </w:rPr>
        <w:fldChar w:fldCharType="end"/>
      </w:r>
      <w:r>
        <w:rPr>
          <w:spacing w:val="-2"/>
        </w:rPr>
        <w:t xml:space="preserve">. If the manuscript was written really have high originality, which proposed a new method or algorithm, the additional section after the "INTRODUCTION" section and before the "METHOD" section can be added to explain briefly the theory and/or the proposed method/algorithm </w:t>
      </w:r>
      <w:r>
        <w:fldChar w:fldCharType="begin"/>
      </w:r>
      <w:r>
        <w:rPr>
          <w:spacing w:val="-2"/>
        </w:rPr>
        <w:instrText xml:space="preserve">ADDIN CSL_CITATION {"citationItems":[{"id":"ITEM-1","itemData":{"DOI":"10.1109/ACCESS.2019.2895334","ISSN":"21693536","abstract":"Machine learning techniques are being widely used to develop an intrusion detection system (IDS) for detecting and classifying cyberattacks at the network-level and the host-level in a timely and automatic manner. However, many challenges arise since malicious attacks are continually changing and are occurring in very large volumes requiring a scalable solution. There are different malware datasets available publicly for further research by cyber security community. However, no existing study has shown the detailed analysis of the performance of various machine learning algorithms on various publicly available datasets. Due to the dynamic nature of malware with continuously changing attacking methods, the malware datasets available publicly are to be updated systematically and benchmarked. In this paper, a deep neural network (DNN), a type of deep learning model, is explored to develop a flexible and effective IDS to detect and classify unforeseen and unpredictable cyberattacks. The continuous change in network behavior and rapid evolution of attacks makes it necessary to evaluate various datasets which are generated over the years through static and dynamic approaches. This type of study facilitates to identify the best algorithm which can effectively work in detecting future cyberattacks. A comprehensive evaluation of experiments of DNNs and other classical machine learning classifiers are shown on various publicly available benchmark malware datasets. The optimal network parameters and network topologies for DNNs are chosen through the following hyperparameter selection methods with KDDCup 99 dataset. All the experiments of DNNs are run till 1,000 epochs with the learning rate varying in the range [0.01-0.5]. The DNN model which performed well on KDDCup 99 is applied on other datasets, such as NSL-KDD, UNSW-NB15, Kyoto, WSN-DS, and CICIDS 2017, to conduct the benchmark. Our DNN model learns the abstract and high-dimensional feature representation of the IDS data by passing them into many hidden layers. Through a rigorous experimental testing, it is confirmed that DNNs perform well in comparison with the classical machine learning classifiers. Finally, we propose a highly scalable and hybrid DNNs framework called scale-hybrid-IDS-AlertNet which can be used in real-time to effectively monitor the network traffic and host-level events to proactively alert possible cyberattacks.","author":[{"dropping-particle":"","family":"Vinayakumar","given":"R.","non-dropping-particle":"","parse-names":false,"suffix":""},{"dropping-particle":"","family":"Alazab","given":"Mamoun","non-dropping-particle":"","parse-names":false,"suffix":""},{"dropping-particle":"","family":"Soman","given":"K. P.","non-dropping-particle":"","parse-names":false,"suffix":""},{"dropping-particle":"","family":"Poornachandran","given":"Prabaharan","non-dropping-particle":"","parse-names":false,"suffix":""},{"dropping-particle":"","family":"Al-Nemrat","given":"Ameer","non-dropping-particle":"","parse-names":false,"suffix":""},{"dropping-particle":"","family":"Venkatraman","given":"Sitalakshmi","non-dropping-particle":"","parse-names":false,"suffix":""}],"container-title":"IEEE Access","id":"ITEM-1","issued":{"date-parts":[["2019"]]},"page":"41525-41550","publisher":"IEEE","title":"Deep Learning Approach for Intelligent Intrusion Detection System","type":"article-journal","volume":"7"},"uris":["http://www.mendeley.com/documents/?uuid=efaca2e8-aaf6-4a9d-b352-b0265f4ce7df"]}],"mendeley":{"formattedCitation":"[4]","plainTextFormattedCitation":"[4]","previouslyFormattedCitation":"[4]"},"properties":{"noteIndex":0},"schema":"https://github.com/citation-style-language/schema/raw/master/csl-citation.json"}</w:instrText>
      </w:r>
      <w:r>
        <w:rPr>
          <w:spacing w:val="-2"/>
        </w:rPr>
      </w:r>
      <w:r>
        <w:rPr>
          <w:spacing w:val="-2"/>
        </w:rPr>
        <w:fldChar w:fldCharType="separate"/>
      </w:r>
      <w:r>
        <w:rPr>
          <w:spacing w:val="-2"/>
        </w:rPr>
        <w:t>[4]</w:t>
      </w:r>
      <w:r>
        <w:rPr>
          <w:spacing w:val="-2"/>
        </w:rPr>
      </w:r>
      <w:r>
        <w:rPr>
          <w:spacing w:val="-2"/>
        </w:rPr>
        <w:fldChar w:fldCharType="end"/>
      </w:r>
      <w:r>
        <w:rPr>
          <w:spacing w:val="-2"/>
        </w:rPr>
        <w:t>.</w:t>
      </w:r>
      <w:bookmarkEnd w:id="11"/>
      <w:bookmarkEnd w:id="12"/>
      <w:bookmarkEnd w:id="13"/>
    </w:p>
    <w:p>
      <w:pPr>
        <w:pStyle w:val="Normal"/>
        <w:jc w:val="both"/>
        <w:rPr/>
      </w:pPr>
      <w:r>
        <w:rPr/>
      </w:r>
    </w:p>
    <w:p>
      <w:pPr>
        <w:pStyle w:val="Normal"/>
        <w:jc w:val="both"/>
        <w:rPr/>
      </w:pPr>
      <w:r>
        <w:rPr/>
      </w:r>
    </w:p>
    <w:p>
      <w:pPr>
        <w:pStyle w:val="Normal"/>
        <w:numPr>
          <w:ilvl w:val="0"/>
          <w:numId w:val="4"/>
        </w:numPr>
        <w:tabs>
          <w:tab w:val="clear" w:pos="720"/>
          <w:tab w:val="left" w:pos="426" w:leader="none"/>
        </w:tabs>
        <w:ind w:hanging="426" w:left="426"/>
        <w:rPr>
          <w:b/>
          <w:bCs/>
        </w:rPr>
      </w:pPr>
      <w:r>
        <w:rPr>
          <w:b/>
          <w:bCs/>
        </w:rPr>
        <w:t>METHOD (10 PT)</w:t>
      </w:r>
    </w:p>
    <w:p>
      <w:pPr>
        <w:pStyle w:val="Normal"/>
        <w:ind w:firstLine="720"/>
        <w:jc w:val="both"/>
        <w:rPr/>
      </w:pPr>
      <w:bookmarkStart w:id="14" w:name="_Hlk78354310"/>
      <w:bookmarkEnd w:id="14"/>
      <w:r>
        <w:rPr/>
        <w:t xml:space="preserve">Explaining the research chronologically, including the research design, research procedures (in the form of algorithms, Pseudocode, or other), how to test, and data acquisition </w:t>
      </w:r>
      <w:r>
        <w:fldChar w:fldCharType="begin"/>
      </w:r>
      <w:r>
        <w:rPr/>
        <w:instrText xml:space="preserve">ADDIN CSL_CITATION {"citationItems":[{"id":"ITEM-1","itemData":{"DOI":"10.35940/ijitee.I3187.0789S319","ISSN":"22783075","abstract":"We present two major information examination strategies for diagnosing the reasons for system disappointments and for identifying system disappointments early. Syslogs contain log information created by the framework. We dissected syslogs what’s more, prevailing with regards to distinguishing the reason for a system disappointment via consequently learning more than 100 million logs without requiring any past learning of log information. Investigation of the information of an interpersonal interaction benefit (in particular, Twitter) empowered us to recognize conceivable system disappointments by extricating system disappointment related tweets, which represent under 1% of all tweets, continuously and with high exactness.","author":[{"dropping-particle":"","family":"Sivaraman","given":"K.","non-dropping-particle":"","parse-names":false,"suffix":""},{"dropping-particle":"","family":"Krishnan","given":"R. Muthu Venkata","non-dropping-particle":"","parse-names":false,"suffix":""},{"dropping-particle":"","family":"Sundarraj","given":"B.","non-dropping-particle":"","parse-names":false,"suffix":""},{"dropping-particle":"","family":"Sri Gowthem","given":"S.","non-dropping-particle":"","parse-names":false,"suffix":""}],"container-title":"International Journal of Innovative Technology and Exploring Engineering","id":"ITEM-1","issue":"9 Special Issue 3","issued":{"date-parts":[["2019"]]},"page":"883-887","title":"Network failure detection and diagnosis by analyzing syslog and SNS data: Applying big data analysis to network operations","type":"article-journal","volume":"8"},"uris":["http://www.mendeley.com/documents/?uuid=1f0f8047-26f4-446e-892e-fee949c83fbb"]},{"id":"ITEM-2","itemData":{"DOI":"10.3390/s19020326","ISSN":"14248220","PMID":"30650612","abstract":"Medical care has become one of the most indispensable parts of human lives, leading to a dramatic increase in medical big data. To streamline the diagnosis and treatment process, healthcare professionals are now adopting Internet of Things (IoT)-based wearable technology. Recent years have witnessed billions of sensors, devices, and vehicles being connected through the Internet. One such technology—remote patient monitoring—is common nowadays for the treatment and care of patients. However, these technologies also pose grave privacy risks and security concerns about the data transfer and the logging of data transactions. These security and privacy problems of medical data could result from a delay in treatment progress, even endangering the patient’s life. We propose the use of a blockchain to provide secure management and analysis of healthcare big data. However, blockchains are computationally expensive, demand high bandwidth and extra computational power, and are therefore not completely suitable for most resource-constrained IoT devices meant for smart cities. In this work, we try to resolve the above-mentioned issues of using blockchain with IoT devices. We propose a novel framework of modified blockchain models suitable for IoT devices that rely on their distributed nature and other additional privacy and security properties of the network. These additional privacy and security properties in our model are based on advanced cryptographic primitives. The solutions given here make IoT application data and transactions more secure and anonymous over a blockchain-based network.","author":[{"dropping-particle":"","family":"Dwivedi","given":"Ashutosh Dhar","non-dropping-particle":"","parse-names":false,"suffix":""},{"dropping-particle":"","family":"Srivastava","given":"Gautam","non-dropping-particle":"","parse-names":false,"suffix":""},{"dropping-particle":"","family":"Dhar","given":"Shalini","non-dropping-particle":"","parse-names":false,"suffix":""},{"dropping-particle":"","family":"Singh","given":"Rajani","non-dropping-particle":"","parse-names":false,"suffix":""}],"container-title":"Sensors (Switzerland)","id":"ITEM-2","issue":"2","issued":{"date-parts":[["2019"]]},"page":"1-17","title":"A decentralized privacy-preserving healthcare blockchain for IoT","type":"article-journal","volume":"19"},"uris":["http://www.mendeley.com/documents/?uuid=373b05cf-83eb-4f4d-8315-4bae5af3a03b"]},{"id":"ITEM-3","itemData":{"DOI":"10.1109/ACCESS.2019.2931637","ISSN":"21693536","abstract":"In the cloud-based Internet of Things (IoT) environments, quantifying uncertainty is an important element input to keep the acceptable level of reliability in various configurations. In this paper, we aim to address the pricing model of delivering data over the cloud while taking into consideration the dynamic uncertainty factors such as network topology, transmission/reception energy, nodal charge and power, and computation capacity. These uncertainty factors are mapped to different nodes with varying capabilities to be processed using Artificial Intelligence (AI)-based algorithms. Accordingly, we aim to find a way to calculate and predict the price per big data service over the cloud using AI and deep learning. Therefore, in this paper, we propose a framework to address big data delivery issues in cloud-based IoT environments by considering uncertainty factors. We compare the performance of the framework using two AI-based techniques called Genetic Algorithm (GA) and Simulated Annealing Algorithm (SAA) in both centralized and distributed versions. The use of AI techniques can be applied in multilevel to provide a kind of deep learning to further improve the performance of the system under study. The results reveal that the distributed algorithm outperforms the centralized one. In addition, the results show that the GA has lower running time compared to the SAA in all the test cases such as 68% of improvement in the centralized version, and 66% of improvement in the distributed version in case when the size of uncertainty array is 256. Moreover, when the size of uncertainty array increases, the results show 60% speed up in the distributed GA compared to its centralized version. The improvements achieved would help the service providers to actually improve their profit using the proposed framework.","author":[{"dropping-particle":"","family":"Al-Turjman","given":"Fadi","non-dropping-particle":"","parse-names":false,"suffix":""},{"dropping-particle":"","family":"Zahmatkesh","given":"Hadi","non-dropping-particle":"","parse-names":false,"suffix":""},{"dropping-particle":"","family":"Mostarda","given":"Leonardo","non-dropping-particle":"","parse-names":false,"suffix":""}],"container-title":"IEEE Access","id":"ITEM-3","issued":{"date-parts":[["2019"]]},"page":"115749-115759","publisher":"IEEE","title":"Quantifying uncertainty in internet of medical things and big-data services using intelligence and deep learning","type":"article-journal","volume":"7"},"uris":["http://www.mendeley.com/documents/?uuid=27937d55-a219-4e6c-b7b7-19799d992b98"]}],"mendeley":{"formattedCitation":"[5]–[7]","plainTextFormattedCitation":"[5]–[7]","previouslyFormattedCitation":"[5]–[7]"},"properties":{"noteIndex":0},"schema":"https://github.com/citation-style-language/schema/raw/master/csl-citation.json"}</w:instrText>
      </w:r>
      <w:r>
        <w:rPr/>
      </w:r>
      <w:r>
        <w:rPr/>
        <w:fldChar w:fldCharType="separate"/>
      </w:r>
      <w:r>
        <w:rPr/>
        <w:t>[5]–[7]</w:t>
      </w:r>
      <w:r>
        <w:rPr/>
      </w:r>
      <w:r>
        <w:rPr/>
        <w:fldChar w:fldCharType="end"/>
      </w:r>
      <w:r>
        <w:rPr/>
        <w:t xml:space="preserve">. The description of the course of research should be supported references, so the explanation can be accepted scientifically </w:t>
      </w:r>
      <w:r>
        <w:fldChar w:fldCharType="begin"/>
      </w:r>
      <w:r>
        <w:rPr/>
        <w:instrText xml:space="preserve">ADDIN CSL_CITATION {"citationItems":[{"id":"ITEM-1","itemData":{"DOI":"10.1007/s10462-018-09679-z","ISSN":"15737462","abstract":"The combined impact of new computing resources and techniques with an increasing avalanche of large datasets, is transforming many research areas and may lead to technological breakthroughs that can be used by billions of people. In the recent years, Machine Learning and especially its subfield Deep Learning have seen impressive advances. Techniques developed within these two fields are now able to analyze and learn from huge amounts of real world examples in a disparate formats. While the number of Machine Learning algorithms is extensive and growing, their implementations through frameworks and libraries is also extensive and growing too. The software development in this field is fast paced with a large number of open-source software coming from the academy, industry, start-ups or wider open-source communities. This survey presents a recent time-slide comprehensive overview with comparisons as well as trends in development and usage of cutting-edge Artificial Intelligence software. It also provides an overview of massive parallelism support that is capable of scaling computation effectively and efficiently in the era of Big Data.","author":[{"dropping-particle":"","family":"Nguyen","given":"Giang","non-dropping-particle":"","parse-names":false,"suffix":""},{"dropping-particle":"","family":"Dlugolinsky","given":"Stefan","non-dropping-particle":"","parse-names":false,"suffix":""},{"dropping-particle":"","family":"Bobák","given":"Martin","non-dropping-particle":"","parse-names":false,"suffix":""},{"dropping-particle":"","family":"Tran","given":"Viet","non-dropping-particle":"","parse-names":false,"suffix":""},{"dropping-particle":"","family":"López García","given":"Álvaro","non-dropping-particle":"","parse-names":false,"suffix":""},{"dropping-particle":"","family":"Heredia","given":"Ignacio","non-dropping-particle":"","parse-names":false,"suffix":""},{"dropping-particle":"","family":"Malík","given":"Peter","non-dropping-particle":"","parse-names":false,"suffix":""},{"dropping-particle":"","family":"Hluchý","given":"Ladislav","non-dropping-particle":"","parse-names":false,"suffix":""}],"container-title":"Artificial Intelligence Review","id":"ITEM-1","issue":"1","issued":{"date-parts":[["2019"]]},"page":"77-124","publisher":"Springer Netherlands","title":"Machine Learning and Deep Learning frameworks and libraries for large-scale data mining: a survey","type":"article-journal","volume":"52"},"uris":["http://www.mendeley.com/documents/?uuid=ba6f84de-1264-4176-bb33-d4bd0856084e"]}],"mendeley":{"formattedCitation":"[2]","plainTextFormattedCitation":"[2]","previouslyFormattedCitation":"[2]"},"properties":{"noteIndex":0},"schema":"https://github.com/citation-style-language/schema/raw/master/csl-citation.json"}</w:instrText>
      </w:r>
      <w:r>
        <w:rPr/>
      </w:r>
      <w:r>
        <w:rPr/>
        <w:fldChar w:fldCharType="separate"/>
      </w:r>
      <w:r>
        <w:rPr/>
        <w:t>[2]</w:t>
      </w:r>
      <w:r>
        <w:rPr/>
      </w:r>
      <w:r>
        <w:rPr/>
        <w:fldChar w:fldCharType="end"/>
      </w:r>
      <w:r>
        <w:rPr/>
        <w:t xml:space="preserve">, </w:t>
      </w:r>
      <w:r>
        <w:fldChar w:fldCharType="begin"/>
      </w:r>
      <w:r>
        <w:rPr/>
        <w:instrText xml:space="preserve">ADDIN CSL_CITATION {"citationItems":[{"id":"ITEM-1","itemData":{"DOI":"10.1109/ACCESS.2019.2895334","ISSN":"21693536","abstract":"Machine learning techniques are being widely used to develop an intrusion detection system (IDS) for detecting and classifying cyberattacks at the network-level and the host-level in a timely and automatic manner. However, many challenges arise since malicious attacks are continually changing and are occurring in very large volumes requiring a scalable solution. There are different malware datasets available publicly for further research by cyber security community. However, no existing study has shown the detailed analysis of the performance of various machine learning algorithms on various publicly available datasets. Due to the dynamic nature of malware with continuously changing attacking methods, the malware datasets available publicly are to be updated systematically and benchmarked. In this paper, a deep neural network (DNN), a type of deep learning model, is explored to develop a flexible and effective IDS to detect and classify unforeseen and unpredictable cyberattacks. The continuous change in network behavior and rapid evolution of attacks makes it necessary to evaluate various datasets which are generated over the years through static and dynamic approaches. This type of study facilitates to identify the best algorithm which can effectively work in detecting future cyberattacks. A comprehensive evaluation of experiments of DNNs and other classical machine learning classifiers are shown on various publicly available benchmark malware datasets. The optimal network parameters and network topologies for DNNs are chosen through the following hyperparameter selection methods with KDDCup 99 dataset. All the experiments of DNNs are run till 1,000 epochs with the learning rate varying in the range [0.01-0.5]. The DNN model which performed well on KDDCup 99 is applied on other datasets, such as NSL-KDD, UNSW-NB15, Kyoto, WSN-DS, and CICIDS 2017, to conduct the benchmark. Our DNN model learns the abstract and high-dimensional feature representation of the IDS data by passing them into many hidden layers. Through a rigorous experimental testing, it is confirmed that DNNs perform well in comparison with the classical machine learning classifiers. Finally, we propose a highly scalable and hybrid DNNs framework called scale-hybrid-IDS-AlertNet which can be used in real-time to effectively monitor the network traffic and host-level events to proactively alert possible cyberattacks.","author":[{"dropping-particle":"","family":"Vinayakumar","given":"R.","non-dropping-particle":"","parse-names":false,"suffix":""},{"dropping-particle":"","family":"Alazab","given":"Mamoun","non-dropping-particle":"","parse-names":false,"suffix":""},{"dropping-particle":"","family":"Soman","given":"K. P.","non-dropping-particle":"","parse-names":false,"suffix":""},{"dropping-particle":"","family":"Poornachandran","given":"Prabaharan","non-dropping-particle":"","parse-names":false,"suffix":""},{"dropping-particle":"","family":"Al-Nemrat","given":"Ameer","non-dropping-particle":"","parse-names":false,"suffix":""},{"dropping-particle":"","family":"Venkatraman","given":"Sitalakshmi","non-dropping-particle":"","parse-names":false,"suffix":""}],"container-title":"IEEE Access","id":"ITEM-1","issued":{"date-parts":[["2019"]]},"page":"41525-41550","publisher":"IEEE","title":"Deep Learning Approach for Intelligent Intrusion Detection System","type":"article-journal","volume":"7"},"uris":["http://www.mendeley.com/documents/?uuid=efaca2e8-aaf6-4a9d-b352-b0265f4ce7df"]}],"mendeley":{"formattedCitation":"[4]","plainTextFormattedCitation":"[4]","previouslyFormattedCitation":"[4]"},"properties":{"noteIndex":0},"schema":"https://github.com/citation-style-language/schema/raw/master/csl-citation.json"}</w:instrText>
      </w:r>
      <w:r>
        <w:rPr/>
      </w:r>
      <w:r>
        <w:rPr/>
        <w:fldChar w:fldCharType="separate"/>
      </w:r>
      <w:r>
        <w:rPr/>
        <w:t>[4]</w:t>
      </w:r>
      <w:r>
        <w:rPr/>
      </w:r>
      <w:r>
        <w:rPr/>
        <w:fldChar w:fldCharType="end"/>
      </w:r>
      <w:r>
        <w:rPr/>
        <w:t xml:space="preserve">. Figures 1-2 and Table 1 are presented center, as shown below and cited in the manuscript </w:t>
      </w:r>
      <w:r>
        <w:fldChar w:fldCharType="begin"/>
      </w:r>
      <w:r>
        <w:rPr/>
        <w:instrText xml:space="preserve">ADDIN CSL_CITATION {"citationItems":[{"id":"ITEM-1","itemData":{"DOI":"10.35940/ijitee.I3187.0789S319","ISSN":"22783075","abstract":"We present two major information examination strategies for diagnosing the reasons for system disappointments and for identifying system disappointments early. Syslogs contain log information created by the framework. We dissected syslogs what’s more, prevailing with regards to distinguishing the reason for a system disappointment via consequently learning more than 100 million logs without requiring any past learning of log information. Investigation of the information of an interpersonal interaction benefit (in particular, Twitter) empowered us to recognize conceivable system disappointments by extricating system disappointment related tweets, which represent under 1% of all tweets, continuously and with high exactness.","author":[{"dropping-particle":"","family":"Sivaraman","given":"K.","non-dropping-particle":"","parse-names":false,"suffix":""},{"dropping-particle":"","family":"Krishnan","given":"R. Muthu Venkata","non-dropping-particle":"","parse-names":false,"suffix":""},{"dropping-particle":"","family":"Sundarraj","given":"B.","non-dropping-particle":"","parse-names":false,"suffix":""},{"dropping-particle":"","family":"Sri Gowthem","given":"S.","non-dropping-particle":"","parse-names":false,"suffix":""}],"container-title":"International Journal of Innovative Technology and Exploring Engineering","id":"ITEM-1","issue":"9 Special Issue 3","issued":{"date-parts":[["2019"]]},"page":"883-887","title":"Network failure detection and diagnosis by analyzing syslog and SNS data: Applying big data analysis to network operations","type":"article-journal","volume":"8"},"uris":["http://www.mendeley.com/documents/?uuid=1f0f8047-26f4-446e-892e-fee949c83fbb"]}],"mendeley":{"formattedCitation":"[5]","plainTextFormattedCitation":"[5]","previouslyFormattedCitation":"[5]"},"properties":{"noteIndex":0},"schema":"https://github.com/citation-style-language/schema/raw/master/csl-citation.json"}</w:instrText>
      </w:r>
      <w:r>
        <w:rPr/>
      </w:r>
      <w:r>
        <w:rPr/>
        <w:fldChar w:fldCharType="separate"/>
      </w:r>
      <w:r>
        <w:rPr/>
        <w:t>[5]</w:t>
      </w:r>
      <w:r>
        <w:rPr/>
      </w:r>
      <w:r>
        <w:rPr/>
        <w:fldChar w:fldCharType="end"/>
      </w:r>
      <w:r>
        <w:rPr/>
        <w:t xml:space="preserve">, </w:t>
      </w:r>
      <w:r>
        <w:fldChar w:fldCharType="begin"/>
      </w:r>
      <w:r>
        <w:rPr/>
        <w:instrText xml:space="preserve">ADDIN CSL_CITATION {"citationItems":[{"id":"ITEM-1","itemData":{"DOI":"10.26599/BDMA.2018.9020031","ISSN":"20960654","abstract":"In recent years, huge amounts of structured, unstructured, and semi-structured data have been generated by various institutions around the world and, collectively, this heterogeneous data is referred to as big data. The health industry sector has been confronted by the need to manage the big data being produced by various sources, which are well known for producing high volumes of heterogeneous data. Various big-data analytics tools and techniques have been developed for handling these massive amounts of data, in the healthcare sector. In this paper, we discuss the impact of big data in healthcare, and various tools available in the Hadoop ecosystem for handling it. We also explore the conceptual architecture of big data analytics for healthcare which involves the data gathering history of different branches, the genome database, electronic health records, text/imagery, and clinical decisions support system.","author":[{"dropping-particle":"","family":"Kumar","given":"Sunil","non-dropping-particle":"","parse-names":false,"suffix":""},{"dropping-particle":"","family":"Singh","given":"Maninder","non-dropping-particle":"","parse-names":false,"suffix":""}],"container-title":"Big Data Mining and Analytics","id":"ITEM-1","issue":"1","issued":{"date-parts":[["2019"]]},"page":"48-57","title":"Big data analytics for healthcare industry: Impact, applications, and tools","type":"article-journal","volume":"2"},"uris":["http://www.mendeley.com/documents/?uuid=e24c7d88-2f62-40ee-a899-9a607176bd0f"]},{"id":"ITEM-2","itemData":{"DOI":"10.1109/ACCESS.2018.2887076","ISSN":"21693536","abstract":"The Internet of Vehicles (IoV) is a convergence of the mobile Internet and the Internet of Things (IoT), where vehicles function as smart moving intelligent nodes or objects within the sensing network. This paper gives two contributions to the state-of-the-art for IoV technology research. First, we present a comprehensive review of the current and emerging IoV paradigms and communication models with an emphasis on deployment in smart cities. Currently, surveys from many authors have focused concentration on the IoV as only serving applications for intelligent transportation like driver safety, traffic efficiency, and infotainment. This paper presents a more inclusive review of the IoV for also serving the needs of smart cities for large-scale data sensing, collection, information processing, and storage. The second component of the paper presents a new universal architecture for the IoV which can be used for different communication models in smart cities to address the above challenges. It consists of seven layers: vehicle identification layer, object layer, inter-intra devices layer, communication layer, servers and cloud services layer, big data and multimedia computation layer, and application layer. The final part of this paper discusses various challenges and gives some experimental results and insights for future research direction such as the effects of a large and growing number of vehicles and the packet delivery success rate in the dynamic network structure in a smart city scenario.","author":[{"dropping-particle":"","family":"Ang","given":"Li Minn","non-dropping-particle":"","parse-names":false,"suffix":""},{"dropping-particle":"","family":"Seng","given":"Kah Phooi","non-dropping-particle":"","parse-names":false,"suffix":""},{"dropping-particle":"","family":"Ijemaru","given":"Gerald K.","non-dropping-particle":"","parse-names":false,"suffix":""},{"dropping-particle":"","family":"Zungeru","given":"Adamu Murtala","non-dropping-particle":"","parse-names":false,"suffix":""}],"container-title":"IEEE Access","id":"ITEM-2","issued":{"date-parts":[["2019"]]},"page":"6473-6492","publisher":"IEEE","title":"Deployment of IoV for Smart Cities: Applications, Architecture, and Challenges","type":"article-journal","volume":"7"},"uris":["http://www.mendeley.com/documents/?uuid=fa70b4c7-63ae-4de1-a51f-81b90b696725"]},{"id":"ITEM-3","itemData":{"DOI":"10.1016/j.inffus.2019.05.004","ISSN":"15662535","abstract":"The advancement of various research sectors such as Internet of Things (IoT), Machine Learning, Data Mining, Big Data, and Communication Technology has shed some light in transforming an urban city integrating the aforementioned techniques to a commonly known term - Smart City. With the emergence of smart city, plethora of data sources have been made available for wide variety of applications. The common technique for handling multiple data sources is data fusion, where it improves data output quality or extracts knowledge from the raw data. In order to cater evergrowing highly complicated applications, studies in smart city have to utilize data from various sources and evaluate their performance based on multiple aspects. To this end, we introduce a multi-perspectives classification of the data fusion to evaluate the smart city applications. Moreover, we applied the proposed multi-perspectives classification to evaluate selected applications in each domain of the smart city. We conclude the paper by discussing potential future direction and challenges of data fusion integration.","author":[{"dropping-particle":"","family":"Lau","given":"Billy Pik Lik","non-dropping-particle":"","parse-names":false,"suffix":""},{"dropping-particle":"","family":"Marakkalage","given":"Sumudu Hasala","non-dropping-particle":"","parse-names":false,"suffix":""},{"dropping-particle":"","family":"Zhou","given":"Yuren","non-dropping-particle":"","parse-names":false,"suffix":""},{"dropping-particle":"","family":"Hassan","given":"Naveed Ul","non-dropping-particle":"","parse-names":false,"suffix":""},{"dropping-particle":"","family":"Yuen","given":"Chau","non-dropping-particle":"","parse-names":false,"suffix":""},{"dropping-particle":"","family":"Zhang","given":"Meng","non-dropping-particle":"","parse-names":false,"suffix":""},{"dropping-particle":"","family":"Tan","given":"U. Xuan","non-dropping-particle":"","parse-names":false,"suffix":""}],"container-title":"Information Fusion","id":"ITEM-3","issue":"January","issued":{"date-parts":[["2019"]]},"page":"357-374","publisher":"Elsevier B.V.","title":"A survey of data fusion in smart city applications","type":"article-journal","volume":"52"},"uris":["http://www.mendeley.com/documents/?uuid=87772c72-26c7-41e9-9f69-12a7aeb63887"]},{"id":"ITEM-4","itemData":{"DOI":"10.1109/CVPR.2019.00046","ISBN":"9781728132938","ISSN":"10636919","abstract":"Modern machine learning suffers from textit{catastrophic forgetting} when learning new classes incrementally. The performance dramatically degrades due to the missing data of old classes. Incremental learning methods have been proposed to retain the knowledge acquired from the old classes, by using knowledge distilling and keeping a few exemplars from the old classes. However, these methods struggle to textbf{scale up to a large number of classes. We believe this is because of the combination of two factors: (a) the data imbalance between the old and new classes, and (b) the increasing number of visually similar classes. Distinguishing between an increasing number of visually similar classes is particularly challenging, when the training data is unbalanced. We propose a simple and effective method to address this data imbalance issue. We found that the last fully connected layer has a strong bias towards the new classes, and this bias can be corrected by a linear model. With two bias parameters, our method performs remarkably well on two large datasets: ImageNet (1000 classes) and MS-Celeb-1M (10000 classes), outperforming the state-of-the-art algorithms by 11.1% and 13.2% respectively.","author":[{"dropping-particle":"","family":"Wu","given":"Yue","non-dropping-particle":"","parse-names":false,"suffix":""},{"dropping-particle":"","family":"Chen","given":"Yinpeng","non-dropping-particle":"","parse-names":false,"suffix":""},{"dropping-particle":"","family":"Wang","given":"Lijuan","non-dropping-particle":"","parse-names":false,"suffix":""},{"dropping-particle":"","family":"Ye","given":"Yuancheng","non-dropping-particle":"","parse-names":false,"suffix":""},{"dropping-particle":"","family":"Liu","given":"Zicheng","non-dropping-particle":"","parse-names":false,"suffix":""},{"dropping-particle":"","family":"Guo","given":"Yandong","non-dropping-particle":"","parse-names":false,"suffix":""},{"dropping-particle":"","family":"Fu","given":"Yun","non-dropping-particle":"","parse-names":false,"suffix":""}],"container-title":"Proceedings of the IEEE Computer Society Conference on Computer Vision and Pattern Recognition","id":"ITEM-4","issued":{"date-parts":[["2019"]]},"page":"374-382","title":"Large scale incremental learning","type":"article-journal","volume":"2019-June"},"uris":["http://www.mendeley.com/documents/?uuid=5468c463-0a1d-4b77-b214-11c0ba7cd333"]},{"id":"ITEM-5","itemData":{"DOI":"10.1080/19942060.2019.1613448","ISSN":"1997003X","abstract":"The combination of machine learning and numerical methods has recently become popular in the prediction of macroscopic and microscopic hydrodynamics parameters of bubble column reactors. Such numerical combination can develop a smart multiphase bubble column reactor with the ability of low-cost computational time when considering the big data. However, the accuracy of such models should be improved by optimizing the data parameters. This paper uses an adaptive-network-based fuzzy inference system (ANFIS) to train four big data inputs with a novel integration of computational fluid dynamics (CFD) model of gas. The results show that the increasing number of input variables improves the intelligence of the ANFIS method up to R = 0.99, and the number of rules during the learning process has a significant effect on the accuracy of this type of modeling. Furthermore, the proper selection of model’s parameters results in higher accuracy in the prediction of the flow characteristics in the column structure.","author":[{"dropping-particle":"","family":"Mosavi","given":"Amir","non-dropping-particle":"","parse-names":false,"suffix":""},{"dropping-particle":"","family":"Shamshirband","given":"Shahaboddin","non-dropping-particle":"","parse-names":false,"suffix":""},{"dropping-particle":"","family":"Salwana","given":"Ely","non-dropping-particle":"","parse-names":false,"suffix":""},{"dropping-particle":"","family":"Chau","given":"Kwok wing","non-dropping-particle":"","parse-names":false,"suffix":""},{"dropping-particle":"","family":"Tah","given":"Joseph H.M.","non-dropping-particle":"","parse-names":false,"suffix":""}],"container-title":"Engineering Applications of Computational Fluid Mechanics","id":"ITEM-5","issue":"1","issued":{"date-parts":[["2019"]]},"page":"482-492","title":"Prediction of multi-inputs bubble column reactor using a novel hybrid model of computational fluid dynamics and machine learning","type":"article-journal","volume":"13"},"uris":["http://www.mendeley.com/documents/?uuid=ef44706e-b2e4-4015-a1ad-66870d964146"]},{"id":"ITEM-6","itemData":{"DOI":"10.1016/j.jksuci.2017.12.007","ISSN":"22131248","abstract":"The domain of healthcare acquired its influence by the impact of big data since the data sources involved in the healthcare organizations are well-known for their volume, heterogeneous complexity and high dynamism. Though the role of big data analytical techniques, platforms, tools are realized among various domains, their impact on healthcare organization for implementing and delivering novel use-cases for potential healthcare applications shows promising research directions. In the context of big data, the success of healthcare applications solely depends on the underlying architecture and utilization of appropriate tools as evidenced in pioneering research attempts. Novel research works have been carried out for deriving application specific healthcare frameworks that offer diversified data analytical capabilities for handling sources of data ranging from electronic health records to medical images. In this paper, we have presented various analytical avenues that exist in the patient-centric healthcare system from the perspective of various stakeholders. We have also reviewed various big data frameworks with respect to underlying data sources, analytical capability and application areas. In addition, the implication of big data tools in developing healthcare eco system is also presented.","author":[{"dropping-particle":"","family":"Palanisamy","given":"Venketesh","non-dropping-particle":"","parse-names":false,"suffix":""},{"dropping-particle":"","family":"Thirunavukarasu","given":"Ramkumar","non-dropping-particle":"","parse-names":false,"suffix":""}],"container-title":"Journal of King Saud University - Computer and Information Sciences","id":"ITEM-6","issue":"4","issued":{"date-parts":[["2019"]]},"page":"415-425","publisher":"King Saud University","title":"Implications of big data analytics in developing healthcare frameworks – A review","type":"article-journal","volume":"31"},"uris":["http://www.mendeley.com/documents/?uuid=0dc8494f-c0c2-4e38-a3f0-276088b0fab8"]}],"mendeley":{"formattedCitation":"[8]–[13]","plainTextFormattedCitation":"[8]–[13]","previouslyFormattedCitation":"[8]–[13]"},"properties":{"noteIndex":0},"schema":"https://github.com/citation-style-language/schema/raw/master/csl-citation.json"}</w:instrText>
      </w:r>
      <w:r>
        <w:rPr/>
      </w:r>
      <w:r>
        <w:rPr/>
        <w:fldChar w:fldCharType="separate"/>
      </w:r>
      <w:r>
        <w:rPr/>
        <w:t>[8]–[13]</w:t>
      </w:r>
      <w:r>
        <w:rPr/>
      </w:r>
      <w:r>
        <w:rPr/>
        <w:fldChar w:fldCharType="end"/>
      </w:r>
      <w:r>
        <w:rPr/>
        <w:t>. Figure 2(a)</w:t>
      </w:r>
      <w:bookmarkStart w:id="15" w:name="_Hlk78529987"/>
      <w:r>
        <w:rPr/>
        <w:t xml:space="preserve"> indicated that as 0.3≤α≤0.4,  the wind turbine with the rotor velocity control mode can extract more electrical energy than that with the power control mode. Figure 2(b) shown </w:t>
      </w:r>
      <w:bookmarkEnd w:id="15"/>
      <w:r>
        <w:rPr/>
        <w:t xml:space="preserve">the smoothing function reaches to the smallest value as α=0.4. </w:t>
      </w:r>
    </w:p>
    <w:p>
      <w:pPr>
        <w:pStyle w:val="Normal"/>
        <w:rPr>
          <w:b/>
          <w:bCs/>
        </w:rPr>
      </w:pPr>
      <w:r>
        <w:rPr>
          <w:b/>
          <w:bCs/>
        </w:rPr>
      </w:r>
    </w:p>
    <w:p>
      <w:pPr>
        <w:pStyle w:val="Normal"/>
        <w:rPr>
          <w:b/>
          <w:bCs/>
        </w:rPr>
      </w:pPr>
      <w:r>
        <w:rPr>
          <w:b/>
          <w:bCs/>
        </w:rPr>
      </w:r>
    </w:p>
    <w:p>
      <w:pPr>
        <w:pStyle w:val="Normal"/>
        <w:jc w:val="center"/>
        <w:rPr/>
      </w:pPr>
      <w:r>
        <w:rPr/>
        <w:drawing>
          <wp:inline distT="0" distB="0" distL="0" distR="0">
            <wp:extent cx="2471420" cy="2182495"/>
            <wp:effectExtent l="0" t="0" r="0" b="0"/>
            <wp:docPr id="2"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3" descr=""/>
                    <pic:cNvPicPr>
                      <a:picLocks noChangeAspect="1" noChangeArrowheads="1"/>
                    </pic:cNvPicPr>
                  </pic:nvPicPr>
                  <pic:blipFill>
                    <a:blip r:embed="rId4"/>
                    <a:stretch>
                      <a:fillRect/>
                    </a:stretch>
                  </pic:blipFill>
                  <pic:spPr bwMode="auto">
                    <a:xfrm>
                      <a:off x="0" y="0"/>
                      <a:ext cx="2471420" cy="2182495"/>
                    </a:xfrm>
                    <a:prstGeom prst="rect">
                      <a:avLst/>
                    </a:prstGeom>
                  </pic:spPr>
                </pic:pic>
              </a:graphicData>
            </a:graphic>
          </wp:inline>
        </w:drawing>
      </w:r>
    </w:p>
    <w:p>
      <w:pPr>
        <w:pStyle w:val="Normal"/>
        <w:jc w:val="center"/>
        <w:rPr/>
      </w:pPr>
      <w:r>
        <w:rPr/>
      </w:r>
    </w:p>
    <w:p>
      <w:pPr>
        <w:pStyle w:val="Normal"/>
        <w:jc w:val="center"/>
        <w:rPr>
          <w:b/>
          <w:bCs/>
        </w:rPr>
      </w:pPr>
      <w:r>
        <w:rPr/>
        <w:t>Figure 1. Effects of selecting different switching under dynamic condition</w:t>
      </w:r>
    </w:p>
    <w:p>
      <w:pPr>
        <w:pStyle w:val="Normal"/>
        <w:jc w:val="center"/>
        <w:rPr>
          <w:b/>
          <w:bCs/>
        </w:rPr>
      </w:pPr>
      <w:r>
        <w:rPr>
          <w:b/>
          <w:bCs/>
        </w:rPr>
      </w:r>
    </w:p>
    <w:p>
      <w:pPr>
        <w:pStyle w:val="Normal"/>
        <w:jc w:val="center"/>
        <w:rPr>
          <w:b/>
          <w:bCs/>
        </w:rPr>
      </w:pPr>
      <w:r>
        <w:rPr>
          <w:b/>
          <w:bCs/>
        </w:rPr>
      </w:r>
    </w:p>
    <w:p>
      <w:pPr>
        <w:pStyle w:val="Normal"/>
        <w:jc w:val="center"/>
        <w:rPr/>
      </w:pPr>
      <w:r>
        <w:rPr/>
        <w:t>Table 1. The performance of ...</w:t>
      </w:r>
    </w:p>
    <w:tbl>
      <w:tblPr>
        <w:tblW w:w="3832"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1123"/>
        <w:gridCol w:w="1358"/>
        <w:gridCol w:w="1351"/>
      </w:tblGrid>
      <w:tr>
        <w:trPr/>
        <w:tc>
          <w:tcPr>
            <w:tcW w:w="1123" w:type="dxa"/>
            <w:tcBorders>
              <w:top w:val="single" w:sz="4" w:space="0" w:color="000000"/>
              <w:bottom w:val="single" w:sz="4" w:space="0" w:color="000000"/>
            </w:tcBorders>
          </w:tcPr>
          <w:p>
            <w:pPr>
              <w:pStyle w:val="Normal"/>
              <w:jc w:val="center"/>
              <w:rPr>
                <w:sz w:val="16"/>
                <w:szCs w:val="16"/>
              </w:rPr>
            </w:pPr>
            <w:r>
              <w:rPr>
                <w:sz w:val="16"/>
                <w:szCs w:val="16"/>
              </w:rPr>
              <w:t>Variable</w:t>
            </w:r>
          </w:p>
        </w:tc>
        <w:tc>
          <w:tcPr>
            <w:tcW w:w="1358" w:type="dxa"/>
            <w:tcBorders>
              <w:top w:val="single" w:sz="4" w:space="0" w:color="000000"/>
              <w:bottom w:val="single" w:sz="4" w:space="0" w:color="000000"/>
            </w:tcBorders>
          </w:tcPr>
          <w:p>
            <w:pPr>
              <w:pStyle w:val="Normal"/>
              <w:jc w:val="center"/>
              <w:rPr>
                <w:sz w:val="16"/>
                <w:szCs w:val="16"/>
              </w:rPr>
            </w:pPr>
            <w:r>
              <w:rPr>
                <w:sz w:val="16"/>
                <w:szCs w:val="16"/>
              </w:rPr>
              <w:t>Speed (rpm)</w:t>
            </w:r>
          </w:p>
        </w:tc>
        <w:tc>
          <w:tcPr>
            <w:tcW w:w="1351" w:type="dxa"/>
            <w:tcBorders>
              <w:top w:val="single" w:sz="4" w:space="0" w:color="000000"/>
              <w:bottom w:val="single" w:sz="4" w:space="0" w:color="000000"/>
            </w:tcBorders>
          </w:tcPr>
          <w:p>
            <w:pPr>
              <w:pStyle w:val="Normal"/>
              <w:jc w:val="center"/>
              <w:rPr>
                <w:sz w:val="16"/>
                <w:szCs w:val="16"/>
              </w:rPr>
            </w:pPr>
            <w:r>
              <w:rPr>
                <w:sz w:val="16"/>
                <w:szCs w:val="16"/>
              </w:rPr>
              <w:t>Power (kW)</w:t>
            </w:r>
          </w:p>
        </w:tc>
      </w:tr>
      <w:tr>
        <w:trPr/>
        <w:tc>
          <w:tcPr>
            <w:tcW w:w="1123" w:type="dxa"/>
            <w:tcBorders>
              <w:top w:val="single" w:sz="4" w:space="0" w:color="000000"/>
            </w:tcBorders>
          </w:tcPr>
          <w:p>
            <w:pPr>
              <w:pStyle w:val="Normal"/>
              <w:jc w:val="center"/>
              <w:rPr>
                <w:sz w:val="16"/>
                <w:szCs w:val="16"/>
              </w:rPr>
            </w:pPr>
            <w:r>
              <w:rPr>
                <w:sz w:val="16"/>
                <w:szCs w:val="16"/>
              </w:rPr>
              <w:t>x</w:t>
            </w:r>
          </w:p>
        </w:tc>
        <w:tc>
          <w:tcPr>
            <w:tcW w:w="1358" w:type="dxa"/>
            <w:tcBorders>
              <w:top w:val="single" w:sz="4" w:space="0" w:color="000000"/>
            </w:tcBorders>
          </w:tcPr>
          <w:p>
            <w:pPr>
              <w:pStyle w:val="Normal"/>
              <w:jc w:val="center"/>
              <w:rPr>
                <w:sz w:val="16"/>
                <w:szCs w:val="16"/>
              </w:rPr>
            </w:pPr>
            <w:r>
              <w:rPr>
                <w:sz w:val="16"/>
                <w:szCs w:val="16"/>
              </w:rPr>
              <w:t>10</w:t>
            </w:r>
          </w:p>
        </w:tc>
        <w:tc>
          <w:tcPr>
            <w:tcW w:w="1351" w:type="dxa"/>
            <w:tcBorders>
              <w:top w:val="single" w:sz="4" w:space="0" w:color="000000"/>
            </w:tcBorders>
          </w:tcPr>
          <w:p>
            <w:pPr>
              <w:pStyle w:val="Normal"/>
              <w:jc w:val="center"/>
              <w:rPr>
                <w:sz w:val="16"/>
                <w:szCs w:val="16"/>
              </w:rPr>
            </w:pPr>
            <w:r>
              <w:rPr>
                <w:sz w:val="16"/>
                <w:szCs w:val="16"/>
              </w:rPr>
              <w:t>8.6</w:t>
            </w:r>
          </w:p>
        </w:tc>
      </w:tr>
      <w:tr>
        <w:trPr/>
        <w:tc>
          <w:tcPr>
            <w:tcW w:w="1123" w:type="dxa"/>
            <w:tcBorders/>
          </w:tcPr>
          <w:p>
            <w:pPr>
              <w:pStyle w:val="Normal"/>
              <w:jc w:val="center"/>
              <w:rPr>
                <w:sz w:val="16"/>
                <w:szCs w:val="16"/>
              </w:rPr>
            </w:pPr>
            <w:r>
              <w:rPr>
                <w:sz w:val="16"/>
                <w:szCs w:val="16"/>
              </w:rPr>
              <w:t>y</w:t>
            </w:r>
          </w:p>
        </w:tc>
        <w:tc>
          <w:tcPr>
            <w:tcW w:w="1358" w:type="dxa"/>
            <w:tcBorders/>
          </w:tcPr>
          <w:p>
            <w:pPr>
              <w:pStyle w:val="Normal"/>
              <w:jc w:val="center"/>
              <w:rPr>
                <w:sz w:val="16"/>
                <w:szCs w:val="16"/>
              </w:rPr>
            </w:pPr>
            <w:r>
              <w:rPr>
                <w:sz w:val="16"/>
                <w:szCs w:val="16"/>
              </w:rPr>
              <w:t>15</w:t>
            </w:r>
          </w:p>
        </w:tc>
        <w:tc>
          <w:tcPr>
            <w:tcW w:w="1351" w:type="dxa"/>
            <w:tcBorders/>
          </w:tcPr>
          <w:p>
            <w:pPr>
              <w:pStyle w:val="Normal"/>
              <w:jc w:val="center"/>
              <w:rPr>
                <w:sz w:val="16"/>
                <w:szCs w:val="16"/>
              </w:rPr>
            </w:pPr>
            <w:r>
              <w:rPr>
                <w:sz w:val="16"/>
                <w:szCs w:val="16"/>
              </w:rPr>
              <w:t>12.4</w:t>
            </w:r>
          </w:p>
        </w:tc>
      </w:tr>
      <w:tr>
        <w:trPr/>
        <w:tc>
          <w:tcPr>
            <w:tcW w:w="1123" w:type="dxa"/>
            <w:tcBorders>
              <w:bottom w:val="single" w:sz="4" w:space="0" w:color="000000"/>
            </w:tcBorders>
          </w:tcPr>
          <w:p>
            <w:pPr>
              <w:pStyle w:val="Normal"/>
              <w:jc w:val="center"/>
              <w:rPr>
                <w:sz w:val="16"/>
                <w:szCs w:val="16"/>
              </w:rPr>
            </w:pPr>
            <w:r>
              <w:rPr>
                <w:sz w:val="16"/>
                <w:szCs w:val="16"/>
              </w:rPr>
              <w:t>z</w:t>
            </w:r>
          </w:p>
        </w:tc>
        <w:tc>
          <w:tcPr>
            <w:tcW w:w="1358" w:type="dxa"/>
            <w:tcBorders>
              <w:bottom w:val="single" w:sz="4" w:space="0" w:color="000000"/>
            </w:tcBorders>
          </w:tcPr>
          <w:p>
            <w:pPr>
              <w:pStyle w:val="Normal"/>
              <w:jc w:val="center"/>
              <w:rPr>
                <w:sz w:val="16"/>
                <w:szCs w:val="16"/>
              </w:rPr>
            </w:pPr>
            <w:r>
              <w:rPr>
                <w:sz w:val="16"/>
                <w:szCs w:val="16"/>
              </w:rPr>
              <w:t>20</w:t>
            </w:r>
          </w:p>
        </w:tc>
        <w:tc>
          <w:tcPr>
            <w:tcW w:w="1351" w:type="dxa"/>
            <w:tcBorders>
              <w:bottom w:val="single" w:sz="4" w:space="0" w:color="000000"/>
            </w:tcBorders>
          </w:tcPr>
          <w:p>
            <w:pPr>
              <w:pStyle w:val="Normal"/>
              <w:jc w:val="center"/>
              <w:rPr>
                <w:sz w:val="16"/>
                <w:szCs w:val="16"/>
              </w:rPr>
            </w:pPr>
            <w:r>
              <w:rPr>
                <w:sz w:val="16"/>
                <w:szCs w:val="16"/>
              </w:rPr>
              <w:t>15.3</w:t>
            </w:r>
            <w:bookmarkStart w:id="16" w:name="_Hlk80000746"/>
            <w:bookmarkStart w:id="17" w:name="_Hlk78354375"/>
            <w:bookmarkEnd w:id="16"/>
            <w:bookmarkEnd w:id="17"/>
          </w:p>
        </w:tc>
      </w:tr>
    </w:tbl>
    <w:p>
      <w:pPr>
        <w:pStyle w:val="Normal"/>
        <w:tabs>
          <w:tab w:val="clear" w:pos="720"/>
          <w:tab w:val="left" w:pos="426" w:leader="none"/>
        </w:tabs>
        <w:jc w:val="center"/>
        <w:rPr>
          <w:b/>
          <w:bCs/>
        </w:rPr>
      </w:pPr>
      <w:r>
        <w:rPr/>
        <mc:AlternateContent>
          <mc:Choice Requires="wps">
            <w:drawing>
              <wp:inline distT="0" distB="0" distL="0" distR="0" wp14:anchorId="38D2DEC5">
                <wp:extent cx="3276600" cy="1319530"/>
                <wp:effectExtent l="0" t="0" r="0" b="0"/>
                <wp:docPr id="3" name="Picture 9"/>
                <a:graphic xmlns:a="http://schemas.openxmlformats.org/drawingml/2006/main">
                  <a:graphicData uri="http://schemas.openxmlformats.org/drawingml/2006/picture">
                    <pic:pic xmlns:pic="http://schemas.openxmlformats.org/drawingml/2006/picture">
                      <pic:nvPicPr>
                        <pic:cNvPr id="4" name="Picture 9" descr=""/>
                        <pic:cNvPicPr/>
                      </pic:nvPicPr>
                      <pic:blipFill>
                        <a:blip r:embed="rId5">
                          <a:extLst>
                            <a:ext uri="{BEBA8EAE-BF5A-486C-A8C5-ECC9F3942E4B}">
                              <a14:imgProps xmlns:a14="http://schemas.microsoft.com/office/drawing/2010/main">
                                <a14:imgLayer r:embed="rId6">
                                  <a14:imgEffect>
                                    <a14:sharpenSoften amount="50000"/>
                                  </a14:imgEffect>
                                </a14:imgLayer>
                              </a14:imgProps>
                            </a:ext>
                          </a:extLst>
                        </a:blip>
                        <a:stretch/>
                      </pic:blipFill>
                      <pic:spPr>
                        <a:xfrm>
                          <a:off x="0" y="0"/>
                          <a:ext cx="3276720" cy="1319400"/>
                        </a:xfrm>
                        <a:prstGeom prst="rect">
                          <a:avLst/>
                        </a:prstGeom>
                        <a:ln w="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Picture 9" stroked="f" o:allowincell="f" style="position:absolute;margin-left:0pt;margin-top:-103.95pt;width:257.95pt;height:103.85pt;mso-wrap-style:none;v-text-anchor:middle;mso-position-vertical:top" wp14:anchorId="38D2DEC5" type="_x0000_t75">
                <v:imagedata r:id="rId7" o:detectmouseclick="t"/>
                <v:stroke color="#3465a4" joinstyle="round" endcap="flat"/>
                <w10:wrap type="square"/>
              </v:shape>
            </w:pict>
          </mc:Fallback>
        </mc:AlternateContent>
      </w:r>
    </w:p>
    <w:p>
      <w:pPr>
        <w:pStyle w:val="Normal"/>
        <w:tabs>
          <w:tab w:val="clear" w:pos="720"/>
          <w:tab w:val="left" w:pos="426" w:leader="none"/>
        </w:tabs>
        <w:jc w:val="center"/>
        <w:rPr/>
      </w:pPr>
      <w:r>
        <w:rPr/>
        <w:t>(a)</w:t>
      </w:r>
    </w:p>
    <w:p>
      <w:pPr>
        <w:pStyle w:val="Normal"/>
        <w:tabs>
          <w:tab w:val="clear" w:pos="720"/>
          <w:tab w:val="left" w:pos="426" w:leader="none"/>
        </w:tabs>
        <w:jc w:val="center"/>
        <w:rPr>
          <w:b/>
          <w:bCs/>
        </w:rPr>
      </w:pPr>
      <w:r>
        <w:rPr>
          <w:b/>
          <w:bCs/>
        </w:rPr>
      </w:r>
    </w:p>
    <w:p>
      <w:pPr>
        <w:pStyle w:val="Normal"/>
        <w:tabs>
          <w:tab w:val="clear" w:pos="720"/>
          <w:tab w:val="left" w:pos="426" w:leader="none"/>
        </w:tabs>
        <w:jc w:val="center"/>
        <w:rPr>
          <w:b/>
          <w:bCs/>
        </w:rPr>
      </w:pPr>
      <w:r>
        <w:rPr/>
        <mc:AlternateContent>
          <mc:Choice Requires="wps">
            <w:drawing>
              <wp:inline distT="0" distB="0" distL="0" distR="0" wp14:anchorId="7F84F54B">
                <wp:extent cx="2952750" cy="1178560"/>
                <wp:effectExtent l="0" t="0" r="0" b="2540"/>
                <wp:docPr id="5" name="Picture 10"/>
                <a:graphic xmlns:a="http://schemas.openxmlformats.org/drawingml/2006/main">
                  <a:graphicData uri="http://schemas.openxmlformats.org/drawingml/2006/picture">
                    <pic:pic xmlns:pic="http://schemas.openxmlformats.org/drawingml/2006/picture">
                      <pic:nvPicPr>
                        <pic:cNvPr id="6" name="Picture 10" descr=""/>
                        <pic:cNvPicPr/>
                      </pic:nvPicPr>
                      <pic:blipFill>
                        <a:blip r:embed="rId8">
                          <a:extLst>
                            <a:ext uri="{BEBA8EAE-BF5A-486C-A8C5-ECC9F3942E4B}">
                              <a14:imgProps xmlns:a14="http://schemas.microsoft.com/office/drawing/2010/main">
                                <a14:imgLayer r:embed="rId9">
                                  <a14:imgEffect>
                                    <a14:sharpenSoften amount="50000"/>
                                  </a14:imgEffect>
                                </a14:imgLayer>
                              </a14:imgProps>
                            </a:ext>
                          </a:extLst>
                        </a:blip>
                        <a:stretch/>
                      </pic:blipFill>
                      <pic:spPr>
                        <a:xfrm>
                          <a:off x="0" y="0"/>
                          <a:ext cx="2952720" cy="1178640"/>
                        </a:xfrm>
                        <a:prstGeom prst="rect">
                          <a:avLst/>
                        </a:prstGeom>
                        <a:ln w="0">
                          <a:noFill/>
                        </a:ln>
                      </pic:spPr>
                    </pic:pic>
                  </a:graphicData>
                </a:graphic>
              </wp:inline>
            </w:drawing>
          </mc:Choice>
          <mc:Fallback>
            <w:pict>
              <v:shape id="shape_0" ID="Picture 10" stroked="f" o:allowincell="f" style="position:absolute;margin-left:0pt;margin-top:-93.05pt;width:232.45pt;height:92.75pt;mso-wrap-style:none;v-text-anchor:middle;mso-position-vertical:top" wp14:anchorId="7F84F54B" type="_x0000_t75">
                <v:imagedata r:id="rId10" o:detectmouseclick="t"/>
                <v:stroke color="#3465a4" joinstyle="round" endcap="flat"/>
                <w10:wrap type="square"/>
              </v:shape>
            </w:pict>
          </mc:Fallback>
        </mc:AlternateContent>
      </w:r>
    </w:p>
    <w:p>
      <w:pPr>
        <w:pStyle w:val="Normal"/>
        <w:tabs>
          <w:tab w:val="clear" w:pos="720"/>
          <w:tab w:val="left" w:pos="426" w:leader="none"/>
        </w:tabs>
        <w:jc w:val="center"/>
        <w:rPr/>
      </w:pPr>
      <w:r>
        <w:rPr/>
        <w:t>(b)</w:t>
      </w:r>
    </w:p>
    <w:p>
      <w:pPr>
        <w:pStyle w:val="Normal"/>
        <w:tabs>
          <w:tab w:val="clear" w:pos="720"/>
          <w:tab w:val="left" w:pos="426" w:leader="none"/>
        </w:tabs>
        <w:jc w:val="center"/>
        <w:rPr/>
      </w:pPr>
      <w:r>
        <w:rPr/>
      </w:r>
    </w:p>
    <w:p>
      <w:pPr>
        <w:pStyle w:val="Normal"/>
        <w:tabs>
          <w:tab w:val="clear" w:pos="720"/>
          <w:tab w:val="left" w:pos="426" w:leader="none"/>
        </w:tabs>
        <w:jc w:val="center"/>
        <w:rPr/>
      </w:pPr>
      <w:r>
        <w:rPr/>
        <w:t xml:space="preserve">Figure 2. Comparing simulation results in wind turbine performance with the power control mode to that with the rotor speed control mode in (a) </w:t>
      </w:r>
      <w:bookmarkStart w:id="18" w:name="_Hlk83028848"/>
      <w:r>
        <w:rPr/>
        <w:t>energy output</w:t>
      </w:r>
      <w:bookmarkEnd w:id="18"/>
      <w:r>
        <w:rPr/>
        <w:t xml:space="preserve"> and (b) smoothing function</w:t>
      </w:r>
    </w:p>
    <w:p>
      <w:pPr>
        <w:pStyle w:val="Normal"/>
        <w:tabs>
          <w:tab w:val="clear" w:pos="720"/>
          <w:tab w:val="left" w:pos="426" w:leader="none"/>
        </w:tabs>
        <w:jc w:val="center"/>
        <w:rPr>
          <w:b/>
          <w:bCs/>
        </w:rPr>
      </w:pPr>
      <w:r>
        <w:rPr>
          <w:b/>
          <w:bCs/>
        </w:rPr>
      </w:r>
    </w:p>
    <w:p>
      <w:pPr>
        <w:pStyle w:val="Normal"/>
        <w:jc w:val="center"/>
        <w:rPr/>
      </w:pPr>
      <w:r>
        <w:rPr/>
      </w:r>
      <w:bookmarkStart w:id="19" w:name="_Hlk78354310"/>
      <w:bookmarkStart w:id="20" w:name="_Hlk78354310"/>
      <w:bookmarkEnd w:id="20"/>
    </w:p>
    <w:p>
      <w:pPr>
        <w:pStyle w:val="Normal"/>
        <w:numPr>
          <w:ilvl w:val="0"/>
          <w:numId w:val="4"/>
        </w:numPr>
        <w:tabs>
          <w:tab w:val="clear" w:pos="720"/>
          <w:tab w:val="left" w:pos="426" w:leader="none"/>
        </w:tabs>
        <w:ind w:hanging="426" w:left="426"/>
        <w:rPr>
          <w:b/>
          <w:bCs/>
        </w:rPr>
      </w:pPr>
      <w:r>
        <w:rPr>
          <w:b/>
          <w:bCs/>
        </w:rPr>
        <w:t>RESULTS AND DISCUSSION (10 PT)</w:t>
      </w:r>
    </w:p>
    <w:p>
      <w:pPr>
        <w:pStyle w:val="Normal"/>
        <w:ind w:firstLine="720"/>
        <w:jc w:val="both"/>
        <w:rPr/>
      </w:pPr>
      <w:r>
        <w:rPr/>
        <w:t xml:space="preserve">In this section, it is explained the results of research and at the same time is given </w:t>
        <w:br/>
        <w:t xml:space="preserve">the comprehensive discussion. Results can be presented in figures, graphs, tables and others that make </w:t>
        <w:br/>
        <w:t xml:space="preserve">the reader understand easily </w:t>
      </w:r>
      <w:r>
        <w:fldChar w:fldCharType="begin"/>
      </w:r>
      <w:r>
        <w:rPr/>
        <w:instrText xml:space="preserve">ADDIN CSL_CITATION {"citationItems":[{"id":"ITEM-1","itemData":{"DOI":"10.1177/2053951718820549","ISSN":"20539517","abstract":"The collection and circulation of data is now a central element of increasingly more sectors of contemporary capitalism. This article analyses data as a form of capital that is distinct from, but has its roots in, economic capital. Data collection is driven by the perpetual cycle of capital accumulation, which in turn drives capital to construct and rely upon a universe in which everything is made of data. The imperative to capture all data, from all sources, by any means possible influences many key decisions about business models, political governance, and technological development. This article argues that many common practices of data accumulation should actually be understood in terms of data extraction, wherein data is taken with little regard for consent and compensation. By understanding data as a form capital, we can better analyse the meaning, practices, and implications of datafication as a political economic regime.","author":[{"dropping-particle":"","family":"Sadowski","given":"Jathan","non-dropping-particle":"","parse-names":false,"suffix":""}],"container-title":"Big Data and Society","id":"ITEM-1","issue":"1","issued":{"date-parts":[["2019"]]},"page":"1-12","title":"When data is capital: Datafication, accumulation, and extraction","type":"article-journal","volume":"6"},"uris":["http://www.mendeley.com/documents/?uuid=68c1212d-4bd1-42ff-b4ea-3108c9b096d6"]},{"id":"ITEM-2","itemData":{"DOI":"10.1109/ACCESS.2019.2905301","ISSN":"21693536","abstract":"Although large amounts of data are now available to companies, mere possession of these data is not sufficient, and for better business decisions, it is necessary to perform thorough data analysis. Nowadays, social networks services (SNS) have become important data sources. The rapid growth of SNS has led to their wide use in various research trends in social sciences. In this paper, we aim to enhance the current understanding of the possibilities offered by social data for brand communication analysis in the financial sector. To this end, a traditional methodology and a digital methodology are used to investigate the brand image of the financial entities. The traditional methodology is the Periodic Evaluation of the Image (PEI). The digital methodology is sentiment analysis, a machine learning technique for big data analytics in social sciences using an algorithm developed in Python. The data are analyzed using both methodologies, and then, their results are compared. The findings suggest that while the results obtained using the method based on big data are consistent with the results obtained with the traditional methodology, the former method allows for easier and faster data analysis. The limitations of this paper relate to the size of the sample, the studied sector, and the scope of the reviewed literature.","author":[{"dropping-particle":"","family":"Saura","given":"Jose Ramon","non-dropping-particle":"","parse-names":false,"suffix":""},{"dropping-particle":"","family":"Herraez","given":"Beatriz Rodriguez","non-dropping-particle":"","parse-names":false,"suffix":""},{"dropping-particle":"","family":"Reyes-Menendez","given":"Ana","non-dropping-particle":"","parse-names":false,"suffix":""}],"container-title":"IEEE Access","id":"ITEM-2","issued":{"date-parts":[["2019"]]},"page":"37100-37108","title":"Comparing a traditional approach for financial brand communication analysis with a big data analytics technique","type":"article-journal","volume":"7"},"uris":["http://www.mendeley.com/documents/?uuid=90933663-e9f5-408f-bea9-1e10797ad61d"]}],"mendeley":{"formattedCitation":"[14], [15]","plainTextFormattedCitation":"[14], [15]","previouslyFormattedCitation":"[14], [15]"},"properties":{"noteIndex":0},"schema":"https://github.com/citation-style-language/schema/raw/master/csl-citation.json"}</w:instrText>
      </w:r>
      <w:r>
        <w:rPr/>
      </w:r>
      <w:r>
        <w:rPr/>
        <w:fldChar w:fldCharType="separate"/>
      </w:r>
      <w:r>
        <w:rPr/>
        <w:t>[14], [15]</w:t>
      </w:r>
      <w:r>
        <w:rPr/>
      </w:r>
      <w:r>
        <w:rPr/>
        <w:fldChar w:fldCharType="end"/>
      </w:r>
      <w:r>
        <w:rPr/>
        <w:t xml:space="preserve">. The discussion can be made in several </w:t>
      </w:r>
      <w:bookmarkStart w:id="21" w:name="_Hlk78354443"/>
      <w:r>
        <w:rPr/>
        <w:t>sub-sections.</w:t>
      </w:r>
      <w:bookmarkEnd w:id="21"/>
    </w:p>
    <w:p>
      <w:pPr>
        <w:pStyle w:val="Normal"/>
        <w:ind w:firstLine="720"/>
        <w:jc w:val="both"/>
        <w:rPr/>
      </w:pPr>
      <w:r>
        <w:rPr/>
      </w:r>
    </w:p>
    <w:p>
      <w:pPr>
        <w:pStyle w:val="Normal"/>
        <w:rPr>
          <w:b/>
          <w:bCs/>
        </w:rPr>
      </w:pPr>
      <w:r>
        <w:rPr>
          <w:b/>
          <w:bCs/>
        </w:rPr>
        <w:t>3.1.  Sub section 1</w:t>
      </w:r>
    </w:p>
    <w:p>
      <w:pPr>
        <w:pStyle w:val="Normal"/>
        <w:ind w:firstLine="709"/>
        <w:jc w:val="both"/>
        <w:rPr>
          <w:bCs/>
        </w:rPr>
      </w:pPr>
      <w:bookmarkStart w:id="22" w:name="_Hlk79140867"/>
      <w:r>
        <w:rPr/>
        <w:t>Equations</w:t>
      </w:r>
      <w:r>
        <w:rPr>
          <w:bCs/>
        </w:rPr>
        <w:t xml:space="preserve"> should be placed at the center of the line and provided consecutively with equation numbers in </w:t>
      </w:r>
      <w:r>
        <w:rPr/>
        <w:t>parentheses</w:t>
      </w:r>
      <w:r>
        <w:rPr>
          <w:bCs/>
        </w:rPr>
        <w:t xml:space="preserve"> flushed to the right margin, as in (1). The use of Microsoft Equation Editor or MathType is preferred.</w:t>
      </w:r>
      <w:bookmarkStart w:id="23" w:name="_Hlk79141485"/>
    </w:p>
    <w:p>
      <w:pPr>
        <w:pStyle w:val="Normal"/>
        <w:rPr>
          <w:bCs/>
        </w:rPr>
      </w:pPr>
      <w:r>
        <w:rPr>
          <w:bCs/>
        </w:rPr>
      </w:r>
    </w:p>
    <w:p>
      <w:pPr>
        <w:pStyle w:val="Normal"/>
        <w:tabs>
          <w:tab w:val="clear" w:pos="720"/>
          <w:tab w:val="right" w:pos="8505" w:leader="none"/>
        </w:tabs>
        <w:ind w:firstLine="709"/>
        <w:rPr>
          <w:bCs/>
        </w:rPr>
      </w:pPr>
      <w:r>
        <w:rPr/>
      </w:r>
      <m:oMath xmlns:m="http://schemas.openxmlformats.org/officeDocument/2006/math">
        <m:sSub>
          <m:e>
            <m:r>
              <w:rPr>
                <w:rFonts w:ascii="Cambria Math" w:hAnsi="Cambria Math"/>
              </w:rPr>
              <m:t xml:space="preserve">E</m:t>
            </m:r>
          </m:e>
          <m:sub>
            <m:r>
              <w:rPr>
                <w:rFonts w:ascii="Cambria Math" w:hAnsi="Cambria Math"/>
              </w:rPr>
              <m:t xml:space="preserve">v</m:t>
            </m:r>
          </m:sub>
        </m:sSub>
        <m:r>
          <w:rPr>
            <w:rFonts w:ascii="Cambria Math" w:hAnsi="Cambria Math"/>
          </w:rPr>
          <m:t xml:space="preserve">−</m:t>
        </m:r>
        <m:r>
          <w:rPr>
            <w:rFonts w:ascii="Cambria Math" w:hAnsi="Cambria Math"/>
          </w:rPr>
          <m:t xml:space="preserve">E</m:t>
        </m:r>
        <m:r>
          <w:rPr>
            <w:rFonts w:ascii="Cambria Math" w:hAnsi="Cambria Math"/>
          </w:rPr>
          <m:t xml:space="preserve">=</m:t>
        </m:r>
        <m:f>
          <m:num>
            <m:r>
              <w:rPr>
                <w:rFonts w:ascii="Cambria Math" w:hAnsi="Cambria Math"/>
              </w:rPr>
              <m:t xml:space="preserve">h</m:t>
            </m:r>
          </m:num>
          <m:den>
            <m:r>
              <w:rPr>
                <w:rFonts w:ascii="Cambria Math" w:hAnsi="Cambria Math"/>
              </w:rPr>
              <m:t xml:space="preserve">2.</m:t>
            </m:r>
            <m:r>
              <w:rPr>
                <w:rFonts w:ascii="Cambria Math" w:hAnsi="Cambria Math"/>
              </w:rPr>
              <m:t xml:space="preserve">m</m:t>
            </m:r>
          </m:den>
        </m:f>
        <m:r>
          <w:rPr>
            <w:rFonts w:ascii="Cambria Math" w:hAnsi="Cambria Math"/>
          </w:rPr>
          <m:t xml:space="preserve">(</m:t>
        </m:r>
        <m:sSubSup>
          <m:e>
            <m:r>
              <w:rPr>
                <w:rFonts w:ascii="Cambria Math" w:hAnsi="Cambria Math"/>
              </w:rPr>
              <m:t xml:space="preserve">k</m:t>
            </m:r>
          </m:e>
          <m:sub>
            <m:r>
              <w:rPr>
                <w:rFonts w:ascii="Cambria Math" w:hAnsi="Cambria Math"/>
              </w:rPr>
              <m:t xml:space="preserve">x</m:t>
            </m:r>
          </m:sub>
          <m:sup>
            <m:r>
              <w:rPr>
                <w:rFonts w:ascii="Cambria Math" w:hAnsi="Cambria Math"/>
              </w:rPr>
              <m:t xml:space="preserve">2</m:t>
            </m:r>
          </m:sup>
        </m:sSubSup>
        <m:r>
          <w:rPr>
            <w:rFonts w:ascii="Cambria Math" w:hAnsi="Cambria Math"/>
          </w:rPr>
          <m:t xml:space="preserve">+</m:t>
        </m:r>
        <m:sSubSup>
          <m:e>
            <m:r>
              <w:rPr>
                <w:rFonts w:ascii="Cambria Math" w:hAnsi="Cambria Math"/>
              </w:rPr>
              <m:t xml:space="preserve">k</m:t>
            </m:r>
          </m:e>
          <m:sub>
            <m:r>
              <w:rPr>
                <w:rFonts w:ascii="Cambria Math" w:hAnsi="Cambria Math"/>
              </w:rPr>
              <m:t xml:space="preserve">y</m:t>
            </m:r>
          </m:sub>
          <m:sup>
            <m:r>
              <w:rPr>
                <w:rFonts w:ascii="Cambria Math" w:hAnsi="Cambria Math"/>
              </w:rPr>
              <m:t xml:space="preserve">2</m:t>
            </m:r>
          </m:sup>
        </m:sSubSup>
      </m:oMath>
      <w:r>
        <w:rPr>
          <w:bCs/>
        </w:rPr>
        <w:t>)</w:t>
        <w:tab/>
        <w:t>(1)</w:t>
      </w:r>
    </w:p>
    <w:p>
      <w:pPr>
        <w:pStyle w:val="Normal"/>
        <w:rPr>
          <w:bCs/>
        </w:rPr>
      </w:pPr>
      <w:r>
        <w:rPr>
          <w:bCs/>
        </w:rPr>
      </w:r>
    </w:p>
    <w:p>
      <w:pPr>
        <w:pStyle w:val="Normal"/>
        <w:rPr>
          <w:bCs/>
        </w:rPr>
      </w:pPr>
      <w:bookmarkStart w:id="24" w:name="_Hlk79140867"/>
      <w:r>
        <w:rPr>
          <w:bCs/>
        </w:rPr>
        <w:t>All symbols that have been used in the equations should be defined in the following text.</w:t>
      </w:r>
      <w:bookmarkEnd w:id="24"/>
      <w:bookmarkEnd w:id="23"/>
    </w:p>
    <w:p>
      <w:pPr>
        <w:pStyle w:val="Normal"/>
        <w:rPr>
          <w:b/>
          <w:bCs/>
        </w:rPr>
      </w:pPr>
      <w:r>
        <w:rPr>
          <w:b/>
          <w:bCs/>
        </w:rPr>
      </w:r>
    </w:p>
    <w:p>
      <w:pPr>
        <w:pStyle w:val="Normal"/>
        <w:rPr>
          <w:b/>
          <w:bCs/>
        </w:rPr>
      </w:pPr>
      <w:r>
        <w:rPr>
          <w:b/>
          <w:bCs/>
        </w:rPr>
        <w:t>3.2.  Sub section 2</w:t>
      </w:r>
    </w:p>
    <w:p>
      <w:pPr>
        <w:pStyle w:val="Normal"/>
        <w:ind w:firstLine="709"/>
        <w:jc w:val="both"/>
        <w:rPr>
          <w:bCs/>
        </w:rPr>
      </w:pPr>
      <w:r>
        <w:rPr>
          <w:bCs/>
        </w:rPr>
        <w:t xml:space="preserve">Proper citation of other works should be made to avoid plagiarism. When referring to a reference item, please use the reference number as in </w:t>
      </w:r>
      <w:r>
        <w:fldChar w:fldCharType="begin"/>
      </w:r>
      <w:r>
        <w:rPr>
          <w:bCs/>
        </w:rPr>
        <w:instrText xml:space="preserve">ADDIN CSL_CITATION {"citationItems":[{"id":"ITEM-1","itemData":{"DOI":"10.1109/TITS.2019.2924883","ISSN":"15580016","abstract":"The technological landscape of intelligent transport systems (ITS) has been radically transformed by the emergence of the big data streams generated by the Internet of Things (IoT), smart sensors, surveillance feeds, social media, as well as growing infrastructure needs. It is timely and pertinent that ITS harness the potential of an artificial intelligence (AI) to develop the big data-driven smart traffic management solutions for effective decision-making. The existing AI techniques that function in isolation exhibit clear limitations in developing a comprehensive platform due to the dynamicity of big data streams, high-frequency unlabeled data generation from the heterogeneous data sources, and volatility of traffic conditions. In this paper, we propose an expansive smart traffic management platform (STMP) based on the unsupervised online incremental machine learning, deep learning, and deep reinforcement learning to address these limitations. The STMP integrates the heterogeneous big data streams, such as the IoT, smart sensors, and social media, to detect concept drifts, distinguish between the recurrent and non-recurrent traffic events, and impact propagation, traffic flow forecasting, commuter sentiment analysis, and optimized traffic control decisions. The platform is successfully demonstrated on 190 million records of smart sensor network traffic data generated by 545,851 commuters and corresponding social media data on the arterial road network of Victoria, Australia.","author":[{"dropping-particle":"","family":"Nallaperuma","given":"Dinithi","non-dropping-particle":"","parse-names":false,"suffix":""},{"dropping-particle":"","family":"Nawaratne","given":"Rashmika","non-dropping-particle":"","parse-names":false,"suffix":""},{"dropping-particle":"","family":"Bandaragoda","given":"Tharindu","non-dropping-particle":"","parse-names":false,"suffix":""},{"dropping-particle":"","family":"Adikari","given":"Achini","non-dropping-particle":"","parse-names":false,"suffix":""},{"dropping-particle":"","family":"Nguyen","given":"Su","non-dropping-particle":"","parse-names":false,"suffix":""},{"dropping-particle":"","family":"Kempitiya","given":"Thimal","non-dropping-particle":"","parse-names":false,"suffix":""},{"dropping-particle":"","family":"Silva","given":"Daswin","non-dropping-particle":"De","parse-names":false,"suffix":""},{"dropping-particle":"","family":"Alahakoon","given":"Damminda","non-dropping-particle":"","parse-names":false,"suffix":""},{"dropping-particle":"","family":"Pothuhera","given":"Dakshan","non-dropping-particle":"","parse-names":false,"suffix":""}],"container-title":"IEEE Transactions on Intelligent Transportation Systems","id":"ITEM-1","issue":"12","issued":{"date-parts":[["2019"]]},"page":"4679-4690","publisher":"IEEE","title":"Online Incremental Machine Learning Platform for Big Data-Driven Smart Traffic Management","type":"article-journal","volume":"20"},"uris":["http://www.mendeley.com/documents/?uuid=84011880-07e5-4d16-88ef-4a381d84498a"]}],"mendeley":{"formattedCitation":"[16]","plainTextFormattedCitation":"[16]","previouslyFormattedCitation":"[16]"},"properties":{"noteIndex":0},"schema":"https://github.com/citation-style-language/schema/raw/master/csl-citation.json"}</w:instrText>
      </w:r>
      <w:r>
        <w:rPr>
          <w:bCs/>
        </w:rPr>
      </w:r>
      <w:r>
        <w:rPr>
          <w:bCs/>
        </w:rPr>
        <w:fldChar w:fldCharType="separate"/>
      </w:r>
      <w:r>
        <w:rPr>
          <w:bCs/>
        </w:rPr>
        <w:t>[16]</w:t>
      </w:r>
      <w:r>
        <w:rPr>
          <w:bCs/>
        </w:rPr>
      </w:r>
      <w:r>
        <w:rPr>
          <w:bCs/>
        </w:rPr>
        <w:fldChar w:fldCharType="end"/>
      </w:r>
      <w:r>
        <w:rPr>
          <w:bCs/>
        </w:rPr>
        <w:t xml:space="preserve"> or </w:t>
      </w:r>
      <w:r>
        <w:fldChar w:fldCharType="begin"/>
      </w:r>
      <w:r>
        <w:rPr>
          <w:bCs/>
        </w:rPr>
        <w:instrText xml:space="preserve">ADDIN CSL_CITATION {"citationItems":[{"id":"ITEM-1","itemData":{"DOI":"10.1016/j.copbio.2018.08.003","ISSN":"18790429","PMID":"30153614","abstract":"Matrix-assisted laser desorption/ionization mass spectrometry imaging (MALDI MSI) has emerged as a key technology for label-free bioanalysis of the spatial distribution of biomolecules, pharmaceuticals and other xenobiotics in tissue sections. Recent advances in instrumentation, sample preparation, multimodal workflows, quantification, analytical standardization and ‘big data’ processing have led to widespread utilization of MALDI MSI in pharmaceutical research. These developments have led to applications of the technology in drug discovery beyond drug disposition analysis, most notably in pharmacodynamic biomarker research and in toxicology.","author":[{"dropping-particle":"","family":"Schulz","given":"Sandra","non-dropping-particle":"","parse-names":false,"suffix":""},{"dropping-particle":"","family":"Becker","given":"Michael","non-dropping-particle":"","parse-names":false,"suffix":""},{"dropping-particle":"","family":"Groseclose","given":"M. Reid","non-dropping-particle":"","parse-names":false,"suffix":""},{"dropping-particle":"","family":"Schadt","given":"Simone","non-dropping-particle":"","parse-names":false,"suffix":""},{"dropping-particle":"","family":"Hopf","given":"Carsten","non-dropping-particle":"","parse-names":false,"suffix":""}],"container-title":"Current Opinion in Biotechnology","id":"ITEM-1","issued":{"date-parts":[["2019"]]},"page":"51-59","publisher":"Elsevier Ltd","title":"Advanced MALDI mass spectrometry imaging in pharmaceutical research and drug development","type":"article-journal","volume":"55"},"uris":["http://www.mendeley.com/documents/?uuid=f5fe6c7e-85a6-44bf-a354-44af2e50ead0"]}],"mendeley":{"formattedCitation":"[17]","plainTextFormattedCitation":"[17]","previouslyFormattedCitation":"[17]"},"properties":{"noteIndex":0},"schema":"https://github.com/citation-style-language/schema/raw/master/csl-citation.json"}</w:instrText>
      </w:r>
      <w:r>
        <w:rPr>
          <w:bCs/>
        </w:rPr>
      </w:r>
      <w:r>
        <w:rPr>
          <w:bCs/>
        </w:rPr>
        <w:fldChar w:fldCharType="separate"/>
      </w:r>
      <w:r>
        <w:rPr>
          <w:bCs/>
        </w:rPr>
        <w:t>[17]</w:t>
      </w:r>
      <w:r>
        <w:rPr>
          <w:bCs/>
        </w:rPr>
      </w:r>
      <w:r>
        <w:rPr>
          <w:bCs/>
        </w:rPr>
        <w:fldChar w:fldCharType="end"/>
      </w:r>
      <w:r>
        <w:rPr>
          <w:bCs/>
        </w:rPr>
        <w:t xml:space="preserve"> for multiple references. The use of ”Ref </w:t>
      </w:r>
      <w:r>
        <w:fldChar w:fldCharType="begin"/>
      </w:r>
      <w:r>
        <w:rPr>
          <w:bCs/>
        </w:rPr>
        <w:instrText xml:space="preserve">ADDIN CSL_CITATION {"citationItems":[{"id":"ITEM-1","itemData":{"DOI":"10.1016/j.eng.2019.01.019","ISSN":"20958099","abstract":"Safe, efficient, and sustainable operations and control are primary objectives in industrial manufacturing processes. State-of-the-art technologies heavily rely on human intervention, thereby showing apparent limitations in practice. The burgeoning era of big data is influencing the process industries tremendously, providing unprecedented opportunities to achieve smart manufacturing. This kind of manufacturing requires machines to not only be capable of relieving humans from intensive physical work, but also be effective in taking on intellectual labor and even producing innovations on their own. To attain this goal, data analytics and machine learning are indispensable. In this paper, we review recent advances in data analytics and machine learning applied to the monitoring, control, and optimization of industrial processes, paying particular attention to the interpretability and functionality of machine learning models. By analyzing the gap between practical requirements and the current research status, promising future research directions are identified.","author":[{"dropping-particle":"","family":"Shang","given":"Chao","non-dropping-particle":"","parse-names":false,"suffix":""},{"dropping-particle":"","family":"You","given":"Fengqi","non-dropping-particle":"","parse-names":false,"suffix":""}],"container-title":"Engineering","id":"ITEM-1","issue":"6","issued":{"date-parts":[["2019"]]},"page":"1010-1016","publisher":"Chinese Academy of Engineering","title":"Data Analytics and Machine Learning for Smart Process Manufacturing: Recent Advances and Perspectives in the Big Data Era","type":"article-journal","volume":"5"},"uris":["http://www.mendeley.com/documents/?uuid=72265640-48e8-4ec5-a62b-19b132377a67"]}],"mendeley":{"formattedCitation":"[18]","plainTextFormattedCitation":"[18]","previouslyFormattedCitation":"[18]"},"properties":{"noteIndex":0},"schema":"https://github.com/citation-style-language/schema/raw/master/csl-citation.json"}</w:instrText>
      </w:r>
      <w:r>
        <w:rPr>
          <w:bCs/>
        </w:rPr>
      </w:r>
      <w:r>
        <w:rPr>
          <w:bCs/>
        </w:rPr>
        <w:fldChar w:fldCharType="separate"/>
      </w:r>
      <w:r>
        <w:rPr>
          <w:bCs/>
        </w:rPr>
        <w:t>[18]</w:t>
      </w:r>
      <w:r>
        <w:rPr>
          <w:bCs/>
        </w:rPr>
      </w:r>
      <w:r>
        <w:rPr>
          <w:bCs/>
        </w:rPr>
        <w:fldChar w:fldCharType="end"/>
      </w:r>
      <w:r>
        <w:rPr>
          <w:bCs/>
        </w:rPr>
        <w:t xml:space="preserve">...” should be employed for any reference citation at the beginning of sentence. For any reference with more than 3 or more authors, only the first author is to be written followed by </w:t>
      </w:r>
      <w:r>
        <w:rPr>
          <w:bCs/>
          <w:i/>
          <w:iCs/>
        </w:rPr>
        <w:t>et al</w:t>
      </w:r>
      <w:r>
        <w:rPr>
          <w:bCs/>
        </w:rPr>
        <w:t xml:space="preserve">. (e.g. in </w:t>
      </w:r>
      <w:r>
        <w:fldChar w:fldCharType="begin"/>
      </w:r>
      <w:r>
        <w:rPr>
          <w:bCs/>
        </w:rPr>
        <w:instrText xml:space="preserve">ADDIN CSL_CITATION {"citationItems":[{"id":"ITEM-1","itemData":{"DOI":"10.26599/BDMA.2019.9020007","ISSN":"20960654","abstract":"The explosion of digital healthcare data has led to a surge of data-driven medical research based on machine learning. In recent years, as a powerful technique for big data, deep learning has gained a central position in machine learning circles for its great advantages in feature representation and pattern recognition. This article presents a comprehensive overview of studies that employ deep learning methods to deal with clinical data. Firstly, based on the analysis of the characteristics of clinical data, various types of clinical data (e.g., medical images, clinical notes, lab results, vital signs, and demographic informatics) are discussed and details provided of some public clinical datasets. Secondly, a brief review of common deep learning models and their characteristics is conducted. Then, considering the wide range of clinical research and the diversity of data types, several deep learning applications for clinical data are illustrated: auxiliary diagnosis, prognosis, early warning, and other tasks. Although there are challenges involved in applying deep learning techniques to clinical data, it is still worthwhile to look forward to a promising future for deep learning applications in clinical big data in the direction of precision medicine.","author":[{"dropping-particle":"","family":"Yu","given":"Ying","non-dropping-particle":"","parse-names":false,"suffix":""},{"dropping-particle":"","family":"Li","given":"Min","non-dropping-particle":"","parse-names":false,"suffix":""},{"dropping-particle":"","family":"Liu","given":"Liangliang","non-dropping-particle":"","parse-names":false,"suffix":""},{"dropping-particle":"","family":"Li","given":"Yaohang","non-dropping-particle":"","parse-names":false,"suffix":""},{"dropping-particle":"","family":"Wang","given":"Jianxin","non-dropping-particle":"","parse-names":false,"suffix":""}],"container-title":"Big Data Mining and Analytics","id":"ITEM-1","issue":"4","issued":{"date-parts":[["2019"]]},"page":"288-305","title":"Clinical big data and deep learning: Applications, challenges, and future outlooks","type":"article-journal","volume":"2"},"uris":["http://www.mendeley.com/documents/?uuid=dc530d84-ac5a-4515-9d73-9b7787b32589"]}],"mendeley":{"formattedCitation":"[19]","plainTextFormattedCitation":"[19]","previouslyFormattedCitation":"[19]"},"properties":{"noteIndex":0},"schema":"https://github.com/citation-style-language/schema/raw/master/csl-citation.json"}</w:instrText>
      </w:r>
      <w:r>
        <w:rPr>
          <w:bCs/>
        </w:rPr>
      </w:r>
      <w:r>
        <w:rPr>
          <w:bCs/>
        </w:rPr>
        <w:fldChar w:fldCharType="separate"/>
      </w:r>
      <w:r>
        <w:rPr>
          <w:bCs/>
        </w:rPr>
        <w:t>[19]</w:t>
      </w:r>
      <w:r>
        <w:rPr>
          <w:bCs/>
        </w:rPr>
      </w:r>
      <w:r>
        <w:rPr>
          <w:bCs/>
        </w:rPr>
        <w:fldChar w:fldCharType="end"/>
      </w:r>
      <w:r>
        <w:rPr>
          <w:bCs/>
        </w:rPr>
        <w:t xml:space="preserve">). Examples of reference items of different categories shown in the References section. Each item in the references section should be typed using 8 pt font size </w:t>
      </w:r>
      <w:r>
        <w:fldChar w:fldCharType="begin"/>
      </w:r>
      <w:r>
        <w:rPr>
          <w:bCs/>
        </w:rPr>
        <w:instrText xml:space="preserve">ADDIN CSL_CITATION {"citationItems":[{"id":"ITEM-1","itemData":{"DOI":"10.1109/ACCESS.2019.2899402","ISSN":"21693536","abstract":"In services-oriented computing networks, packets in the process of routing to a data center must wait for a sufficient amount of data before service aggregation to reduce the network transmission load. However, packets must be uploaded to the data center as soon as possible to reduce delay. With the exponential growth in the number of IoT connected devices, the wait time for packets is longer at routers due to massive amounts of data, which causes a large queuing delay. If this queuing time can be utilized for service aggregation in a service-oriented computing network, the network performance will be substantially improved. Therefore, a queuing delay utilization scheme for on-path service aggregation (SAQD) is proposed in this paper. This scheme has the following innovations: 1) SAQD fully utilizes the queuing delay of packets for service aggregation, which can effectively reduce the transmission volume and communication overhead. Based on the proposed service aggregation algorithm, packets are divided into forwarding packets and aggregating packets, and the service aggregation of aggregating packets is completed by utilizing the transmission time of forwarding packets to ensure that the transmission volume and communication overhead are effectively reduced without additional latency. 2) SAQD can effectively alleviate the traffic pressure of the data center and balance the workload of routers. By the service aggregation and intranet cache of routers, some requests for the data center can be handled by routers, which reduces the traffic pressure of the data center, especially in the peak period. Compared with conventional schemes, the experimental results demonstrate that SAQD reduces the workload of the data center by 55.8%-66.26% and provides users with a better quality of experience by reducing the request response delay by 31.33%51.41%.","author":[{"dropping-particle":"","family":"Huang","given":"Mingfeng","non-dropping-particle":"","parse-names":false,"suffix":""},{"dropping-particle":"","family":"Liu","given":"Wei","non-dropping-particle":"","parse-names":false,"suffix":""},{"dropping-particle":"","family":"Wang","given":"Tian","non-dropping-particle":"","parse-names":false,"suffix":""},{"dropping-particle":"","family":"Song","given":"Houbing","non-dropping-particle":"","parse-names":false,"suffix":""},{"dropping-particle":"","family":"Li","given":"Xiong","non-dropping-particle":"","parse-names":false,"suffix":""},{"dropping-particle":"","family":"Liu","given":"Anfeng","non-dropping-particle":"","parse-names":false,"suffix":""}],"container-title":"IEEE Access","id":"ITEM-1","issued":{"date-parts":[["2019"]]},"page":"23816-23833","publisher":"IEEE","title":"A queuing delay utilization scheme for on-path service aggregation in services-oriented computing networks","type":"article-journal","volume":"7"},"uris":["http://www.mendeley.com/documents/?uuid=1af4668e-cf37-4e48-aaac-7170d7a8cea1"]},{"id":"ITEM-2","itemData":{"DOI":"10.3390/s19071711","ISSN":"14248220","PMID":"30974791","abstract":"Marine environment monitoring has attracted more and more attention due to the growing concern about climate change. During the past couple of decades, advanced information and communication technologies have been applied to the development of various marine environment monitoring systems. Among others, the Internet of Things (IoT) has been playing an important role in this area. This paper presents a review of the application of the Internet of Things in the field of marine environment monitoring. New technologies including advanced Big Data analytics and their applications in this area are briefly reviewed. It also discusses key research challenges and opportunities in this area, including the potential application of IoT and Big Data in marine environment protection.","author":[{"dropping-particle":"","family":"Xu","given":"Guobao","non-dropping-particle":"","parse-names":false,"suffix":""},{"dropping-particle":"","family":"Shi","given":"Yanjun","non-dropping-particle":"","parse-names":false,"suffix":""},{"dropping-particle":"","family":"Sun","given":"Xueyan","non-dropping-particle":"","parse-names":false,"suffix":""},{"dropping-particle":"","family":"Shen","given":"Weiming","non-dropping-particle":"","parse-names":false,"suffix":""}],"container-title":"Sensors (Switzerland)","id":"ITEM-2","issue":"7","issued":{"date-parts":[["2019"]]},"page":"1-21","title":"Internet of things in marine environment monitoring: A review","type":"article-journal","volume":"19"},"uris":["http://www.mendeley.com/documents/?uuid=4a9417a8-a2e7-4b45-9210-a4a912c84db7"]},{"id":"ITEM-3","itemData":{"DOI":"10.3390/s19092206","ISBN":"9665370693","ISSN":"14248220","PMID":"31086055","abstract":"Road transportation is the backbone of modern economies, albeit it annually costs 1.25 million deaths and trillions of dollars to the global economy, and damages public health and the environment. Deep learning is among the leading-edge methods used for transportation-related predictions, however, the existing works are in their infancy, and fall short in multiple respects, including the use of datasets with limited sizes and scopes, and insufficient depth of the deep learning studies. This paper provides a novel and comprehensive approach toward large-scale, faster, and real-time traffic prediction by bringing four complementary cutting-edge technologies together: Big data, deep learning, in-memory computing, and Graphics Processing Units (GPUs). We trained deep networks using over 11 years of data provided by the California Department of Transportation (Caltrans), the largest dataset that has been used in deep learning studies. Several combinations of the input attributes of the data along with various network configurations of the deep learning models were investigated for training and prediction purposes. The use of the pre-trained model for real-time prediction was explored. The paper contributes novel deep learning models, algorithms, implementation, analytics methodology, and software tool for smart cities, big data, high performance computing, and their convergence.","author":[{"dropping-particle":"","family":"Aqib","given":"Muhammad","non-dropping-particle":"","parse-names":false,"suffix":""},{"dropping-particle":"","family":"Mehmood","given":"Rashid","non-dropping-particle":"","parse-names":false,"suffix":""},{"dropping-particle":"","family":"Alzahrani","given":"Ahmed","non-dropping-particle":"","parse-names":false,"suffix":""},{"dropping-particle":"","family":"Katib","given":"Iyad","non-dropping-particle":"","parse-names":false,"suffix":""},{"dropping-particle":"","family":"Albeshri","given":"Aiiad","non-dropping-particle":"","parse-names":false,"suffix":""},{"dropping-particle":"","family":"Altowaijri","given":"Saleh M.","non-dropping-particle":"","parse-names":false,"suffix":""}],"container-title":"Sensors (Switzerland)","id":"ITEM-3","issue":"9","issued":{"date-parts":[["2019"]]},"number-of-pages":"1-34","title":"Smarter traffic prediction using big data, in-memory computing, deep learning and gpus","type":"book","volume":"19"},"uris":["http://www.mendeley.com/documents/?uuid=9c01dc08-28f9-4055-acc8-bddbf4c80c7a"]},{"id":"ITEM-4","itemData":{"abstract":"This groundbreaking, open access volume analyses and compares data practices across several fields through the analysis of specific cases of data journeys. It brings together leading scholars in the philosophy, history and social studies of science to achieve two goals: tracking the travel of data across different spaces, times and domains of research practice; and documenting how such journeys affect the use of data as evidence and the knowledge being produced. The volume captures the opportunities, challenges and concerns involved in making data move from the sites in which they are originally produced to sites where they can be integrated with other data, analysed and re-used for a variety of purposes. The in-depth study of data journeys provides the necessary ground to examine disciplinary, geographical and historical differences and similarities in data management, processing and interpretation, thus identifying the key conditions of possibility for the widespread data sharing associated with Big and Open Data. The chapters are ordered in sections that broadly correspond to different stages of the journeys of data, from their generation to the legitimisation of their use for specific purposes. Additionally, the preface to the volume provides a variety of alternative “roadmaps” aimed to serve the different interests and entry points of readers; and the introduction provides a substantive overview of what data journeys can teach about the methods and epistemology of research.","author":[{"dropping-particle":"","family":"Leonelli","given":"Sabina","non-dropping-particle":"","parse-names":false,"suffix":""},{"dropping-particle":"","family":"Tempini","given":"Niccolò","non-dropping-particle":"","parse-names":false,"suffix":""}],"id":"ITEM-4","issued":{"date-parts":[["2020"]]},"number-of-pages":"27-44","title":"Data Journeys in the Sciences","type":"book"},"uris":["http://www.mendeley.com/documents/?uuid=9f5cf8f4-5c83-4c60-96e6-53325754ac4d"]},{"id":"ITEM-5","itemData":{"author":[{"dropping-particle":"","family":"Stylos","given":"Nikolaos","non-dropping-particle":"","parse-names":false,"suffix":""},{"dropping-particle":"","family":"Zwiegelaar","given":"Jeremy","non-dropping-particle":"","parse-names":false,"suffix":""}],"id":"ITEM-5","issued":{"date-parts":[["2019"]]},"number-of-pages":"163-181","title":"Big Data as a Game Changer: How Does It Shape Business Intelligence Within a Tourism and Hospitality Industry Context?","type":"book"},"uris":["http://www.mendeley.com/documents/?uuid=6e4f0ab0-a592-4a04-a0ed-5d33ecdd2e1c"]},{"id":"ITEM-6","itemData":{"ISSN":"23318422","abstract":"Tensor completion is a problem of filling the missing or unobserved entries of partially observed tensors. Due to the multidimensional character of tensors in describing complex datasets, tensor completion algorithms and their applications have received wide attention and achievement in areas like data mining, computer vision, signal processing, and neuroscience. In this survey, we provide a modern overview of recent advances in tensor completion algorithms from the perspective of big data analytics characterized by diverse variety, large volume, and high velocity. We characterize these advances from four perspectives: general tensor completion algorithms, tensor completion with auxiliary information (variety), scalable tensor completion algorithms (volume), and dynamic tensor completion algorithms (velocity). Further, we identify several tensor completion applications on real-world data-driven problems and present some common experimental frameworks popularized in the literature. Our goal is to summarize these popular methods and introduce them to researchers and practitioners for promoting future research and applications. We conclude with a discussion of key challenges and promising research directions in this community for future exploration.","author":[{"dropping-particle":"","family":"Song","given":"Qingquan","non-dropping-particle":"","parse-names":false,"suffix":""},{"dropping-particle":"","family":"Ge","given":"Hancheng","non-dropping-particle":"","parse-names":false,"suffix":""},{"dropping-particle":"","family":"Caverlee","given":"James","non-dropping-particle":"","parse-names":false,"suffix":""},{"dropping-particle":"","family":"Hu","given":"Xia","non-dropping-particle":"","parse-names":false,"suffix":""}],"container-title":"arXiv","id":"ITEM-6","issue":"1","issued":{"date-parts":[["2017"]]},"title":"Tensor completion algorithms in big data analytics","type":"article-journal","volume":"13"},"uris":["http://www.mendeley.com/documents/?uuid=27a05a45-94b5-4818-b3eb-005b6528df75"]}],"mendeley":{"formattedCitation":"[20]–[25]","plainTextFormattedCitation":"[20]–[25]"},"properties":{"noteIndex":0},"schema":"https://github.com/citation-style-language/schema/raw/master/csl-citation.json"}</w:instrText>
      </w:r>
      <w:r>
        <w:rPr>
          <w:bCs/>
        </w:rPr>
      </w:r>
      <w:r>
        <w:rPr>
          <w:bCs/>
        </w:rPr>
        <w:fldChar w:fldCharType="separate"/>
      </w:r>
      <w:r>
        <w:rPr>
          <w:bCs/>
        </w:rPr>
        <w:t>[20]–[25]</w:t>
      </w:r>
      <w:r>
        <w:rPr>
          <w:bCs/>
        </w:rPr>
      </w:r>
      <w:r>
        <w:rPr>
          <w:bCs/>
        </w:rPr>
        <w:fldChar w:fldCharType="end"/>
      </w:r>
      <w:r>
        <w:rPr>
          <w:bCs/>
        </w:rPr>
        <w:t>.</w:t>
      </w:r>
    </w:p>
    <w:p>
      <w:pPr>
        <w:pStyle w:val="Normal"/>
        <w:ind w:firstLine="720"/>
        <w:jc w:val="both"/>
        <w:rPr>
          <w:bCs/>
        </w:rPr>
      </w:pPr>
      <w:r>
        <w:rPr>
          <w:bCs/>
        </w:rPr>
      </w:r>
    </w:p>
    <w:p>
      <w:pPr>
        <w:pStyle w:val="Normal"/>
        <w:rPr>
          <w:rStyle w:val="fontstyle21"/>
          <w:rFonts w:ascii="Times New Roman" w:hAnsi="Times New Roman"/>
        </w:rPr>
      </w:pPr>
      <w:r>
        <w:rPr>
          <w:rStyle w:val="fontstyle01"/>
        </w:rPr>
        <w:t>3.2.1. Subsub section 1</w:t>
      </w:r>
    </w:p>
    <w:p>
      <w:pPr>
        <w:pStyle w:val="Normal"/>
        <w:ind w:firstLine="720"/>
        <w:jc w:val="both"/>
        <w:rPr>
          <w:rStyle w:val="fontstyle01"/>
          <w:rFonts w:ascii="Times New Roman" w:hAnsi="Times New Roman"/>
        </w:rPr>
      </w:pPr>
      <w:r>
        <w:rPr/>
        <w:t>yy</w:t>
      </w:r>
      <w:r>
        <w:rPr>
          <w:color w:val="000000"/>
        </w:rPr>
        <w:br/>
      </w:r>
    </w:p>
    <w:p>
      <w:pPr>
        <w:pStyle w:val="Normal"/>
        <w:rPr>
          <w:rStyle w:val="fontstyle21"/>
          <w:rFonts w:ascii="Times New Roman" w:hAnsi="Times New Roman"/>
        </w:rPr>
      </w:pPr>
      <w:r>
        <w:rPr>
          <w:rStyle w:val="fontstyle01"/>
        </w:rPr>
        <w:t>3.2.2. Subsub section 2</w:t>
      </w:r>
    </w:p>
    <w:p>
      <w:pPr>
        <w:pStyle w:val="Normal"/>
        <w:ind w:firstLine="720"/>
        <w:jc w:val="both"/>
        <w:rPr>
          <w:b/>
          <w:bCs/>
        </w:rPr>
      </w:pPr>
      <w:r>
        <w:rPr/>
        <w:t>zz</w:t>
      </w:r>
    </w:p>
    <w:p>
      <w:pPr>
        <w:pStyle w:val="Normal"/>
        <w:rPr/>
      </w:pPr>
      <w:r>
        <w:rPr/>
      </w:r>
    </w:p>
    <w:p>
      <w:pPr>
        <w:pStyle w:val="Normal"/>
        <w:rPr/>
      </w:pPr>
      <w:r>
        <w:rPr/>
      </w:r>
    </w:p>
    <w:p>
      <w:pPr>
        <w:pStyle w:val="Normal"/>
        <w:numPr>
          <w:ilvl w:val="0"/>
          <w:numId w:val="4"/>
        </w:numPr>
        <w:tabs>
          <w:tab w:val="clear" w:pos="720"/>
          <w:tab w:val="left" w:pos="426" w:leader="none"/>
        </w:tabs>
        <w:ind w:hanging="426" w:left="426"/>
        <w:rPr>
          <w:b/>
          <w:bCs/>
        </w:rPr>
      </w:pPr>
      <w:r>
        <w:rPr>
          <w:b/>
          <w:bCs/>
        </w:rPr>
        <w:t>CONCLUSION (10 PT)</w:t>
      </w:r>
    </w:p>
    <w:p>
      <w:pPr>
        <w:pStyle w:val="Normal"/>
        <w:ind w:firstLine="709"/>
        <w:jc w:val="both"/>
        <w:rPr/>
      </w:pPr>
      <w:r>
        <w:rPr/>
        <w:t>Provide a statement that what is expected, as stated in the "INTRODUCTION" section can ultimately result in "RESULTS AND DISCUSSION" section, so there is compatibility. Moreover, the prospects for the development of research results and the application of further studies can also be added to the next (based on the results and discussion).</w:t>
      </w:r>
    </w:p>
    <w:p>
      <w:pPr>
        <w:pStyle w:val="Normal"/>
        <w:jc w:val="both"/>
        <w:rPr>
          <w:b/>
          <w:bCs/>
        </w:rPr>
      </w:pPr>
      <w:r>
        <w:rPr>
          <w:b/>
          <w:bCs/>
        </w:rPr>
        <w:t xml:space="preserve">ACKNOWLEDGMENTS </w:t>
      </w:r>
      <w:r>
        <w:rPr>
          <w:b/>
          <w:bCs/>
          <w:i/>
          <w:iCs/>
        </w:rPr>
        <w:t xml:space="preserve">(if applicable) </w:t>
      </w:r>
      <w:r>
        <w:rPr>
          <w:b/>
          <w:bCs/>
        </w:rPr>
        <w:t>(10 PT)</w:t>
      </w:r>
    </w:p>
    <w:p>
      <w:pPr>
        <w:pStyle w:val="Normal"/>
        <w:tabs>
          <w:tab w:val="clear" w:pos="720"/>
          <w:tab w:val="left" w:pos="284" w:leader="none"/>
          <w:tab w:val="left" w:pos="426" w:leader="none"/>
        </w:tabs>
        <w:ind w:firstLine="709"/>
        <w:jc w:val="both"/>
        <w:rPr/>
      </w:pPr>
      <w:r>
        <w:rPr/>
        <w:t>This section should acknowledge individuals who provided personal assistance to the work but do not meet the criteria for authorship, detailing their contributions. It is imperative to obtain consent from all individuals listed in the acknowledgments.</w:t>
      </w:r>
    </w:p>
    <w:p>
      <w:pPr>
        <w:pStyle w:val="Normal"/>
        <w:jc w:val="both"/>
        <w:rPr>
          <w:b/>
          <w:bCs/>
        </w:rPr>
      </w:pPr>
      <w:r>
        <w:rPr>
          <w:b/>
          <w:bCs/>
        </w:rPr>
      </w:r>
    </w:p>
    <w:p>
      <w:pPr>
        <w:pStyle w:val="Normal"/>
        <w:jc w:val="both"/>
        <w:rPr>
          <w:b/>
          <w:bCs/>
        </w:rPr>
      </w:pPr>
      <w:r>
        <w:rPr>
          <w:b/>
          <w:bCs/>
        </w:rPr>
      </w:r>
    </w:p>
    <w:p>
      <w:pPr>
        <w:pStyle w:val="Normal"/>
        <w:jc w:val="both"/>
        <w:rPr>
          <w:b/>
          <w:bCs/>
        </w:rPr>
      </w:pPr>
      <w:r>
        <w:rPr>
          <w:b/>
          <w:bCs/>
        </w:rPr>
        <w:t xml:space="preserve">FUNDING INFORMATION </w:t>
      </w:r>
      <w:r>
        <w:rPr>
          <w:b/>
          <w:bCs/>
          <w:i/>
          <w:iCs/>
        </w:rPr>
        <w:t>(mandatory)</w:t>
      </w:r>
      <w:r>
        <w:rPr>
          <w:b/>
          <w:bCs/>
        </w:rPr>
        <w:t xml:space="preserve"> (10 PT)</w:t>
      </w:r>
    </w:p>
    <w:p>
      <w:pPr>
        <w:pStyle w:val="Normal"/>
        <w:tabs>
          <w:tab w:val="clear" w:pos="720"/>
          <w:tab w:val="left" w:pos="284" w:leader="none"/>
          <w:tab w:val="left" w:pos="426" w:leader="none"/>
        </w:tabs>
        <w:ind w:firstLine="709"/>
        <w:jc w:val="both"/>
        <w:rPr/>
      </w:pPr>
      <w:r>
        <w:rPr/>
        <w:t>This section should describe sources of funding agency that have supported the work. Authors should state how the research described in their article was funded, including grant numbers if applicable. Include the following (or similar) statement if there is no funding involved: Authors state no funding involved.</w:t>
      </w:r>
    </w:p>
    <w:p>
      <w:pPr>
        <w:pStyle w:val="Normal"/>
        <w:tabs>
          <w:tab w:val="clear" w:pos="720"/>
          <w:tab w:val="left" w:pos="284" w:leader="none"/>
          <w:tab w:val="left" w:pos="426" w:leader="none"/>
        </w:tabs>
        <w:ind w:firstLine="709"/>
        <w:jc w:val="both"/>
        <w:rPr/>
      </w:pPr>
      <w:r>
        <w:rPr/>
      </w:r>
    </w:p>
    <w:p>
      <w:pPr>
        <w:pStyle w:val="Normal"/>
        <w:tabs>
          <w:tab w:val="clear" w:pos="720"/>
          <w:tab w:val="left" w:pos="284" w:leader="none"/>
          <w:tab w:val="left" w:pos="426" w:leader="none"/>
        </w:tabs>
        <w:ind w:firstLine="709"/>
        <w:jc w:val="both"/>
        <w:rPr/>
      </w:pPr>
      <w:r>
        <w:rPr/>
      </w:r>
    </w:p>
    <w:p>
      <w:pPr>
        <w:pStyle w:val="Normal"/>
        <w:jc w:val="both"/>
        <w:rPr>
          <w:b/>
          <w:bCs/>
        </w:rPr>
      </w:pPr>
      <w:r>
        <w:rPr>
          <w:b/>
          <w:bCs/>
        </w:rPr>
        <w:t xml:space="preserve">AUTHOR CONTRIBUTIONS STATEMENT </w:t>
      </w:r>
      <w:r>
        <w:rPr>
          <w:b/>
          <w:bCs/>
          <w:i/>
          <w:iCs/>
        </w:rPr>
        <w:t>(mandatory)</w:t>
      </w:r>
      <w:r>
        <w:rPr>
          <w:b/>
          <w:bCs/>
        </w:rPr>
        <w:t xml:space="preserve"> (10 PT)</w:t>
      </w:r>
    </w:p>
    <w:p>
      <w:pPr>
        <w:pStyle w:val="Normal"/>
        <w:tabs>
          <w:tab w:val="clear" w:pos="720"/>
          <w:tab w:val="left" w:pos="284" w:leader="none"/>
          <w:tab w:val="left" w:pos="426" w:leader="none"/>
        </w:tabs>
        <w:ind w:firstLine="709"/>
        <w:jc w:val="both"/>
        <w:rPr/>
      </w:pPr>
      <w:r>
        <w:rPr/>
        <w:t>This journal uses the Contributor Roles Taxonomy (CRediT) to recognize individual author contributions, reduce authorship disputes, and facilitate collaboration.</w:t>
      </w:r>
      <w:r>
        <w:rPr>
          <w:b/>
        </w:rPr>
        <w:t xml:space="preserve"> The recommended number of authors is at least two, with one of them designated as the corresponding author.</w:t>
      </w:r>
      <w:r>
        <w:rPr/>
        <w:t xml:space="preserve"> The corresponding author will be responsible for all correspondence related to the paper and must ensure that the other authors are included in the communication regarding submission, revision, and publication processes.  We encourage authors to include a statement in the paper that shares and accurately describes each author's contribution. </w:t>
      </w:r>
      <w:r>
        <w:rPr>
          <w:b/>
          <w:bCs/>
        </w:rPr>
        <w:t>To be eligible for authorship, each individual must have contributed to at least one of the following: conceptualization, methodology, formal analysis, or investigation, as well as at least one aspect of writing (either original draft preparation or writing reviews and editing).</w:t>
      </w:r>
    </w:p>
    <w:p>
      <w:pPr>
        <w:pStyle w:val="Normal"/>
        <w:tabs>
          <w:tab w:val="clear" w:pos="720"/>
          <w:tab w:val="left" w:pos="284" w:leader="none"/>
          <w:tab w:val="left" w:pos="426" w:leader="none"/>
        </w:tabs>
        <w:jc w:val="both"/>
        <w:rPr/>
      </w:pPr>
      <w:r>
        <w:rPr/>
      </w:r>
    </w:p>
    <w:tbl>
      <w:tblPr>
        <w:tblStyle w:val="TableGrid"/>
        <w:tblW w:w="877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06"/>
        <w:gridCol w:w="472"/>
        <w:gridCol w:w="475"/>
        <w:gridCol w:w="481"/>
        <w:gridCol w:w="489"/>
        <w:gridCol w:w="485"/>
        <w:gridCol w:w="470"/>
        <w:gridCol w:w="469"/>
        <w:gridCol w:w="471"/>
        <w:gridCol w:w="469"/>
        <w:gridCol w:w="471"/>
        <w:gridCol w:w="478"/>
        <w:gridCol w:w="485"/>
        <w:gridCol w:w="469"/>
        <w:gridCol w:w="488"/>
      </w:tblGrid>
      <w:tr>
        <w:trPr/>
        <w:tc>
          <w:tcPr>
            <w:tcW w:w="2106" w:type="dxa"/>
            <w:tcBorders/>
          </w:tcPr>
          <w:p>
            <w:pPr>
              <w:pStyle w:val="Normal"/>
              <w:widowControl/>
              <w:spacing w:before="0" w:after="0"/>
              <w:jc w:val="both"/>
              <w:rPr>
                <w:b/>
                <w:bCs/>
              </w:rPr>
            </w:pPr>
            <w:r>
              <w:rPr>
                <w:rFonts w:eastAsia="Times New Roman" w:cs="Times New Roman"/>
                <w:b/>
                <w:bCs/>
                <w:kern w:val="0"/>
                <w:sz w:val="20"/>
                <w:szCs w:val="20"/>
                <w:lang w:val="en-US" w:eastAsia="en-US" w:bidi="ar-SA"/>
              </w:rPr>
              <w:t>Name of Author</w:t>
            </w:r>
          </w:p>
        </w:tc>
        <w:tc>
          <w:tcPr>
            <w:tcW w:w="472" w:type="dxa"/>
            <w:tcBorders/>
            <w:shd w:color="auto" w:fill="DAEEF3" w:themeFill="accent5" w:themeFillTint="33" w:val="clear"/>
          </w:tcPr>
          <w:p>
            <w:pPr>
              <w:pStyle w:val="Normal"/>
              <w:widowControl/>
              <w:spacing w:before="0" w:after="0"/>
              <w:jc w:val="both"/>
              <w:rPr>
                <w:b/>
                <w:bCs/>
              </w:rPr>
            </w:pPr>
            <w:r>
              <w:rPr>
                <w:rFonts w:eastAsia="Times New Roman" w:cs="Times New Roman"/>
                <w:b/>
                <w:bCs/>
                <w:kern w:val="0"/>
                <w:sz w:val="20"/>
                <w:szCs w:val="20"/>
                <w:lang w:val="en-US" w:eastAsia="en-US" w:bidi="ar-SA"/>
              </w:rPr>
              <w:t>C</w:t>
            </w:r>
          </w:p>
        </w:tc>
        <w:tc>
          <w:tcPr>
            <w:tcW w:w="475" w:type="dxa"/>
            <w:tcBorders/>
            <w:shd w:color="auto" w:fill="DAEEF3" w:themeFill="accent5" w:themeFillTint="33" w:val="clear"/>
          </w:tcPr>
          <w:p>
            <w:pPr>
              <w:pStyle w:val="Normal"/>
              <w:widowControl/>
              <w:spacing w:before="0" w:after="0"/>
              <w:jc w:val="both"/>
              <w:rPr>
                <w:b/>
                <w:bCs/>
              </w:rPr>
            </w:pPr>
            <w:r>
              <w:rPr>
                <w:rFonts w:eastAsia="Times New Roman" w:cs="Times New Roman"/>
                <w:b/>
                <w:bCs/>
                <w:kern w:val="0"/>
                <w:sz w:val="20"/>
                <w:szCs w:val="20"/>
                <w:lang w:val="en-US" w:eastAsia="en-US" w:bidi="ar-SA"/>
              </w:rPr>
              <w:t>M</w:t>
            </w:r>
          </w:p>
        </w:tc>
        <w:tc>
          <w:tcPr>
            <w:tcW w:w="481" w:type="dxa"/>
            <w:tcBorders/>
          </w:tcPr>
          <w:p>
            <w:pPr>
              <w:pStyle w:val="Normal"/>
              <w:widowControl/>
              <w:spacing w:before="0" w:after="0"/>
              <w:jc w:val="both"/>
              <w:rPr>
                <w:b/>
                <w:bCs/>
              </w:rPr>
            </w:pPr>
            <w:r>
              <w:rPr>
                <w:rFonts w:eastAsia="Times New Roman" w:cs="Times New Roman"/>
                <w:b/>
                <w:bCs/>
                <w:kern w:val="0"/>
                <w:sz w:val="20"/>
                <w:szCs w:val="20"/>
                <w:lang w:val="en-US" w:eastAsia="en-US" w:bidi="ar-SA"/>
              </w:rPr>
              <w:t>So</w:t>
            </w:r>
          </w:p>
        </w:tc>
        <w:tc>
          <w:tcPr>
            <w:tcW w:w="489" w:type="dxa"/>
            <w:tcBorders/>
          </w:tcPr>
          <w:p>
            <w:pPr>
              <w:pStyle w:val="Normal"/>
              <w:widowControl/>
              <w:spacing w:before="0" w:after="0"/>
              <w:jc w:val="both"/>
              <w:rPr>
                <w:b/>
                <w:bCs/>
              </w:rPr>
            </w:pPr>
            <w:r>
              <w:rPr>
                <w:rFonts w:eastAsia="Times New Roman" w:cs="Times New Roman"/>
                <w:b/>
                <w:bCs/>
                <w:kern w:val="0"/>
                <w:sz w:val="20"/>
                <w:szCs w:val="20"/>
                <w:lang w:val="en-US" w:eastAsia="en-US" w:bidi="ar-SA"/>
              </w:rPr>
              <w:t>Va</w:t>
            </w:r>
          </w:p>
        </w:tc>
        <w:tc>
          <w:tcPr>
            <w:tcW w:w="485" w:type="dxa"/>
            <w:tcBorders/>
            <w:shd w:color="auto" w:fill="DAEEF3" w:themeFill="accent5" w:themeFillTint="33" w:val="clear"/>
          </w:tcPr>
          <w:p>
            <w:pPr>
              <w:pStyle w:val="Normal"/>
              <w:widowControl/>
              <w:spacing w:before="0" w:after="0"/>
              <w:jc w:val="both"/>
              <w:rPr>
                <w:b/>
                <w:bCs/>
              </w:rPr>
            </w:pPr>
            <w:r>
              <w:rPr>
                <w:rFonts w:eastAsia="Times New Roman" w:cs="Times New Roman"/>
                <w:b/>
                <w:bCs/>
                <w:kern w:val="0"/>
                <w:sz w:val="20"/>
                <w:szCs w:val="20"/>
                <w:lang w:val="en-US" w:eastAsia="en-US" w:bidi="ar-SA"/>
              </w:rPr>
              <w:t>Fo</w:t>
            </w:r>
          </w:p>
        </w:tc>
        <w:tc>
          <w:tcPr>
            <w:tcW w:w="470" w:type="dxa"/>
            <w:tcBorders/>
            <w:shd w:color="auto" w:fill="DAEEF3" w:themeFill="accent5" w:themeFillTint="33" w:val="clear"/>
          </w:tcPr>
          <w:p>
            <w:pPr>
              <w:pStyle w:val="Normal"/>
              <w:widowControl/>
              <w:spacing w:before="0" w:after="0"/>
              <w:jc w:val="both"/>
              <w:rPr>
                <w:b/>
                <w:bCs/>
              </w:rPr>
            </w:pPr>
            <w:r>
              <w:rPr>
                <w:rFonts w:eastAsia="Times New Roman" w:cs="Times New Roman"/>
                <w:b/>
                <w:bCs/>
                <w:kern w:val="0"/>
                <w:sz w:val="20"/>
                <w:szCs w:val="20"/>
                <w:lang w:val="en-US" w:eastAsia="en-US" w:bidi="ar-SA"/>
              </w:rPr>
              <w:t>I</w:t>
            </w:r>
          </w:p>
        </w:tc>
        <w:tc>
          <w:tcPr>
            <w:tcW w:w="469" w:type="dxa"/>
            <w:tcBorders/>
          </w:tcPr>
          <w:p>
            <w:pPr>
              <w:pStyle w:val="Normal"/>
              <w:widowControl/>
              <w:spacing w:before="0" w:after="0"/>
              <w:jc w:val="both"/>
              <w:rPr>
                <w:b/>
                <w:bCs/>
              </w:rPr>
            </w:pPr>
            <w:r>
              <w:rPr>
                <w:rFonts w:eastAsia="Times New Roman" w:cs="Times New Roman"/>
                <w:b/>
                <w:bCs/>
                <w:kern w:val="0"/>
                <w:sz w:val="20"/>
                <w:szCs w:val="20"/>
                <w:lang w:val="en-US" w:eastAsia="en-US" w:bidi="ar-SA"/>
              </w:rPr>
              <w:t>R</w:t>
            </w:r>
          </w:p>
        </w:tc>
        <w:tc>
          <w:tcPr>
            <w:tcW w:w="471" w:type="dxa"/>
            <w:tcBorders/>
          </w:tcPr>
          <w:p>
            <w:pPr>
              <w:pStyle w:val="Normal"/>
              <w:widowControl/>
              <w:spacing w:before="0" w:after="0"/>
              <w:jc w:val="both"/>
              <w:rPr>
                <w:b/>
                <w:bCs/>
              </w:rPr>
            </w:pPr>
            <w:r>
              <w:rPr>
                <w:rFonts w:eastAsia="Times New Roman" w:cs="Times New Roman"/>
                <w:b/>
                <w:bCs/>
                <w:kern w:val="0"/>
                <w:sz w:val="20"/>
                <w:szCs w:val="20"/>
                <w:lang w:val="en-US" w:eastAsia="en-US" w:bidi="ar-SA"/>
              </w:rPr>
              <w:t>D</w:t>
            </w:r>
          </w:p>
        </w:tc>
        <w:tc>
          <w:tcPr>
            <w:tcW w:w="469" w:type="dxa"/>
            <w:tcBorders/>
            <w:shd w:color="auto" w:fill="FDE9D9" w:themeFill="accent6" w:themeFillTint="33" w:val="clear"/>
          </w:tcPr>
          <w:p>
            <w:pPr>
              <w:pStyle w:val="Normal"/>
              <w:widowControl/>
              <w:spacing w:before="0" w:after="0"/>
              <w:jc w:val="both"/>
              <w:rPr>
                <w:b/>
                <w:bCs/>
              </w:rPr>
            </w:pPr>
            <w:r>
              <w:rPr>
                <w:rFonts w:eastAsia="Times New Roman" w:cs="Times New Roman"/>
                <w:b/>
                <w:bCs/>
                <w:kern w:val="0"/>
                <w:sz w:val="20"/>
                <w:szCs w:val="20"/>
                <w:lang w:val="en-US" w:eastAsia="en-US" w:bidi="ar-SA"/>
              </w:rPr>
              <w:t>O</w:t>
            </w:r>
          </w:p>
        </w:tc>
        <w:tc>
          <w:tcPr>
            <w:tcW w:w="471" w:type="dxa"/>
            <w:tcBorders/>
            <w:shd w:color="auto" w:fill="FDE9D9" w:themeFill="accent6" w:themeFillTint="33" w:val="clear"/>
          </w:tcPr>
          <w:p>
            <w:pPr>
              <w:pStyle w:val="Normal"/>
              <w:widowControl/>
              <w:spacing w:before="0" w:after="0"/>
              <w:jc w:val="both"/>
              <w:rPr>
                <w:b/>
                <w:bCs/>
              </w:rPr>
            </w:pPr>
            <w:r>
              <w:rPr>
                <w:rFonts w:eastAsia="Times New Roman" w:cs="Times New Roman"/>
                <w:b/>
                <w:bCs/>
                <w:kern w:val="0"/>
                <w:sz w:val="20"/>
                <w:szCs w:val="20"/>
                <w:lang w:val="en-US" w:eastAsia="en-US" w:bidi="ar-SA"/>
              </w:rPr>
              <w:t>E</w:t>
            </w:r>
          </w:p>
        </w:tc>
        <w:tc>
          <w:tcPr>
            <w:tcW w:w="478" w:type="dxa"/>
            <w:tcBorders/>
          </w:tcPr>
          <w:p>
            <w:pPr>
              <w:pStyle w:val="Normal"/>
              <w:widowControl/>
              <w:spacing w:before="0" w:after="0"/>
              <w:jc w:val="both"/>
              <w:rPr>
                <w:b/>
                <w:bCs/>
              </w:rPr>
            </w:pPr>
            <w:r>
              <w:rPr>
                <w:rFonts w:eastAsia="Times New Roman" w:cs="Times New Roman"/>
                <w:b/>
                <w:bCs/>
                <w:kern w:val="0"/>
                <w:sz w:val="20"/>
                <w:szCs w:val="20"/>
                <w:lang w:val="en-US" w:eastAsia="en-US" w:bidi="ar-SA"/>
              </w:rPr>
              <w:t>Vi</w:t>
            </w:r>
          </w:p>
        </w:tc>
        <w:tc>
          <w:tcPr>
            <w:tcW w:w="485" w:type="dxa"/>
            <w:tcBorders/>
          </w:tcPr>
          <w:p>
            <w:pPr>
              <w:pStyle w:val="Normal"/>
              <w:widowControl/>
              <w:spacing w:before="0" w:after="0"/>
              <w:jc w:val="both"/>
              <w:rPr>
                <w:b/>
                <w:bCs/>
              </w:rPr>
            </w:pPr>
            <w:r>
              <w:rPr>
                <w:rFonts w:eastAsia="Times New Roman" w:cs="Times New Roman"/>
                <w:b/>
                <w:bCs/>
                <w:kern w:val="0"/>
                <w:sz w:val="20"/>
                <w:szCs w:val="20"/>
                <w:lang w:val="en-US" w:eastAsia="en-US" w:bidi="ar-SA"/>
              </w:rPr>
              <w:t>Su</w:t>
            </w:r>
          </w:p>
        </w:tc>
        <w:tc>
          <w:tcPr>
            <w:tcW w:w="469" w:type="dxa"/>
            <w:tcBorders/>
          </w:tcPr>
          <w:p>
            <w:pPr>
              <w:pStyle w:val="Normal"/>
              <w:widowControl/>
              <w:spacing w:before="0" w:after="0"/>
              <w:jc w:val="both"/>
              <w:rPr>
                <w:b/>
                <w:bCs/>
              </w:rPr>
            </w:pPr>
            <w:r>
              <w:rPr>
                <w:rFonts w:eastAsia="Times New Roman" w:cs="Times New Roman"/>
                <w:b/>
                <w:bCs/>
                <w:kern w:val="0"/>
                <w:sz w:val="20"/>
                <w:szCs w:val="20"/>
                <w:lang w:val="en-US" w:eastAsia="en-US" w:bidi="ar-SA"/>
              </w:rPr>
              <w:t>P</w:t>
            </w:r>
          </w:p>
        </w:tc>
        <w:tc>
          <w:tcPr>
            <w:tcW w:w="488" w:type="dxa"/>
            <w:tcBorders/>
          </w:tcPr>
          <w:p>
            <w:pPr>
              <w:pStyle w:val="Normal"/>
              <w:widowControl/>
              <w:spacing w:before="0" w:after="0"/>
              <w:jc w:val="both"/>
              <w:rPr>
                <w:b/>
                <w:bCs/>
              </w:rPr>
            </w:pPr>
            <w:r>
              <w:rPr>
                <w:rFonts w:eastAsia="Times New Roman" w:cs="Times New Roman"/>
                <w:b/>
                <w:bCs/>
                <w:kern w:val="0"/>
                <w:sz w:val="20"/>
                <w:szCs w:val="20"/>
                <w:lang w:val="en-US" w:eastAsia="en-US" w:bidi="ar-SA"/>
              </w:rPr>
              <w:t>Fu</w:t>
            </w:r>
          </w:p>
        </w:tc>
      </w:tr>
      <w:tr>
        <w:trPr/>
        <w:tc>
          <w:tcPr>
            <w:tcW w:w="2106"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Author 1 name</w:t>
            </w:r>
          </w:p>
        </w:tc>
        <w:tc>
          <w:tcPr>
            <w:tcW w:w="472" w:type="dxa"/>
            <w:tcBorders/>
            <w:shd w:color="auto" w:fill="DAEEF3" w:themeFill="accent5"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75" w:type="dxa"/>
            <w:tcBorders/>
            <w:shd w:color="auto" w:fill="DAEEF3" w:themeFill="accent5"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81"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89"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85" w:type="dxa"/>
            <w:tcBorders/>
            <w:shd w:color="auto" w:fill="DAEEF3" w:themeFill="accent5"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70" w:type="dxa"/>
            <w:tcBorders/>
            <w:shd w:color="auto" w:fill="DAEEF3" w:themeFill="accent5"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9"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71"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9" w:type="dxa"/>
            <w:tcBorders/>
            <w:shd w:color="auto" w:fill="FDE9D9" w:themeFill="accent6"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71" w:type="dxa"/>
            <w:tcBorders/>
            <w:shd w:color="auto" w:fill="FDE9D9" w:themeFill="accent6"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78"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85"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9"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88"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r>
      <w:tr>
        <w:trPr/>
        <w:tc>
          <w:tcPr>
            <w:tcW w:w="2106"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Author 2 name</w:t>
            </w:r>
          </w:p>
        </w:tc>
        <w:tc>
          <w:tcPr>
            <w:tcW w:w="472" w:type="dxa"/>
            <w:tcBorders/>
            <w:shd w:color="auto" w:fill="DAEEF3" w:themeFill="accent5"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75" w:type="dxa"/>
            <w:tcBorders/>
            <w:shd w:color="auto" w:fill="DAEEF3" w:themeFill="accent5"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81"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89"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85" w:type="dxa"/>
            <w:tcBorders/>
            <w:shd w:color="auto" w:fill="DAEEF3" w:themeFill="accent5"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70" w:type="dxa"/>
            <w:tcBorders/>
            <w:shd w:color="auto" w:fill="DAEEF3" w:themeFill="accent5"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9"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71"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9" w:type="dxa"/>
            <w:tcBorders/>
            <w:shd w:color="auto" w:fill="FDE9D9" w:themeFill="accent6"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71" w:type="dxa"/>
            <w:tcBorders/>
            <w:shd w:color="auto" w:fill="FDE9D9" w:themeFill="accent6"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78"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85"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9"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88"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r>
      <w:tr>
        <w:trPr/>
        <w:tc>
          <w:tcPr>
            <w:tcW w:w="2106"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Author 3 name</w:t>
            </w:r>
          </w:p>
        </w:tc>
        <w:tc>
          <w:tcPr>
            <w:tcW w:w="472" w:type="dxa"/>
            <w:tcBorders/>
            <w:shd w:color="auto" w:fill="DAEEF3" w:themeFill="accent5"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75" w:type="dxa"/>
            <w:tcBorders/>
            <w:shd w:color="auto" w:fill="DAEEF3" w:themeFill="accent5"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81"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89"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85" w:type="dxa"/>
            <w:tcBorders/>
            <w:shd w:color="auto" w:fill="DAEEF3" w:themeFill="accent5"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70" w:type="dxa"/>
            <w:tcBorders/>
            <w:shd w:color="auto" w:fill="DAEEF3" w:themeFill="accent5"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9"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71"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9" w:type="dxa"/>
            <w:tcBorders/>
            <w:shd w:color="auto" w:fill="FDE9D9" w:themeFill="accent6"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71" w:type="dxa"/>
            <w:tcBorders/>
            <w:shd w:color="auto" w:fill="FDE9D9" w:themeFill="accent6"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78"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85"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9"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88"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r>
      <w:tr>
        <w:trPr/>
        <w:tc>
          <w:tcPr>
            <w:tcW w:w="2106"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t>
            </w:r>
            <w:r>
              <w:rPr>
                <w:rFonts w:eastAsia="Times New Roman" w:cs="Times New Roman"/>
                <w:kern w:val="0"/>
                <w:sz w:val="20"/>
                <w:szCs w:val="20"/>
                <w:lang w:val="en-US" w:eastAsia="en-US" w:bidi="ar-SA"/>
              </w:rPr>
              <w:t>..</w:t>
            </w:r>
          </w:p>
        </w:tc>
        <w:tc>
          <w:tcPr>
            <w:tcW w:w="472" w:type="dxa"/>
            <w:tcBorders/>
            <w:shd w:color="auto" w:fill="DAEEF3" w:themeFill="accent5"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75" w:type="dxa"/>
            <w:tcBorders/>
            <w:shd w:color="auto" w:fill="DAEEF3" w:themeFill="accent5"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81"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89"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85" w:type="dxa"/>
            <w:tcBorders/>
            <w:shd w:color="auto" w:fill="DAEEF3" w:themeFill="accent5"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70" w:type="dxa"/>
            <w:tcBorders/>
            <w:shd w:color="auto" w:fill="DAEEF3" w:themeFill="accent5"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9"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71"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9" w:type="dxa"/>
            <w:tcBorders/>
            <w:shd w:color="auto" w:fill="FDE9D9" w:themeFill="accent6"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71" w:type="dxa"/>
            <w:tcBorders/>
            <w:shd w:color="auto" w:fill="FDE9D9" w:themeFill="accent6"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78"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85"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9"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88"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r>
      <w:tr>
        <w:trPr/>
        <w:tc>
          <w:tcPr>
            <w:tcW w:w="2106"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Author x name</w:t>
            </w:r>
          </w:p>
        </w:tc>
        <w:tc>
          <w:tcPr>
            <w:tcW w:w="472" w:type="dxa"/>
            <w:tcBorders/>
            <w:shd w:color="auto" w:fill="DAEEF3" w:themeFill="accent5"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75" w:type="dxa"/>
            <w:tcBorders/>
            <w:shd w:color="auto" w:fill="DAEEF3" w:themeFill="accent5"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81"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89"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85" w:type="dxa"/>
            <w:tcBorders/>
            <w:shd w:color="auto" w:fill="DAEEF3" w:themeFill="accent5"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70" w:type="dxa"/>
            <w:tcBorders/>
            <w:shd w:color="auto" w:fill="DAEEF3" w:themeFill="accent5"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9"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71"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9" w:type="dxa"/>
            <w:tcBorders/>
            <w:shd w:color="auto" w:fill="FDE9D9" w:themeFill="accent6"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71" w:type="dxa"/>
            <w:tcBorders/>
            <w:shd w:color="auto" w:fill="FDE9D9" w:themeFill="accent6"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78"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85"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9"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88" w:type="dxa"/>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r>
    </w:tbl>
    <w:p>
      <w:pPr>
        <w:pStyle w:val="Normal"/>
        <w:tabs>
          <w:tab w:val="clear" w:pos="720"/>
          <w:tab w:val="left" w:pos="284" w:leader="none"/>
          <w:tab w:val="left" w:pos="426" w:leader="none"/>
        </w:tabs>
        <w:jc w:val="both"/>
        <w:rPr/>
      </w:pPr>
      <w:r>
        <w:rPr/>
      </w:r>
    </w:p>
    <w:tbl>
      <w:tblPr>
        <w:tblStyle w:val="TableGrid"/>
        <w:tblW w:w="87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63"/>
        <w:gridCol w:w="3257"/>
        <w:gridCol w:w="2648"/>
      </w:tblGrid>
      <w:tr>
        <w:trPr/>
        <w:tc>
          <w:tcPr>
            <w:tcW w:w="2863" w:type="dxa"/>
            <w:tcBorders>
              <w:top w:val="nil"/>
              <w:left w:val="nil"/>
              <w:bottom w:val="nil"/>
              <w:right w:val="nil"/>
            </w:tcBorders>
          </w:tcPr>
          <w:p>
            <w:pPr>
              <w:pStyle w:val="Normal"/>
              <w:widowControl/>
              <w:tabs>
                <w:tab w:val="clear" w:pos="720"/>
                <w:tab w:val="left" w:pos="284" w:leader="none"/>
                <w:tab w:val="left" w:pos="426" w:leader="none"/>
              </w:tabs>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C</w:t>
              <w:tab/>
              <w:t xml:space="preserve">: </w:t>
              <w:tab/>
            </w:r>
            <w:r>
              <w:rPr>
                <w:rFonts w:eastAsia="Times New Roman" w:cs="Times New Roman"/>
                <w:b/>
                <w:bCs/>
                <w:kern w:val="0"/>
                <w:sz w:val="20"/>
                <w:szCs w:val="20"/>
                <w:lang w:val="en-US" w:eastAsia="en-US" w:bidi="ar-SA"/>
              </w:rPr>
              <w:t>C</w:t>
            </w:r>
            <w:r>
              <w:rPr>
                <w:rFonts w:eastAsia="Times New Roman" w:cs="Times New Roman"/>
                <w:kern w:val="0"/>
                <w:sz w:val="16"/>
                <w:szCs w:val="16"/>
                <w:lang w:val="en-US" w:eastAsia="en-US" w:bidi="ar-SA"/>
              </w:rPr>
              <w:t>onceptualization</w:t>
            </w:r>
          </w:p>
          <w:p>
            <w:pPr>
              <w:pStyle w:val="Normal"/>
              <w:widowControl/>
              <w:tabs>
                <w:tab w:val="clear" w:pos="720"/>
                <w:tab w:val="left" w:pos="284" w:leader="none"/>
                <w:tab w:val="left" w:pos="426" w:leader="none"/>
              </w:tabs>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w:t>
              <w:tab/>
              <w:t xml:space="preserve">: </w:t>
              <w:tab/>
            </w:r>
            <w:r>
              <w:rPr>
                <w:rFonts w:eastAsia="Times New Roman" w:cs="Times New Roman"/>
                <w:b/>
                <w:bCs/>
                <w:kern w:val="0"/>
                <w:sz w:val="20"/>
                <w:szCs w:val="20"/>
                <w:lang w:val="en-US" w:eastAsia="en-US" w:bidi="ar-SA"/>
              </w:rPr>
              <w:t>M</w:t>
            </w:r>
            <w:r>
              <w:rPr>
                <w:rFonts w:eastAsia="Times New Roman" w:cs="Times New Roman"/>
                <w:kern w:val="0"/>
                <w:sz w:val="16"/>
                <w:szCs w:val="16"/>
                <w:lang w:val="en-US" w:eastAsia="en-US" w:bidi="ar-SA"/>
              </w:rPr>
              <w:t>ethodology</w:t>
            </w:r>
          </w:p>
          <w:p>
            <w:pPr>
              <w:pStyle w:val="Normal"/>
              <w:widowControl/>
              <w:tabs>
                <w:tab w:val="clear" w:pos="720"/>
                <w:tab w:val="left" w:pos="284" w:leader="none"/>
                <w:tab w:val="left" w:pos="426" w:leader="none"/>
              </w:tabs>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So</w:t>
              <w:tab/>
              <w:t xml:space="preserve">: </w:t>
              <w:tab/>
            </w:r>
            <w:r>
              <w:rPr>
                <w:rFonts w:eastAsia="Times New Roman" w:cs="Times New Roman"/>
                <w:b/>
                <w:bCs/>
                <w:kern w:val="0"/>
                <w:sz w:val="20"/>
                <w:szCs w:val="20"/>
                <w:lang w:val="en-US" w:eastAsia="en-US" w:bidi="ar-SA"/>
              </w:rPr>
              <w:t>So</w:t>
            </w:r>
            <w:r>
              <w:rPr>
                <w:rFonts w:eastAsia="Times New Roman" w:cs="Times New Roman"/>
                <w:kern w:val="0"/>
                <w:sz w:val="16"/>
                <w:szCs w:val="16"/>
                <w:lang w:val="en-US" w:eastAsia="en-US" w:bidi="ar-SA"/>
              </w:rPr>
              <w:t>ftware</w:t>
            </w:r>
          </w:p>
          <w:p>
            <w:pPr>
              <w:pStyle w:val="Normal"/>
              <w:widowControl/>
              <w:tabs>
                <w:tab w:val="clear" w:pos="720"/>
                <w:tab w:val="left" w:pos="284" w:leader="none"/>
                <w:tab w:val="left" w:pos="426" w:leader="none"/>
              </w:tabs>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Va</w:t>
              <w:tab/>
              <w:t xml:space="preserve">: </w:t>
              <w:tab/>
            </w:r>
            <w:r>
              <w:rPr>
                <w:rFonts w:eastAsia="Times New Roman" w:cs="Times New Roman"/>
                <w:b/>
                <w:bCs/>
                <w:kern w:val="0"/>
                <w:sz w:val="20"/>
                <w:szCs w:val="20"/>
                <w:lang w:val="en-US" w:eastAsia="en-US" w:bidi="ar-SA"/>
              </w:rPr>
              <w:t>Va</w:t>
            </w:r>
            <w:r>
              <w:rPr>
                <w:rFonts w:eastAsia="Times New Roman" w:cs="Times New Roman"/>
                <w:kern w:val="0"/>
                <w:sz w:val="16"/>
                <w:szCs w:val="16"/>
                <w:lang w:val="en-US" w:eastAsia="en-US" w:bidi="ar-SA"/>
              </w:rPr>
              <w:t>lidation</w:t>
            </w:r>
          </w:p>
          <w:p>
            <w:pPr>
              <w:pStyle w:val="Normal"/>
              <w:widowControl/>
              <w:tabs>
                <w:tab w:val="clear" w:pos="720"/>
                <w:tab w:val="left" w:pos="284" w:leader="none"/>
                <w:tab w:val="left" w:pos="426" w:leader="none"/>
              </w:tabs>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Fo</w:t>
              <w:tab/>
              <w:t xml:space="preserve">: </w:t>
              <w:tab/>
            </w:r>
            <w:r>
              <w:rPr>
                <w:rFonts w:eastAsia="Times New Roman" w:cs="Times New Roman"/>
                <w:b/>
                <w:bCs/>
                <w:kern w:val="0"/>
                <w:sz w:val="20"/>
                <w:szCs w:val="20"/>
                <w:lang w:val="en-US" w:eastAsia="en-US" w:bidi="ar-SA"/>
              </w:rPr>
              <w:t>Fo</w:t>
            </w:r>
            <w:r>
              <w:rPr>
                <w:rFonts w:eastAsia="Times New Roman" w:cs="Times New Roman"/>
                <w:kern w:val="0"/>
                <w:sz w:val="16"/>
                <w:szCs w:val="16"/>
                <w:lang w:val="en-US" w:eastAsia="en-US" w:bidi="ar-SA"/>
              </w:rPr>
              <w:t>rmal analysis</w:t>
            </w:r>
          </w:p>
        </w:tc>
        <w:tc>
          <w:tcPr>
            <w:tcW w:w="3257" w:type="dxa"/>
            <w:tcBorders>
              <w:top w:val="nil"/>
              <w:left w:val="nil"/>
              <w:bottom w:val="nil"/>
              <w:right w:val="nil"/>
            </w:tcBorders>
          </w:tcPr>
          <w:p>
            <w:pPr>
              <w:pStyle w:val="Normal"/>
              <w:widowControl/>
              <w:tabs>
                <w:tab w:val="clear" w:pos="720"/>
                <w:tab w:val="left" w:pos="284" w:leader="none"/>
                <w:tab w:val="left" w:pos="426" w:leader="none"/>
              </w:tabs>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I</w:t>
              <w:tab/>
              <w:t xml:space="preserve">: </w:t>
              <w:tab/>
            </w:r>
            <w:r>
              <w:rPr>
                <w:rFonts w:eastAsia="Times New Roman" w:cs="Times New Roman"/>
                <w:b/>
                <w:bCs/>
                <w:kern w:val="0"/>
                <w:sz w:val="20"/>
                <w:szCs w:val="20"/>
                <w:lang w:val="en-US" w:eastAsia="en-US" w:bidi="ar-SA"/>
              </w:rPr>
              <w:t>I</w:t>
            </w:r>
            <w:r>
              <w:rPr>
                <w:rFonts w:eastAsia="Times New Roman" w:cs="Times New Roman"/>
                <w:kern w:val="0"/>
                <w:sz w:val="16"/>
                <w:szCs w:val="16"/>
                <w:lang w:val="en-US" w:eastAsia="en-US" w:bidi="ar-SA"/>
              </w:rPr>
              <w:t>nvestigation</w:t>
            </w:r>
          </w:p>
          <w:p>
            <w:pPr>
              <w:pStyle w:val="Normal"/>
              <w:widowControl/>
              <w:tabs>
                <w:tab w:val="clear" w:pos="720"/>
                <w:tab w:val="left" w:pos="284" w:leader="none"/>
                <w:tab w:val="left" w:pos="426" w:leader="none"/>
              </w:tabs>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w:t>
              <w:tab/>
              <w:t xml:space="preserve">: </w:t>
              <w:tab/>
            </w:r>
            <w:r>
              <w:rPr>
                <w:rFonts w:eastAsia="Times New Roman" w:cs="Times New Roman"/>
                <w:b/>
                <w:bCs/>
                <w:kern w:val="0"/>
                <w:sz w:val="20"/>
                <w:szCs w:val="20"/>
                <w:lang w:val="en-US" w:eastAsia="en-US" w:bidi="ar-SA"/>
              </w:rPr>
              <w:t>R</w:t>
            </w:r>
            <w:r>
              <w:rPr>
                <w:rFonts w:eastAsia="Times New Roman" w:cs="Times New Roman"/>
                <w:kern w:val="0"/>
                <w:sz w:val="16"/>
                <w:szCs w:val="16"/>
                <w:lang w:val="en-US" w:eastAsia="en-US" w:bidi="ar-SA"/>
              </w:rPr>
              <w:t>esources</w:t>
            </w:r>
          </w:p>
          <w:p>
            <w:pPr>
              <w:pStyle w:val="Normal"/>
              <w:widowControl/>
              <w:tabs>
                <w:tab w:val="clear" w:pos="720"/>
                <w:tab w:val="left" w:pos="284" w:leader="none"/>
                <w:tab w:val="left" w:pos="426" w:leader="none"/>
              </w:tabs>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w:t>
              <w:tab/>
              <w:t>:</w:t>
              <w:tab/>
            </w:r>
            <w:r>
              <w:rPr>
                <w:rFonts w:eastAsia="Times New Roman" w:cs="Times New Roman"/>
                <w:b/>
                <w:bCs/>
                <w:kern w:val="0"/>
                <w:sz w:val="20"/>
                <w:szCs w:val="20"/>
                <w:lang w:val="en-US" w:eastAsia="en-US" w:bidi="ar-SA"/>
              </w:rPr>
              <w:t>D</w:t>
            </w:r>
            <w:r>
              <w:rPr>
                <w:rFonts w:eastAsia="Times New Roman" w:cs="Times New Roman"/>
                <w:kern w:val="0"/>
                <w:sz w:val="16"/>
                <w:szCs w:val="16"/>
                <w:lang w:val="en-US" w:eastAsia="en-US" w:bidi="ar-SA"/>
              </w:rPr>
              <w:t>ata Curation</w:t>
            </w:r>
          </w:p>
          <w:p>
            <w:pPr>
              <w:pStyle w:val="Normal"/>
              <w:widowControl/>
              <w:tabs>
                <w:tab w:val="clear" w:pos="720"/>
                <w:tab w:val="left" w:pos="284" w:leader="none"/>
                <w:tab w:val="left" w:pos="426" w:leader="none"/>
              </w:tabs>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w:t>
              <w:tab/>
              <w:t>:</w:t>
              <w:tab/>
            </w:r>
            <w:r>
              <w:rPr>
                <w:rFonts w:eastAsia="Times New Roman" w:cs="Times New Roman"/>
                <w:kern w:val="0"/>
                <w:sz w:val="16"/>
                <w:szCs w:val="16"/>
                <w:lang w:val="en-US" w:eastAsia="en-US" w:bidi="ar-SA"/>
              </w:rPr>
              <w:t>Writing -</w:t>
            </w:r>
            <w:r>
              <w:rPr>
                <w:rFonts w:eastAsia="Times New Roman" w:cs="Times New Roman"/>
                <w:kern w:val="0"/>
                <w:sz w:val="20"/>
                <w:szCs w:val="20"/>
                <w:lang w:val="en-US" w:eastAsia="en-US" w:bidi="ar-SA"/>
              </w:rPr>
              <w:t xml:space="preserve"> </w:t>
            </w:r>
            <w:r>
              <w:rPr>
                <w:rFonts w:eastAsia="Times New Roman" w:cs="Times New Roman"/>
                <w:b/>
                <w:bCs/>
                <w:kern w:val="0"/>
                <w:sz w:val="20"/>
                <w:szCs w:val="20"/>
                <w:lang w:val="en-US" w:eastAsia="en-US" w:bidi="ar-SA"/>
              </w:rPr>
              <w:t>O</w:t>
            </w:r>
            <w:r>
              <w:rPr>
                <w:rFonts w:eastAsia="Times New Roman" w:cs="Times New Roman"/>
                <w:kern w:val="0"/>
                <w:sz w:val="16"/>
                <w:szCs w:val="16"/>
                <w:lang w:val="en-US" w:eastAsia="en-US" w:bidi="ar-SA"/>
              </w:rPr>
              <w:t>riginal Draft</w:t>
            </w:r>
          </w:p>
          <w:p>
            <w:pPr>
              <w:pStyle w:val="Normal"/>
              <w:widowControl/>
              <w:tabs>
                <w:tab w:val="clear" w:pos="720"/>
                <w:tab w:val="left" w:pos="284" w:leader="none"/>
                <w:tab w:val="left" w:pos="426" w:leader="none"/>
              </w:tabs>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w:t>
              <w:tab/>
              <w:t>:</w:t>
              <w:tab/>
            </w:r>
            <w:r>
              <w:rPr>
                <w:rFonts w:eastAsia="Times New Roman" w:cs="Times New Roman"/>
                <w:kern w:val="0"/>
                <w:sz w:val="16"/>
                <w:szCs w:val="16"/>
                <w:lang w:val="en-US" w:eastAsia="en-US" w:bidi="ar-SA"/>
              </w:rPr>
              <w:t>Writing - Review &amp;</w:t>
            </w:r>
            <w:r>
              <w:rPr>
                <w:rFonts w:eastAsia="Times New Roman" w:cs="Times New Roman"/>
                <w:kern w:val="0"/>
                <w:sz w:val="20"/>
                <w:szCs w:val="20"/>
                <w:lang w:val="en-US" w:eastAsia="en-US" w:bidi="ar-SA"/>
              </w:rPr>
              <w:t xml:space="preserve"> </w:t>
            </w:r>
            <w:r>
              <w:rPr>
                <w:rFonts w:eastAsia="Times New Roman" w:cs="Times New Roman"/>
                <w:b/>
                <w:bCs/>
                <w:kern w:val="0"/>
                <w:sz w:val="20"/>
                <w:szCs w:val="20"/>
                <w:lang w:val="en-US" w:eastAsia="en-US" w:bidi="ar-SA"/>
              </w:rPr>
              <w:t>E</w:t>
            </w:r>
            <w:r>
              <w:rPr>
                <w:rFonts w:eastAsia="Times New Roman" w:cs="Times New Roman"/>
                <w:kern w:val="0"/>
                <w:sz w:val="16"/>
                <w:szCs w:val="16"/>
                <w:lang w:val="en-US" w:eastAsia="en-US" w:bidi="ar-SA"/>
              </w:rPr>
              <w:t>diting</w:t>
            </w:r>
          </w:p>
        </w:tc>
        <w:tc>
          <w:tcPr>
            <w:tcW w:w="2648" w:type="dxa"/>
            <w:tcBorders>
              <w:top w:val="nil"/>
              <w:left w:val="nil"/>
              <w:bottom w:val="nil"/>
              <w:right w:val="nil"/>
            </w:tcBorders>
          </w:tcPr>
          <w:p>
            <w:pPr>
              <w:pStyle w:val="Normal"/>
              <w:widowControl/>
              <w:tabs>
                <w:tab w:val="clear" w:pos="720"/>
                <w:tab w:val="left" w:pos="284" w:leader="none"/>
                <w:tab w:val="left" w:pos="426" w:leader="none"/>
              </w:tabs>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Vi</w:t>
              <w:tab/>
              <w:t xml:space="preserve">: </w:t>
              <w:tab/>
            </w:r>
            <w:r>
              <w:rPr>
                <w:rFonts w:eastAsia="Times New Roman" w:cs="Times New Roman"/>
                <w:b/>
                <w:bCs/>
                <w:kern w:val="0"/>
                <w:sz w:val="20"/>
                <w:szCs w:val="20"/>
                <w:lang w:val="en-US" w:eastAsia="en-US" w:bidi="ar-SA"/>
              </w:rPr>
              <w:t>Vi</w:t>
            </w:r>
            <w:r>
              <w:rPr>
                <w:rFonts w:eastAsia="Times New Roman" w:cs="Times New Roman"/>
                <w:kern w:val="0"/>
                <w:sz w:val="16"/>
                <w:szCs w:val="16"/>
                <w:lang w:val="en-US" w:eastAsia="en-US" w:bidi="ar-SA"/>
              </w:rPr>
              <w:t>sualization</w:t>
            </w:r>
          </w:p>
          <w:p>
            <w:pPr>
              <w:pStyle w:val="Normal"/>
              <w:widowControl/>
              <w:tabs>
                <w:tab w:val="clear" w:pos="720"/>
                <w:tab w:val="left" w:pos="284" w:leader="none"/>
                <w:tab w:val="left" w:pos="426" w:leader="none"/>
              </w:tabs>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Su</w:t>
              <w:tab/>
              <w:t xml:space="preserve">: </w:t>
              <w:tab/>
            </w:r>
            <w:r>
              <w:rPr>
                <w:rFonts w:eastAsia="Times New Roman" w:cs="Times New Roman"/>
                <w:b/>
                <w:bCs/>
                <w:kern w:val="0"/>
                <w:sz w:val="20"/>
                <w:szCs w:val="20"/>
                <w:lang w:val="en-US" w:eastAsia="en-US" w:bidi="ar-SA"/>
              </w:rPr>
              <w:t>Su</w:t>
            </w:r>
            <w:r>
              <w:rPr>
                <w:rFonts w:eastAsia="Times New Roman" w:cs="Times New Roman"/>
                <w:kern w:val="0"/>
                <w:sz w:val="16"/>
                <w:szCs w:val="16"/>
                <w:lang w:val="en-US" w:eastAsia="en-US" w:bidi="ar-SA"/>
              </w:rPr>
              <w:t>pervision</w:t>
            </w:r>
          </w:p>
          <w:p>
            <w:pPr>
              <w:pStyle w:val="Normal"/>
              <w:widowControl/>
              <w:tabs>
                <w:tab w:val="clear" w:pos="720"/>
                <w:tab w:val="left" w:pos="284" w:leader="none"/>
                <w:tab w:val="left" w:pos="426" w:leader="none"/>
              </w:tabs>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P</w:t>
              <w:tab/>
              <w:t xml:space="preserve">: </w:t>
              <w:tab/>
            </w:r>
            <w:r>
              <w:rPr>
                <w:rFonts w:eastAsia="Times New Roman" w:cs="Times New Roman"/>
                <w:b/>
                <w:bCs/>
                <w:kern w:val="0"/>
                <w:sz w:val="20"/>
                <w:szCs w:val="20"/>
                <w:lang w:val="en-US" w:eastAsia="en-US" w:bidi="ar-SA"/>
              </w:rPr>
              <w:t>P</w:t>
            </w:r>
            <w:r>
              <w:rPr>
                <w:rFonts w:eastAsia="Times New Roman" w:cs="Times New Roman"/>
                <w:kern w:val="0"/>
                <w:sz w:val="16"/>
                <w:szCs w:val="16"/>
                <w:lang w:val="en-US" w:eastAsia="en-US" w:bidi="ar-SA"/>
              </w:rPr>
              <w:t>roject administration</w:t>
            </w:r>
          </w:p>
          <w:p>
            <w:pPr>
              <w:pStyle w:val="Normal"/>
              <w:widowControl/>
              <w:tabs>
                <w:tab w:val="clear" w:pos="720"/>
                <w:tab w:val="left" w:pos="284" w:leader="none"/>
                <w:tab w:val="left" w:pos="426" w:leader="none"/>
              </w:tabs>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Fu</w:t>
              <w:tab/>
              <w:t xml:space="preserve">: </w:t>
              <w:tab/>
            </w:r>
            <w:r>
              <w:rPr>
                <w:rFonts w:eastAsia="Times New Roman" w:cs="Times New Roman"/>
                <w:b/>
                <w:bCs/>
                <w:kern w:val="0"/>
                <w:sz w:val="20"/>
                <w:szCs w:val="20"/>
                <w:lang w:val="en-US" w:eastAsia="en-US" w:bidi="ar-SA"/>
              </w:rPr>
              <w:t>Fu</w:t>
            </w:r>
            <w:r>
              <w:rPr>
                <w:rFonts w:eastAsia="Times New Roman" w:cs="Times New Roman"/>
                <w:kern w:val="0"/>
                <w:sz w:val="16"/>
                <w:szCs w:val="16"/>
                <w:lang w:val="en-US" w:eastAsia="en-US" w:bidi="ar-SA"/>
              </w:rPr>
              <w:t>nding acquisition</w:t>
            </w:r>
          </w:p>
          <w:p>
            <w:pPr>
              <w:pStyle w:val="Normal"/>
              <w:widowControl/>
              <w:tabs>
                <w:tab w:val="clear" w:pos="720"/>
                <w:tab w:val="left" w:pos="284" w:leader="none"/>
                <w:tab w:val="left" w:pos="426" w:leader="none"/>
              </w:tabs>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r>
    </w:tbl>
    <w:p>
      <w:pPr>
        <w:pStyle w:val="Normal"/>
        <w:jc w:val="both"/>
        <w:rPr/>
      </w:pPr>
      <w:r>
        <w:rPr/>
      </w:r>
    </w:p>
    <w:p>
      <w:pPr>
        <w:pStyle w:val="Normal"/>
        <w:jc w:val="both"/>
        <w:rPr>
          <w:i/>
          <w:i/>
          <w:iCs/>
        </w:rPr>
      </w:pPr>
      <w:r>
        <w:rPr>
          <w:i/>
          <w:iCs/>
        </w:rPr>
        <w:t>See the examples below:</w:t>
      </w:r>
    </w:p>
    <w:tbl>
      <w:tblPr>
        <w:tblStyle w:val="TableGrid"/>
        <w:tblW w:w="4850" w:type="pct"/>
        <w:jc w:val="center"/>
        <w:tblInd w:w="0" w:type="dxa"/>
        <w:tblLayout w:type="fixed"/>
        <w:tblCellMar>
          <w:top w:w="0" w:type="dxa"/>
          <w:left w:w="108" w:type="dxa"/>
          <w:bottom w:w="0" w:type="dxa"/>
          <w:right w:w="108" w:type="dxa"/>
        </w:tblCellMar>
        <w:tblLook w:val="04a0" w:noHBand="0" w:noVBand="1" w:firstColumn="1" w:lastRow="0" w:lastColumn="0" w:firstRow="1"/>
      </w:tblPr>
      <w:tblGrid>
        <w:gridCol w:w="2059"/>
        <w:gridCol w:w="462"/>
        <w:gridCol w:w="463"/>
        <w:gridCol w:w="462"/>
        <w:gridCol w:w="462"/>
        <w:gridCol w:w="462"/>
        <w:gridCol w:w="462"/>
        <w:gridCol w:w="463"/>
        <w:gridCol w:w="462"/>
        <w:gridCol w:w="462"/>
        <w:gridCol w:w="462"/>
        <w:gridCol w:w="462"/>
        <w:gridCol w:w="462"/>
        <w:gridCol w:w="462"/>
        <w:gridCol w:w="456"/>
      </w:tblGrid>
      <w:tr>
        <w:trPr/>
        <w:tc>
          <w:tcPr>
            <w:tcW w:w="2059" w:type="dxa"/>
            <w:tcBorders>
              <w:left w:val="nil"/>
              <w:right w:val="nil"/>
            </w:tcBorders>
          </w:tcPr>
          <w:p>
            <w:pPr>
              <w:pStyle w:val="Normal"/>
              <w:widowControl/>
              <w:spacing w:before="0" w:after="0"/>
              <w:jc w:val="both"/>
              <w:rPr>
                <w:b/>
                <w:bCs/>
              </w:rPr>
            </w:pPr>
            <w:r>
              <w:rPr>
                <w:rFonts w:eastAsia="Times New Roman" w:cs="Times New Roman"/>
                <w:b/>
                <w:bCs/>
                <w:kern w:val="0"/>
                <w:sz w:val="20"/>
                <w:szCs w:val="20"/>
                <w:lang w:val="en-US" w:eastAsia="en-US" w:bidi="ar-SA"/>
              </w:rPr>
              <w:t>Name of Author</w:t>
            </w:r>
          </w:p>
        </w:tc>
        <w:tc>
          <w:tcPr>
            <w:tcW w:w="462" w:type="dxa"/>
            <w:tcBorders>
              <w:left w:val="nil"/>
              <w:right w:val="nil"/>
            </w:tcBorders>
            <w:shd w:color="auto" w:fill="DAEEF3" w:themeFill="accent5" w:themeFillTint="33" w:val="clear"/>
          </w:tcPr>
          <w:p>
            <w:pPr>
              <w:pStyle w:val="Normal"/>
              <w:widowControl/>
              <w:spacing w:before="0" w:after="0"/>
              <w:jc w:val="both"/>
              <w:rPr>
                <w:b/>
                <w:bCs/>
              </w:rPr>
            </w:pPr>
            <w:r>
              <w:rPr>
                <w:rFonts w:eastAsia="Times New Roman" w:cs="Times New Roman"/>
                <w:b/>
                <w:bCs/>
                <w:kern w:val="0"/>
                <w:sz w:val="20"/>
                <w:szCs w:val="20"/>
                <w:lang w:val="en-US" w:eastAsia="en-US" w:bidi="ar-SA"/>
              </w:rPr>
              <w:t>C</w:t>
            </w:r>
          </w:p>
        </w:tc>
        <w:tc>
          <w:tcPr>
            <w:tcW w:w="463" w:type="dxa"/>
            <w:tcBorders>
              <w:left w:val="nil"/>
              <w:right w:val="nil"/>
            </w:tcBorders>
            <w:shd w:color="auto" w:fill="DAEEF3" w:themeFill="accent5" w:themeFillTint="33" w:val="clear"/>
          </w:tcPr>
          <w:p>
            <w:pPr>
              <w:pStyle w:val="Normal"/>
              <w:widowControl/>
              <w:spacing w:before="0" w:after="0"/>
              <w:jc w:val="both"/>
              <w:rPr>
                <w:b/>
                <w:bCs/>
              </w:rPr>
            </w:pPr>
            <w:r>
              <w:rPr>
                <w:rFonts w:eastAsia="Times New Roman" w:cs="Times New Roman"/>
                <w:b/>
                <w:bCs/>
                <w:kern w:val="0"/>
                <w:sz w:val="20"/>
                <w:szCs w:val="20"/>
                <w:lang w:val="en-US" w:eastAsia="en-US" w:bidi="ar-SA"/>
              </w:rPr>
              <w:t>M</w:t>
            </w:r>
          </w:p>
        </w:tc>
        <w:tc>
          <w:tcPr>
            <w:tcW w:w="462" w:type="dxa"/>
            <w:tcBorders>
              <w:left w:val="nil"/>
              <w:right w:val="nil"/>
            </w:tcBorders>
          </w:tcPr>
          <w:p>
            <w:pPr>
              <w:pStyle w:val="Normal"/>
              <w:widowControl/>
              <w:spacing w:before="0" w:after="0"/>
              <w:jc w:val="both"/>
              <w:rPr>
                <w:b/>
                <w:bCs/>
              </w:rPr>
            </w:pPr>
            <w:r>
              <w:rPr>
                <w:rFonts w:eastAsia="Times New Roman" w:cs="Times New Roman"/>
                <w:b/>
                <w:bCs/>
                <w:kern w:val="0"/>
                <w:sz w:val="20"/>
                <w:szCs w:val="20"/>
                <w:lang w:val="en-US" w:eastAsia="en-US" w:bidi="ar-SA"/>
              </w:rPr>
              <w:t>So</w:t>
            </w:r>
          </w:p>
        </w:tc>
        <w:tc>
          <w:tcPr>
            <w:tcW w:w="462" w:type="dxa"/>
            <w:tcBorders>
              <w:left w:val="nil"/>
              <w:right w:val="nil"/>
            </w:tcBorders>
          </w:tcPr>
          <w:p>
            <w:pPr>
              <w:pStyle w:val="Normal"/>
              <w:widowControl/>
              <w:spacing w:before="0" w:after="0"/>
              <w:jc w:val="both"/>
              <w:rPr>
                <w:b/>
                <w:bCs/>
              </w:rPr>
            </w:pPr>
            <w:r>
              <w:rPr>
                <w:rFonts w:eastAsia="Times New Roman" w:cs="Times New Roman"/>
                <w:b/>
                <w:bCs/>
                <w:kern w:val="0"/>
                <w:sz w:val="20"/>
                <w:szCs w:val="20"/>
                <w:lang w:val="en-US" w:eastAsia="en-US" w:bidi="ar-SA"/>
              </w:rPr>
              <w:t>Va</w:t>
            </w:r>
          </w:p>
        </w:tc>
        <w:tc>
          <w:tcPr>
            <w:tcW w:w="462" w:type="dxa"/>
            <w:tcBorders>
              <w:left w:val="nil"/>
              <w:right w:val="nil"/>
            </w:tcBorders>
            <w:shd w:color="auto" w:fill="DAEEF3" w:themeFill="accent5" w:themeFillTint="33" w:val="clear"/>
          </w:tcPr>
          <w:p>
            <w:pPr>
              <w:pStyle w:val="Normal"/>
              <w:widowControl/>
              <w:spacing w:before="0" w:after="0"/>
              <w:jc w:val="both"/>
              <w:rPr>
                <w:b/>
                <w:bCs/>
              </w:rPr>
            </w:pPr>
            <w:r>
              <w:rPr>
                <w:rFonts w:eastAsia="Times New Roman" w:cs="Times New Roman"/>
                <w:b/>
                <w:bCs/>
                <w:kern w:val="0"/>
                <w:sz w:val="20"/>
                <w:szCs w:val="20"/>
                <w:lang w:val="en-US" w:eastAsia="en-US" w:bidi="ar-SA"/>
              </w:rPr>
              <w:t>Fo</w:t>
            </w:r>
          </w:p>
        </w:tc>
        <w:tc>
          <w:tcPr>
            <w:tcW w:w="462" w:type="dxa"/>
            <w:tcBorders>
              <w:left w:val="nil"/>
              <w:right w:val="nil"/>
            </w:tcBorders>
            <w:shd w:color="auto" w:fill="DAEEF3" w:themeFill="accent5" w:themeFillTint="33" w:val="clear"/>
          </w:tcPr>
          <w:p>
            <w:pPr>
              <w:pStyle w:val="Normal"/>
              <w:widowControl/>
              <w:spacing w:before="0" w:after="0"/>
              <w:jc w:val="both"/>
              <w:rPr>
                <w:b/>
                <w:bCs/>
              </w:rPr>
            </w:pPr>
            <w:r>
              <w:rPr>
                <w:rFonts w:eastAsia="Times New Roman" w:cs="Times New Roman"/>
                <w:b/>
                <w:bCs/>
                <w:kern w:val="0"/>
                <w:sz w:val="20"/>
                <w:szCs w:val="20"/>
                <w:lang w:val="en-US" w:eastAsia="en-US" w:bidi="ar-SA"/>
              </w:rPr>
              <w:t>I</w:t>
            </w:r>
          </w:p>
        </w:tc>
        <w:tc>
          <w:tcPr>
            <w:tcW w:w="463" w:type="dxa"/>
            <w:tcBorders>
              <w:left w:val="nil"/>
              <w:right w:val="nil"/>
            </w:tcBorders>
          </w:tcPr>
          <w:p>
            <w:pPr>
              <w:pStyle w:val="Normal"/>
              <w:widowControl/>
              <w:spacing w:before="0" w:after="0"/>
              <w:jc w:val="both"/>
              <w:rPr>
                <w:b/>
                <w:bCs/>
              </w:rPr>
            </w:pPr>
            <w:r>
              <w:rPr>
                <w:rFonts w:eastAsia="Times New Roman" w:cs="Times New Roman"/>
                <w:b/>
                <w:bCs/>
                <w:kern w:val="0"/>
                <w:sz w:val="20"/>
                <w:szCs w:val="20"/>
                <w:lang w:val="en-US" w:eastAsia="en-US" w:bidi="ar-SA"/>
              </w:rPr>
              <w:t>R</w:t>
            </w:r>
          </w:p>
        </w:tc>
        <w:tc>
          <w:tcPr>
            <w:tcW w:w="462" w:type="dxa"/>
            <w:tcBorders>
              <w:left w:val="nil"/>
              <w:right w:val="nil"/>
            </w:tcBorders>
          </w:tcPr>
          <w:p>
            <w:pPr>
              <w:pStyle w:val="Normal"/>
              <w:widowControl/>
              <w:spacing w:before="0" w:after="0"/>
              <w:jc w:val="both"/>
              <w:rPr>
                <w:b/>
                <w:bCs/>
              </w:rPr>
            </w:pPr>
            <w:r>
              <w:rPr>
                <w:rFonts w:eastAsia="Times New Roman" w:cs="Times New Roman"/>
                <w:b/>
                <w:bCs/>
                <w:kern w:val="0"/>
                <w:sz w:val="20"/>
                <w:szCs w:val="20"/>
                <w:lang w:val="en-US" w:eastAsia="en-US" w:bidi="ar-SA"/>
              </w:rPr>
              <w:t>D</w:t>
            </w:r>
          </w:p>
        </w:tc>
        <w:tc>
          <w:tcPr>
            <w:tcW w:w="462" w:type="dxa"/>
            <w:tcBorders>
              <w:left w:val="nil"/>
              <w:right w:val="nil"/>
            </w:tcBorders>
            <w:shd w:color="auto" w:fill="FDE9D9" w:themeFill="accent6" w:themeFillTint="33" w:val="clear"/>
          </w:tcPr>
          <w:p>
            <w:pPr>
              <w:pStyle w:val="Normal"/>
              <w:widowControl/>
              <w:spacing w:before="0" w:after="0"/>
              <w:jc w:val="both"/>
              <w:rPr>
                <w:b/>
                <w:bCs/>
              </w:rPr>
            </w:pPr>
            <w:r>
              <w:rPr>
                <w:rFonts w:eastAsia="Times New Roman" w:cs="Times New Roman"/>
                <w:b/>
                <w:bCs/>
                <w:kern w:val="0"/>
                <w:sz w:val="20"/>
                <w:szCs w:val="20"/>
                <w:lang w:val="en-US" w:eastAsia="en-US" w:bidi="ar-SA"/>
              </w:rPr>
              <w:t>O</w:t>
            </w:r>
          </w:p>
        </w:tc>
        <w:tc>
          <w:tcPr>
            <w:tcW w:w="462" w:type="dxa"/>
            <w:tcBorders>
              <w:left w:val="nil"/>
              <w:right w:val="nil"/>
            </w:tcBorders>
            <w:shd w:color="auto" w:fill="FDE9D9" w:themeFill="accent6" w:themeFillTint="33" w:val="clear"/>
          </w:tcPr>
          <w:p>
            <w:pPr>
              <w:pStyle w:val="Normal"/>
              <w:widowControl/>
              <w:spacing w:before="0" w:after="0"/>
              <w:jc w:val="both"/>
              <w:rPr>
                <w:b/>
                <w:bCs/>
              </w:rPr>
            </w:pPr>
            <w:r>
              <w:rPr>
                <w:rFonts w:eastAsia="Times New Roman" w:cs="Times New Roman"/>
                <w:b/>
                <w:bCs/>
                <w:kern w:val="0"/>
                <w:sz w:val="20"/>
                <w:szCs w:val="20"/>
                <w:lang w:val="en-US" w:eastAsia="en-US" w:bidi="ar-SA"/>
              </w:rPr>
              <w:t>E</w:t>
            </w:r>
          </w:p>
        </w:tc>
        <w:tc>
          <w:tcPr>
            <w:tcW w:w="462" w:type="dxa"/>
            <w:tcBorders>
              <w:left w:val="nil"/>
              <w:right w:val="nil"/>
            </w:tcBorders>
          </w:tcPr>
          <w:p>
            <w:pPr>
              <w:pStyle w:val="Normal"/>
              <w:widowControl/>
              <w:spacing w:before="0" w:after="0"/>
              <w:jc w:val="both"/>
              <w:rPr>
                <w:b/>
                <w:bCs/>
              </w:rPr>
            </w:pPr>
            <w:r>
              <w:rPr>
                <w:rFonts w:eastAsia="Times New Roman" w:cs="Times New Roman"/>
                <w:b/>
                <w:bCs/>
                <w:kern w:val="0"/>
                <w:sz w:val="20"/>
                <w:szCs w:val="20"/>
                <w:lang w:val="en-US" w:eastAsia="en-US" w:bidi="ar-SA"/>
              </w:rPr>
              <w:t>Vi</w:t>
            </w:r>
          </w:p>
        </w:tc>
        <w:tc>
          <w:tcPr>
            <w:tcW w:w="462" w:type="dxa"/>
            <w:tcBorders>
              <w:left w:val="nil"/>
              <w:right w:val="nil"/>
            </w:tcBorders>
          </w:tcPr>
          <w:p>
            <w:pPr>
              <w:pStyle w:val="Normal"/>
              <w:widowControl/>
              <w:spacing w:before="0" w:after="0"/>
              <w:jc w:val="both"/>
              <w:rPr>
                <w:b/>
                <w:bCs/>
              </w:rPr>
            </w:pPr>
            <w:r>
              <w:rPr>
                <w:rFonts w:eastAsia="Times New Roman" w:cs="Times New Roman"/>
                <w:b/>
                <w:bCs/>
                <w:kern w:val="0"/>
                <w:sz w:val="20"/>
                <w:szCs w:val="20"/>
                <w:lang w:val="en-US" w:eastAsia="en-US" w:bidi="ar-SA"/>
              </w:rPr>
              <w:t>Su</w:t>
            </w:r>
          </w:p>
        </w:tc>
        <w:tc>
          <w:tcPr>
            <w:tcW w:w="462" w:type="dxa"/>
            <w:tcBorders>
              <w:left w:val="nil"/>
              <w:right w:val="nil"/>
            </w:tcBorders>
          </w:tcPr>
          <w:p>
            <w:pPr>
              <w:pStyle w:val="Normal"/>
              <w:widowControl/>
              <w:spacing w:before="0" w:after="0"/>
              <w:jc w:val="both"/>
              <w:rPr>
                <w:b/>
                <w:bCs/>
              </w:rPr>
            </w:pPr>
            <w:r>
              <w:rPr>
                <w:rFonts w:eastAsia="Times New Roman" w:cs="Times New Roman"/>
                <w:b/>
                <w:bCs/>
                <w:kern w:val="0"/>
                <w:sz w:val="20"/>
                <w:szCs w:val="20"/>
                <w:lang w:val="en-US" w:eastAsia="en-US" w:bidi="ar-SA"/>
              </w:rPr>
              <w:t>P</w:t>
            </w:r>
          </w:p>
        </w:tc>
        <w:tc>
          <w:tcPr>
            <w:tcW w:w="456" w:type="dxa"/>
            <w:tcBorders>
              <w:left w:val="nil"/>
              <w:right w:val="nil"/>
            </w:tcBorders>
          </w:tcPr>
          <w:p>
            <w:pPr>
              <w:pStyle w:val="Normal"/>
              <w:widowControl/>
              <w:spacing w:before="0" w:after="0"/>
              <w:jc w:val="both"/>
              <w:rPr>
                <w:b/>
                <w:bCs/>
              </w:rPr>
            </w:pPr>
            <w:r>
              <w:rPr>
                <w:rFonts w:eastAsia="Times New Roman" w:cs="Times New Roman"/>
                <w:b/>
                <w:bCs/>
                <w:kern w:val="0"/>
                <w:sz w:val="20"/>
                <w:szCs w:val="20"/>
                <w:lang w:val="en-US" w:eastAsia="en-US" w:bidi="ar-SA"/>
              </w:rPr>
              <w:t>Fu</w:t>
            </w:r>
          </w:p>
        </w:tc>
      </w:tr>
      <w:tr>
        <w:trPr/>
        <w:tc>
          <w:tcPr>
            <w:tcW w:w="2059" w:type="dxa"/>
            <w:tcBorders>
              <w:left w:val="nil"/>
              <w:bottom w:val="nil"/>
              <w:right w:val="nil"/>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Suttichai Premrudeeprechacharn</w:t>
            </w:r>
          </w:p>
        </w:tc>
        <w:tc>
          <w:tcPr>
            <w:tcW w:w="462" w:type="dxa"/>
            <w:tcBorders>
              <w:left w:val="nil"/>
              <w:bottom w:val="nil"/>
              <w:right w:val="nil"/>
            </w:tcBorders>
            <w:shd w:color="auto" w:fill="DAEEF3" w:themeFill="accent5"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3" w:type="dxa"/>
            <w:tcBorders>
              <w:left w:val="nil"/>
              <w:bottom w:val="nil"/>
              <w:right w:val="nil"/>
            </w:tcBorders>
            <w:shd w:color="auto" w:fill="DAEEF3" w:themeFill="accent5"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left w:val="nil"/>
              <w:bottom w:val="nil"/>
              <w:right w:val="nil"/>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left w:val="nil"/>
              <w:bottom w:val="nil"/>
              <w:right w:val="nil"/>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left w:val="nil"/>
              <w:bottom w:val="nil"/>
              <w:right w:val="nil"/>
            </w:tcBorders>
            <w:shd w:color="auto" w:fill="DAEEF3" w:themeFill="accent5"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left w:val="nil"/>
              <w:bottom w:val="nil"/>
              <w:right w:val="nil"/>
            </w:tcBorders>
            <w:shd w:color="auto" w:fill="DAEEF3" w:themeFill="accent5"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3" w:type="dxa"/>
            <w:tcBorders>
              <w:left w:val="nil"/>
              <w:bottom w:val="nil"/>
              <w:right w:val="nil"/>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2" w:type="dxa"/>
            <w:tcBorders>
              <w:left w:val="nil"/>
              <w:bottom w:val="nil"/>
              <w:right w:val="nil"/>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left w:val="nil"/>
              <w:bottom w:val="nil"/>
              <w:right w:val="nil"/>
            </w:tcBorders>
            <w:shd w:color="auto" w:fill="FDE9D9" w:themeFill="accent6"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left w:val="nil"/>
              <w:bottom w:val="nil"/>
              <w:right w:val="nil"/>
            </w:tcBorders>
            <w:shd w:color="auto" w:fill="FDE9D9" w:themeFill="accent6"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left w:val="nil"/>
              <w:bottom w:val="nil"/>
              <w:right w:val="nil"/>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2" w:type="dxa"/>
            <w:tcBorders>
              <w:left w:val="nil"/>
              <w:bottom w:val="nil"/>
              <w:right w:val="nil"/>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2" w:type="dxa"/>
            <w:tcBorders>
              <w:left w:val="nil"/>
              <w:bottom w:val="nil"/>
              <w:right w:val="nil"/>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56" w:type="dxa"/>
            <w:tcBorders>
              <w:left w:val="nil"/>
              <w:bottom w:val="nil"/>
              <w:right w:val="nil"/>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r>
      <w:tr>
        <w:trPr/>
        <w:tc>
          <w:tcPr>
            <w:tcW w:w="2059" w:type="dxa"/>
            <w:tcBorders>
              <w:top w:val="nil"/>
              <w:left w:val="nil"/>
              <w:bottom w:val="nil"/>
              <w:right w:val="nil"/>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Angela Amphawan</w:t>
            </w:r>
          </w:p>
        </w:tc>
        <w:tc>
          <w:tcPr>
            <w:tcW w:w="462" w:type="dxa"/>
            <w:tcBorders>
              <w:top w:val="nil"/>
              <w:left w:val="nil"/>
              <w:bottom w:val="nil"/>
              <w:right w:val="nil"/>
            </w:tcBorders>
            <w:shd w:color="auto" w:fill="DAEEF3" w:themeFill="accent5"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3" w:type="dxa"/>
            <w:tcBorders>
              <w:top w:val="nil"/>
              <w:left w:val="nil"/>
              <w:bottom w:val="nil"/>
              <w:right w:val="nil"/>
            </w:tcBorders>
            <w:shd w:color="auto" w:fill="DAEEF3" w:themeFill="accent5"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top w:val="nil"/>
              <w:left w:val="nil"/>
              <w:bottom w:val="nil"/>
              <w:right w:val="nil"/>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2" w:type="dxa"/>
            <w:tcBorders>
              <w:top w:val="nil"/>
              <w:left w:val="nil"/>
              <w:bottom w:val="nil"/>
              <w:right w:val="nil"/>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2" w:type="dxa"/>
            <w:tcBorders>
              <w:top w:val="nil"/>
              <w:left w:val="nil"/>
              <w:bottom w:val="nil"/>
              <w:right w:val="nil"/>
            </w:tcBorders>
            <w:shd w:color="auto" w:fill="DAEEF3" w:themeFill="accent5"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2" w:type="dxa"/>
            <w:tcBorders>
              <w:top w:val="nil"/>
              <w:left w:val="nil"/>
              <w:bottom w:val="nil"/>
              <w:right w:val="nil"/>
            </w:tcBorders>
            <w:shd w:color="auto" w:fill="DAEEF3" w:themeFill="accent5"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3" w:type="dxa"/>
            <w:tcBorders>
              <w:top w:val="nil"/>
              <w:left w:val="nil"/>
              <w:bottom w:val="nil"/>
              <w:right w:val="nil"/>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2" w:type="dxa"/>
            <w:tcBorders>
              <w:top w:val="nil"/>
              <w:left w:val="nil"/>
              <w:bottom w:val="nil"/>
              <w:right w:val="nil"/>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top w:val="nil"/>
              <w:left w:val="nil"/>
              <w:bottom w:val="nil"/>
              <w:right w:val="nil"/>
            </w:tcBorders>
            <w:shd w:color="auto" w:fill="FDE9D9" w:themeFill="accent6"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top w:val="nil"/>
              <w:left w:val="nil"/>
              <w:bottom w:val="nil"/>
              <w:right w:val="nil"/>
            </w:tcBorders>
            <w:shd w:color="auto" w:fill="FDE9D9" w:themeFill="accent6"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top w:val="nil"/>
              <w:left w:val="nil"/>
              <w:bottom w:val="nil"/>
              <w:right w:val="nil"/>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top w:val="nil"/>
              <w:left w:val="nil"/>
              <w:bottom w:val="nil"/>
              <w:right w:val="nil"/>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top w:val="nil"/>
              <w:left w:val="nil"/>
              <w:bottom w:val="nil"/>
              <w:right w:val="nil"/>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56" w:type="dxa"/>
            <w:tcBorders>
              <w:top w:val="nil"/>
              <w:left w:val="nil"/>
              <w:bottom w:val="nil"/>
              <w:right w:val="nil"/>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r>
      <w:tr>
        <w:trPr/>
        <w:tc>
          <w:tcPr>
            <w:tcW w:w="2059" w:type="dxa"/>
            <w:tcBorders>
              <w:top w:val="nil"/>
              <w:left w:val="nil"/>
              <w:right w:val="nil"/>
            </w:tcBorders>
          </w:tcPr>
          <w:p>
            <w:pPr>
              <w:pStyle w:val="Normal"/>
              <w:widowControl/>
              <w:spacing w:before="0" w:after="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Almoataz Youssef Abdelaziz</w:t>
            </w:r>
          </w:p>
        </w:tc>
        <w:tc>
          <w:tcPr>
            <w:tcW w:w="462" w:type="dxa"/>
            <w:tcBorders>
              <w:top w:val="nil"/>
              <w:left w:val="nil"/>
              <w:right w:val="nil"/>
            </w:tcBorders>
            <w:shd w:color="auto" w:fill="DAEEF3" w:themeFill="accent5"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3" w:type="dxa"/>
            <w:tcBorders>
              <w:top w:val="nil"/>
              <w:left w:val="nil"/>
              <w:right w:val="nil"/>
            </w:tcBorders>
            <w:shd w:color="auto" w:fill="DAEEF3" w:themeFill="accent5"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2" w:type="dxa"/>
            <w:tcBorders>
              <w:top w:val="nil"/>
              <w:left w:val="nil"/>
              <w:right w:val="nil"/>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top w:val="nil"/>
              <w:left w:val="nil"/>
              <w:right w:val="nil"/>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top w:val="nil"/>
              <w:left w:val="nil"/>
              <w:right w:val="nil"/>
            </w:tcBorders>
            <w:shd w:color="auto" w:fill="DAEEF3" w:themeFill="accent5"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2" w:type="dxa"/>
            <w:tcBorders>
              <w:top w:val="nil"/>
              <w:left w:val="nil"/>
              <w:right w:val="nil"/>
            </w:tcBorders>
            <w:shd w:color="auto" w:fill="DAEEF3" w:themeFill="accent5"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3" w:type="dxa"/>
            <w:tcBorders>
              <w:top w:val="nil"/>
              <w:left w:val="nil"/>
              <w:right w:val="nil"/>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top w:val="nil"/>
              <w:left w:val="nil"/>
              <w:right w:val="nil"/>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2" w:type="dxa"/>
            <w:tcBorders>
              <w:top w:val="nil"/>
              <w:left w:val="nil"/>
              <w:right w:val="nil"/>
            </w:tcBorders>
            <w:shd w:color="auto" w:fill="FDE9D9" w:themeFill="accent6"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2" w:type="dxa"/>
            <w:tcBorders>
              <w:top w:val="nil"/>
              <w:left w:val="nil"/>
              <w:right w:val="nil"/>
            </w:tcBorders>
            <w:shd w:color="auto" w:fill="FDE9D9" w:themeFill="accent6" w:themeFillTint="33" w:val="clear"/>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top w:val="nil"/>
              <w:left w:val="nil"/>
              <w:right w:val="nil"/>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top w:val="nil"/>
              <w:left w:val="nil"/>
              <w:right w:val="nil"/>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2" w:type="dxa"/>
            <w:tcBorders>
              <w:top w:val="nil"/>
              <w:left w:val="nil"/>
              <w:right w:val="nil"/>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56" w:type="dxa"/>
            <w:tcBorders>
              <w:top w:val="nil"/>
              <w:left w:val="nil"/>
              <w:right w:val="nil"/>
            </w:tcBorders>
          </w:tcPr>
          <w:p>
            <w:pPr>
              <w:pStyle w:val="Normal"/>
              <w:widowControl/>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r>
    </w:tbl>
    <w:p>
      <w:pPr>
        <w:pStyle w:val="Normal"/>
        <w:jc w:val="both"/>
        <w:rPr/>
      </w:pPr>
      <w:r>
        <w:rPr/>
      </w:r>
    </w:p>
    <w:p>
      <w:pPr>
        <w:pStyle w:val="Normal"/>
        <w:jc w:val="both"/>
        <w:rPr>
          <w:b/>
          <w:bCs/>
        </w:rPr>
      </w:pPr>
      <w:r>
        <w:rPr>
          <w:b/>
          <w:bCs/>
        </w:rPr>
      </w:r>
    </w:p>
    <w:p>
      <w:pPr>
        <w:pStyle w:val="Normal"/>
        <w:jc w:val="both"/>
        <w:rPr>
          <w:b/>
          <w:bCs/>
        </w:rPr>
      </w:pPr>
      <w:r>
        <w:rPr>
          <w:b/>
          <w:bCs/>
        </w:rPr>
        <w:t xml:space="preserve">CONFLICT OF INTEREST STATEMENT </w:t>
      </w:r>
      <w:r>
        <w:rPr>
          <w:b/>
          <w:bCs/>
          <w:i/>
          <w:iCs/>
        </w:rPr>
        <w:t>(mandatory)</w:t>
      </w:r>
      <w:r>
        <w:rPr>
          <w:b/>
          <w:bCs/>
        </w:rPr>
        <w:t xml:space="preserve"> (10 PT)</w:t>
      </w:r>
    </w:p>
    <w:p>
      <w:pPr>
        <w:pStyle w:val="Normal"/>
        <w:tabs>
          <w:tab w:val="clear" w:pos="720"/>
          <w:tab w:val="left" w:pos="284" w:leader="none"/>
          <w:tab w:val="left" w:pos="426" w:leader="none"/>
        </w:tabs>
        <w:ind w:firstLine="709"/>
        <w:jc w:val="both"/>
        <w:rPr/>
      </w:pPr>
      <w:r>
        <w:rPr/>
        <w:t>To ensure fair and objective decision-making, authors must declare any associations that pose a conflict of interest (financial, personal, or professional) in connection with manuscripts. Non-financial competing interests include a declaration of political, personal, religious, ideological, academic, and intellectual competing interests. The authors declare that they have no known competing financial interests or personal relationships that could have appeared to influence the work reported in this paper. If there are no conflicts of interest, please include the following author's statement: Authors state no conflict of interest.</w:t>
      </w:r>
    </w:p>
    <w:p>
      <w:pPr>
        <w:pStyle w:val="Normal"/>
        <w:tabs>
          <w:tab w:val="clear" w:pos="720"/>
          <w:tab w:val="left" w:pos="284" w:leader="none"/>
          <w:tab w:val="left" w:pos="426" w:leader="none"/>
        </w:tabs>
        <w:jc w:val="both"/>
        <w:rPr/>
      </w:pPr>
      <w:r>
        <w:rPr/>
      </w:r>
    </w:p>
    <w:p>
      <w:pPr>
        <w:pStyle w:val="Normal"/>
        <w:tabs>
          <w:tab w:val="clear" w:pos="720"/>
          <w:tab w:val="left" w:pos="284" w:leader="none"/>
          <w:tab w:val="left" w:pos="426" w:leader="none"/>
        </w:tabs>
        <w:jc w:val="both"/>
        <w:rPr/>
      </w:pPr>
      <w:r>
        <w:rPr/>
      </w:r>
    </w:p>
    <w:p>
      <w:pPr>
        <w:pStyle w:val="Normal"/>
        <w:jc w:val="both"/>
        <w:rPr>
          <w:b/>
          <w:bCs/>
        </w:rPr>
      </w:pPr>
      <w:r>
        <w:rPr>
          <w:b/>
          <w:bCs/>
        </w:rPr>
        <w:t xml:space="preserve">INFORMED CONSENT </w:t>
      </w:r>
      <w:r>
        <w:rPr>
          <w:b/>
          <w:bCs/>
          <w:i/>
          <w:iCs/>
        </w:rPr>
        <w:t>(if applicable)</w:t>
      </w:r>
      <w:r>
        <w:rPr>
          <w:b/>
          <w:bCs/>
        </w:rPr>
        <w:t xml:space="preserve"> (10 PT)</w:t>
      </w:r>
    </w:p>
    <w:p>
      <w:pPr>
        <w:pStyle w:val="Normal"/>
        <w:tabs>
          <w:tab w:val="clear" w:pos="720"/>
          <w:tab w:val="left" w:pos="284" w:leader="none"/>
          <w:tab w:val="left" w:pos="426" w:leader="none"/>
        </w:tabs>
        <w:ind w:firstLine="709"/>
        <w:jc w:val="both"/>
        <w:rPr/>
      </w:pPr>
      <w:r>
        <w:rPr/>
        <w:t>The protection of privacy is a legal right that must not be breached without individual informed consent. In cases where the identification of personal information is necessary for scientific reasons, authors should obtain full documentation of informed consent, including written permission from the patient prior to inclusion in the study. Incorporate the following (or a similar) statement: We have obtained informed consent from all individuals included in this study.</w:t>
      </w:r>
    </w:p>
    <w:p>
      <w:pPr>
        <w:pStyle w:val="Normal"/>
        <w:tabs>
          <w:tab w:val="clear" w:pos="720"/>
          <w:tab w:val="left" w:pos="284" w:leader="none"/>
          <w:tab w:val="left" w:pos="426" w:leader="none"/>
        </w:tabs>
        <w:jc w:val="both"/>
        <w:rPr/>
      </w:pPr>
      <w:r>
        <w:rPr/>
      </w:r>
    </w:p>
    <w:p>
      <w:pPr>
        <w:pStyle w:val="Normal"/>
        <w:jc w:val="both"/>
        <w:rPr>
          <w:b/>
          <w:bCs/>
        </w:rPr>
      </w:pPr>
      <w:r>
        <w:rPr>
          <w:b/>
          <w:bCs/>
        </w:rPr>
      </w:r>
    </w:p>
    <w:p>
      <w:pPr>
        <w:pStyle w:val="Normal"/>
        <w:jc w:val="both"/>
        <w:rPr>
          <w:b/>
          <w:bCs/>
        </w:rPr>
      </w:pPr>
      <w:r>
        <w:rPr>
          <w:b/>
          <w:bCs/>
        </w:rPr>
        <w:t xml:space="preserve">ETHICAL APPROVAL </w:t>
      </w:r>
      <w:r>
        <w:rPr>
          <w:b/>
          <w:bCs/>
          <w:i/>
          <w:iCs/>
        </w:rPr>
        <w:t>(if applicable)</w:t>
      </w:r>
      <w:r>
        <w:rPr>
          <w:b/>
          <w:bCs/>
        </w:rPr>
        <w:t xml:space="preserve"> (10 PT)</w:t>
      </w:r>
    </w:p>
    <w:p>
      <w:pPr>
        <w:pStyle w:val="Normal"/>
        <w:tabs>
          <w:tab w:val="clear" w:pos="720"/>
          <w:tab w:val="left" w:pos="284" w:leader="none"/>
          <w:tab w:val="left" w:pos="426" w:leader="none"/>
        </w:tabs>
        <w:ind w:firstLine="709"/>
        <w:jc w:val="both"/>
        <w:rPr/>
      </w:pPr>
      <w:r>
        <w:rPr/>
        <w:t>When papers talk about using people or animals, authors should make it clear that the research followed all national rules and institutional policies, and it was approved by the authors' institutional review board or a similar committee. The Helsinki Declaration's tenets must guide all investigations involving human subjects. Authors must also identify the committee or review board approving the experiments and provide a statement indicating approval of the research. Incorporate the following (or a similar) statement: The research related to human use has been complied with all the relevant national regulations and institutional policies in accordance with the tenets of the Helsinki Declaration and has been approved by the authors' institutional review board or equivalent committee; or: The research related to animal use has been complied with all the relevant national regulations and institutional policies for the care and use of animals.</w:t>
      </w:r>
    </w:p>
    <w:p>
      <w:pPr>
        <w:pStyle w:val="Normal"/>
        <w:jc w:val="both"/>
        <w:rPr>
          <w:b/>
          <w:bCs/>
        </w:rPr>
      </w:pPr>
      <w:r>
        <w:rPr>
          <w:b/>
          <w:bCs/>
        </w:rPr>
      </w:r>
    </w:p>
    <w:p>
      <w:pPr>
        <w:pStyle w:val="Normal"/>
        <w:jc w:val="both"/>
        <w:rPr>
          <w:b/>
          <w:bCs/>
        </w:rPr>
      </w:pPr>
      <w:r>
        <w:rPr>
          <w:b/>
          <w:bCs/>
        </w:rPr>
      </w:r>
    </w:p>
    <w:p>
      <w:pPr>
        <w:pStyle w:val="Normal"/>
        <w:jc w:val="both"/>
        <w:rPr>
          <w:b/>
          <w:bCs/>
        </w:rPr>
      </w:pPr>
      <w:r>
        <w:rPr>
          <w:b/>
          <w:bCs/>
        </w:rPr>
        <w:t xml:space="preserve">DATA AVAILABILITY </w:t>
      </w:r>
      <w:r>
        <w:rPr>
          <w:b/>
          <w:bCs/>
          <w:i/>
          <w:iCs/>
        </w:rPr>
        <w:t>(mandatory)</w:t>
      </w:r>
      <w:r>
        <w:rPr>
          <w:b/>
          <w:bCs/>
        </w:rPr>
        <w:t xml:space="preserve"> (10 PT)</w:t>
      </w:r>
    </w:p>
    <w:p>
      <w:pPr>
        <w:pStyle w:val="Normal"/>
        <w:tabs>
          <w:tab w:val="clear" w:pos="720"/>
          <w:tab w:val="left" w:pos="284" w:leader="none"/>
          <w:tab w:val="left" w:pos="426" w:leader="none"/>
        </w:tabs>
        <w:ind w:firstLine="709"/>
        <w:jc w:val="both"/>
        <w:rPr/>
      </w:pPr>
      <w:r>
        <w:rPr/>
        <w:t>The data availability statement is a valuable link between a paper’s results and the supporting evidence. It is a brief statement about whether the authors of an article have made the evidence supporting their findings available, and if so, where readers may access it. Data availability statements help to promote transparency and reproducibility in research and to increase the visibility of valuable evidence produced or gathered during the course of research. As part of our commitment to supporting open research, our journal now requires all manuscripts to include a data availability statement in order to be accepted for publication. Examples:</w:t>
      </w:r>
    </w:p>
    <w:p>
      <w:pPr>
        <w:pStyle w:val="ListParagraph"/>
        <w:numPr>
          <w:ilvl w:val="0"/>
          <w:numId w:val="7"/>
        </w:numPr>
        <w:spacing w:lineRule="auto" w:line="240" w:before="0" w:after="0"/>
        <w:ind w:hanging="284" w:left="284"/>
        <w:contextualSpacing/>
        <w:jc w:val="both"/>
        <w:rPr>
          <w:rFonts w:ascii="Times New Roman" w:hAnsi="Times New Roman"/>
          <w:sz w:val="20"/>
          <w:szCs w:val="20"/>
          <w:lang w:val="en-US"/>
        </w:rPr>
      </w:pPr>
      <w:r>
        <w:rPr>
          <w:rFonts w:ascii="Times New Roman" w:hAnsi="Times New Roman"/>
          <w:sz w:val="20"/>
          <w:szCs w:val="20"/>
          <w:lang w:val="en-US"/>
        </w:rPr>
        <w:t>The data that support the findings of this study are openly available in [repository name] at http://doi.org/[doi], reference number [reference number].</w:t>
      </w:r>
    </w:p>
    <w:p>
      <w:pPr>
        <w:pStyle w:val="ListParagraph"/>
        <w:numPr>
          <w:ilvl w:val="0"/>
          <w:numId w:val="7"/>
        </w:numPr>
        <w:spacing w:lineRule="auto" w:line="240" w:before="0" w:after="0"/>
        <w:ind w:hanging="284" w:left="284"/>
        <w:contextualSpacing/>
        <w:jc w:val="both"/>
        <w:rPr>
          <w:rFonts w:ascii="Times New Roman" w:hAnsi="Times New Roman"/>
          <w:sz w:val="20"/>
          <w:szCs w:val="20"/>
          <w:lang w:val="en-US"/>
        </w:rPr>
      </w:pPr>
      <w:r>
        <w:rPr>
          <w:rFonts w:ascii="Times New Roman" w:hAnsi="Times New Roman"/>
          <w:sz w:val="20"/>
          <w:szCs w:val="20"/>
          <w:lang w:val="en-US"/>
        </w:rPr>
        <w:t>The data that support the findings of this study will be available in [repository name] [URL / DOI link] following a [6 month] embargo from the date of publication to allow for the commercialization of research findings.</w:t>
      </w:r>
    </w:p>
    <w:p>
      <w:pPr>
        <w:pStyle w:val="ListParagraph"/>
        <w:numPr>
          <w:ilvl w:val="0"/>
          <w:numId w:val="7"/>
        </w:numPr>
        <w:spacing w:lineRule="auto" w:line="240" w:before="0" w:after="0"/>
        <w:ind w:hanging="284" w:left="284"/>
        <w:contextualSpacing/>
        <w:jc w:val="both"/>
        <w:rPr>
          <w:rFonts w:ascii="Times New Roman" w:hAnsi="Times New Roman"/>
          <w:sz w:val="20"/>
          <w:szCs w:val="20"/>
          <w:lang w:val="en-US"/>
        </w:rPr>
      </w:pPr>
      <w:r>
        <w:rPr>
          <w:rFonts w:ascii="Times New Roman" w:hAnsi="Times New Roman"/>
          <w:sz w:val="20"/>
          <w:szCs w:val="20"/>
          <w:lang w:val="en-US"/>
        </w:rPr>
        <w:t xml:space="preserve">The data that support the findings of this study are available on request from the corresponding author, </w:t>
      </w:r>
      <w:r>
        <w:rPr>
          <w:rFonts w:ascii="Times New Roman" w:hAnsi="Times New Roman"/>
          <w:sz w:val="20"/>
          <w:szCs w:val="20"/>
        </w:rPr>
        <w:t>[initials: AB]</w:t>
      </w:r>
      <w:r>
        <w:rPr>
          <w:rFonts w:ascii="Times New Roman" w:hAnsi="Times New Roman"/>
          <w:sz w:val="20"/>
          <w:szCs w:val="20"/>
          <w:lang w:val="en-US"/>
        </w:rPr>
        <w:t>. The data, which contain information that could compromise the privacy of research participants, are not publicly available due to certain restrictions.</w:t>
      </w:r>
    </w:p>
    <w:p>
      <w:pPr>
        <w:pStyle w:val="ListParagraph"/>
        <w:numPr>
          <w:ilvl w:val="0"/>
          <w:numId w:val="7"/>
        </w:numPr>
        <w:spacing w:lineRule="auto" w:line="240" w:before="0" w:after="0"/>
        <w:ind w:hanging="284" w:left="284"/>
        <w:contextualSpacing/>
        <w:jc w:val="both"/>
        <w:rPr>
          <w:rFonts w:ascii="Times New Roman" w:hAnsi="Times New Roman"/>
          <w:sz w:val="20"/>
          <w:szCs w:val="20"/>
          <w:lang w:val="en-US"/>
        </w:rPr>
      </w:pPr>
      <w:r>
        <w:rPr>
          <w:rFonts w:ascii="Times New Roman" w:hAnsi="Times New Roman"/>
          <w:sz w:val="20"/>
          <w:szCs w:val="20"/>
          <w:lang w:val="en-US"/>
        </w:rPr>
        <w:t xml:space="preserve">Derived data supporting the findings of this study are available from the corresponding author </w:t>
      </w:r>
      <w:r>
        <w:rPr>
          <w:rFonts w:ascii="Times New Roman" w:hAnsi="Times New Roman"/>
          <w:sz w:val="20"/>
          <w:szCs w:val="20"/>
        </w:rPr>
        <w:t>[initials: AB]</w:t>
      </w:r>
      <w:r>
        <w:rPr>
          <w:rFonts w:ascii="Times New Roman" w:hAnsi="Times New Roman"/>
          <w:sz w:val="20"/>
          <w:szCs w:val="20"/>
          <w:lang w:val="en-US"/>
        </w:rPr>
        <w:t xml:space="preserve"> on request.</w:t>
      </w:r>
    </w:p>
    <w:p>
      <w:pPr>
        <w:pStyle w:val="ListParagraph"/>
        <w:numPr>
          <w:ilvl w:val="0"/>
          <w:numId w:val="7"/>
        </w:numPr>
        <w:spacing w:lineRule="auto" w:line="240" w:before="0" w:after="0"/>
        <w:ind w:hanging="284" w:left="284"/>
        <w:contextualSpacing/>
        <w:jc w:val="both"/>
        <w:rPr>
          <w:rFonts w:ascii="Times New Roman" w:hAnsi="Times New Roman"/>
          <w:sz w:val="20"/>
          <w:szCs w:val="20"/>
          <w:lang w:val="en-US"/>
        </w:rPr>
      </w:pPr>
      <w:r>
        <w:rPr>
          <w:rFonts w:ascii="Times New Roman" w:hAnsi="Times New Roman"/>
          <w:sz w:val="20"/>
          <w:szCs w:val="20"/>
          <w:lang w:val="en-US"/>
        </w:rPr>
        <w:t>The data that support the findings of this study are available from [third party]. Restrictions apply to the availability of these data, which were used under license for this study. Data are available [from the authors / at URL] with the permission of [third party].</w:t>
      </w:r>
    </w:p>
    <w:p>
      <w:pPr>
        <w:pStyle w:val="ListParagraph"/>
        <w:numPr>
          <w:ilvl w:val="0"/>
          <w:numId w:val="7"/>
        </w:numPr>
        <w:spacing w:lineRule="auto" w:line="240" w:before="0" w:after="0"/>
        <w:ind w:hanging="284" w:left="284"/>
        <w:contextualSpacing/>
        <w:jc w:val="both"/>
        <w:rPr>
          <w:rFonts w:ascii="Times New Roman" w:hAnsi="Times New Roman"/>
          <w:sz w:val="20"/>
          <w:szCs w:val="20"/>
          <w:lang w:val="en-US"/>
        </w:rPr>
      </w:pPr>
      <w:r>
        <w:rPr>
          <w:rFonts w:ascii="Times New Roman" w:hAnsi="Times New Roman"/>
          <w:sz w:val="20"/>
          <w:szCs w:val="20"/>
          <w:lang w:val="en-US"/>
        </w:rPr>
        <w:t>The authors confirm that the data supporting the findings of this study are available within the article [and/or its supplementary materials].</w:t>
      </w:r>
    </w:p>
    <w:p>
      <w:pPr>
        <w:pStyle w:val="ListParagraph"/>
        <w:numPr>
          <w:ilvl w:val="0"/>
          <w:numId w:val="7"/>
        </w:numPr>
        <w:spacing w:lineRule="auto" w:line="240" w:before="0" w:after="0"/>
        <w:ind w:hanging="284" w:left="284"/>
        <w:contextualSpacing/>
        <w:jc w:val="both"/>
        <w:rPr>
          <w:rFonts w:ascii="Times New Roman" w:hAnsi="Times New Roman"/>
          <w:sz w:val="20"/>
          <w:szCs w:val="20"/>
          <w:lang w:val="en-US"/>
        </w:rPr>
      </w:pPr>
      <w:r>
        <w:rPr>
          <w:rFonts w:ascii="Times New Roman" w:hAnsi="Times New Roman"/>
          <w:sz w:val="20"/>
          <w:szCs w:val="20"/>
          <w:lang w:val="en-US"/>
        </w:rPr>
        <w:t xml:space="preserve">The data that support the findings of this study are available from the corresponding author, </w:t>
      </w:r>
      <w:r>
        <w:rPr>
          <w:rFonts w:ascii="Times New Roman" w:hAnsi="Times New Roman"/>
          <w:sz w:val="20"/>
          <w:szCs w:val="20"/>
        </w:rPr>
        <w:t>[initials: AB]</w:t>
      </w:r>
      <w:r>
        <w:rPr>
          <w:rFonts w:ascii="Times New Roman" w:hAnsi="Times New Roman"/>
          <w:sz w:val="20"/>
          <w:szCs w:val="20"/>
          <w:lang w:val="en-US"/>
        </w:rPr>
        <w:t>, upon reasonable request.</w:t>
      </w:r>
    </w:p>
    <w:p>
      <w:pPr>
        <w:pStyle w:val="ListParagraph"/>
        <w:numPr>
          <w:ilvl w:val="0"/>
          <w:numId w:val="7"/>
        </w:numPr>
        <w:spacing w:lineRule="auto" w:line="240" w:before="0" w:after="0"/>
        <w:ind w:hanging="284" w:left="284"/>
        <w:contextualSpacing/>
        <w:jc w:val="both"/>
        <w:rPr>
          <w:rFonts w:ascii="Times New Roman" w:hAnsi="Times New Roman"/>
          <w:sz w:val="20"/>
          <w:szCs w:val="20"/>
          <w:lang w:val="en-US"/>
        </w:rPr>
      </w:pPr>
      <w:r>
        <w:rPr>
          <w:rFonts w:ascii="Times New Roman" w:hAnsi="Times New Roman"/>
          <w:sz w:val="20"/>
          <w:szCs w:val="20"/>
          <w:lang w:val="en-US"/>
        </w:rPr>
        <w:t>Data availability is not applicable to this paper as no new data were created or analyzed in this study.</w:t>
      </w:r>
    </w:p>
    <w:p>
      <w:pPr>
        <w:pStyle w:val="Normal"/>
        <w:jc w:val="both"/>
        <w:rPr/>
      </w:pPr>
      <w:r>
        <w:rPr/>
      </w:r>
    </w:p>
    <w:p>
      <w:pPr>
        <w:pStyle w:val="Normal"/>
        <w:rPr>
          <w:rStyle w:val="apple-style-span"/>
          <w:bCs/>
          <w:color w:val="000000"/>
        </w:rPr>
      </w:pPr>
      <w:r>
        <w:rPr>
          <w:bCs/>
          <w:color w:val="000000"/>
        </w:rPr>
      </w:r>
    </w:p>
    <w:p>
      <w:pPr>
        <w:pStyle w:val="Normal"/>
        <w:rPr>
          <w:color w:val="000000"/>
        </w:rPr>
      </w:pPr>
      <w:r>
        <w:rPr>
          <w:rStyle w:val="apple-style-span"/>
          <w:b/>
          <w:color w:val="000000"/>
        </w:rPr>
        <w:t xml:space="preserve">REFERENCES </w:t>
      </w:r>
      <w:r>
        <w:rPr>
          <w:b/>
          <w:bCs/>
        </w:rPr>
        <w:t>(10 PT)</w:t>
      </w:r>
    </w:p>
    <w:p>
      <w:pPr>
        <w:pStyle w:val="Normal"/>
        <w:ind w:firstLine="720"/>
        <w:jc w:val="both"/>
        <w:rPr>
          <w:color w:val="000000"/>
          <w:sz w:val="16"/>
          <w:szCs w:val="16"/>
        </w:rPr>
      </w:pPr>
      <w:bookmarkStart w:id="25" w:name="_Hlk80021798"/>
      <w:bookmarkStart w:id="26" w:name="_Hlk78354957"/>
      <w:bookmarkEnd w:id="26"/>
      <w:r>
        <w:rPr>
          <w:color w:val="000000"/>
          <w:sz w:val="16"/>
          <w:szCs w:val="16"/>
        </w:rPr>
        <w:t xml:space="preserve">The main references are international journals and proceedings. All references should be to the most pertinent, </w:t>
      </w:r>
      <w:r>
        <w:rPr>
          <w:b/>
          <w:bCs/>
          <w:color w:val="000000"/>
          <w:sz w:val="16"/>
          <w:szCs w:val="16"/>
        </w:rPr>
        <w:t>up-to-date sources</w:t>
      </w:r>
      <w:r>
        <w:rPr>
          <w:color w:val="000000"/>
          <w:sz w:val="16"/>
          <w:szCs w:val="16"/>
        </w:rPr>
        <w:t xml:space="preserve">, and the </w:t>
      </w:r>
      <w:r>
        <w:rPr>
          <w:b/>
          <w:bCs/>
          <w:color w:val="000000"/>
          <w:sz w:val="16"/>
          <w:szCs w:val="16"/>
        </w:rPr>
        <w:t>minimum number of references</w:t>
      </w:r>
      <w:r>
        <w:rPr>
          <w:color w:val="000000"/>
          <w:sz w:val="16"/>
          <w:szCs w:val="16"/>
        </w:rPr>
        <w:t xml:space="preserve"> should be </w:t>
      </w:r>
      <w:r>
        <w:rPr>
          <w:b/>
          <w:bCs/>
          <w:color w:val="000000"/>
          <w:sz w:val="16"/>
          <w:szCs w:val="16"/>
        </w:rPr>
        <w:t>25</w:t>
      </w:r>
      <w:r>
        <w:rPr>
          <w:color w:val="000000"/>
          <w:sz w:val="16"/>
          <w:szCs w:val="16"/>
        </w:rPr>
        <w:t xml:space="preserve"> (for original research papers) and </w:t>
      </w:r>
      <w:r>
        <w:rPr>
          <w:b/>
          <w:bCs/>
          <w:color w:val="000000"/>
          <w:sz w:val="16"/>
          <w:szCs w:val="16"/>
        </w:rPr>
        <w:t>50</w:t>
      </w:r>
      <w:r>
        <w:rPr>
          <w:color w:val="000000"/>
          <w:sz w:val="16"/>
          <w:szCs w:val="16"/>
        </w:rPr>
        <w:t xml:space="preserve"> (for review papers). References are written in IEEE style. You can access a more comprehensive guide at http://ipmuonline.com/guide/refstyle.pdf. Use a tool such as EndNote, Mendeley, or Zotero for reference management and formatting; choose IEEE style. Please use a consistent format for references—see examples (8 pt):</w:t>
      </w:r>
    </w:p>
    <w:p>
      <w:pPr>
        <w:pStyle w:val="Normal"/>
        <w:jc w:val="both"/>
        <w:rPr>
          <w:color w:val="000000"/>
        </w:rPr>
      </w:pPr>
      <w:r>
        <w:rPr>
          <w:color w:val="000000"/>
        </w:rPr>
      </w:r>
      <w:bookmarkStart w:id="27" w:name="_Hlk78354957"/>
      <w:bookmarkStart w:id="28" w:name="_Hlk80002086"/>
      <w:bookmarkStart w:id="29" w:name="_Hlk78354957"/>
      <w:bookmarkStart w:id="30" w:name="_Hlk80002086"/>
      <w:bookmarkEnd w:id="29"/>
    </w:p>
    <w:p>
      <w:pPr>
        <w:pStyle w:val="ListParagraph"/>
        <w:numPr>
          <w:ilvl w:val="0"/>
          <w:numId w:val="5"/>
        </w:numPr>
        <w:spacing w:lineRule="auto" w:line="240" w:before="0" w:after="0"/>
        <w:ind w:hanging="426" w:left="426"/>
        <w:contextualSpacing/>
        <w:jc w:val="both"/>
        <w:rPr>
          <w:rFonts w:ascii="Times New Roman" w:hAnsi="Times New Roman"/>
          <w:b/>
          <w:bCs/>
          <w:sz w:val="18"/>
          <w:szCs w:val="18"/>
          <w:lang w:val="en-US"/>
        </w:rPr>
      </w:pPr>
      <w:bookmarkStart w:id="31" w:name="_Hlk80001145"/>
      <w:bookmarkStart w:id="32" w:name="_Hlk65223902"/>
      <w:r>
        <w:rPr>
          <w:rFonts w:ascii="Times New Roman" w:hAnsi="Times New Roman"/>
          <w:b/>
          <w:bCs/>
          <w:sz w:val="18"/>
          <w:szCs w:val="18"/>
          <w:lang w:val="en-US"/>
        </w:rPr>
        <w:t>Journal/Periodicals</w:t>
      </w:r>
    </w:p>
    <w:p>
      <w:pPr>
        <w:pStyle w:val="Default"/>
        <w:jc w:val="both"/>
        <w:rPr>
          <w:rFonts w:cs="Times New Roman"/>
          <w:sz w:val="16"/>
          <w:szCs w:val="16"/>
        </w:rPr>
      </w:pPr>
      <w:r>
        <w:rPr>
          <w:rFonts w:cs="Times New Roman"/>
          <w:i/>
          <w:iCs/>
          <w:sz w:val="16"/>
          <w:szCs w:val="16"/>
        </w:rPr>
        <w:t xml:space="preserve">Basic Format: </w:t>
      </w:r>
    </w:p>
    <w:p>
      <w:pPr>
        <w:pStyle w:val="Normal"/>
        <w:jc w:val="both"/>
        <w:rPr>
          <w:color w:val="000000"/>
          <w:sz w:val="16"/>
          <w:szCs w:val="16"/>
        </w:rPr>
      </w:pPr>
      <w:r>
        <w:rPr>
          <w:color w:val="000000"/>
          <w:sz w:val="16"/>
          <w:szCs w:val="16"/>
        </w:rPr>
        <w:t xml:space="preserve">J. K. Author, “Title of paper,” </w:t>
      </w:r>
      <w:r>
        <w:rPr>
          <w:i/>
          <w:iCs/>
          <w:color w:val="000000"/>
          <w:sz w:val="16"/>
          <w:szCs w:val="16"/>
        </w:rPr>
        <w:t>Abbrev. Title of Journal/Periodical</w:t>
      </w:r>
      <w:r>
        <w:rPr>
          <w:color w:val="000000"/>
          <w:sz w:val="16"/>
          <w:szCs w:val="16"/>
        </w:rPr>
        <w:t xml:space="preserve">, vol. </w:t>
      </w:r>
      <w:r>
        <w:rPr>
          <w:i/>
          <w:iCs/>
          <w:color w:val="000000"/>
          <w:sz w:val="16"/>
          <w:szCs w:val="16"/>
        </w:rPr>
        <w:t xml:space="preserve">x, </w:t>
      </w:r>
      <w:r>
        <w:rPr>
          <w:color w:val="000000"/>
          <w:sz w:val="16"/>
          <w:szCs w:val="16"/>
        </w:rPr>
        <w:t xml:space="preserve">no. </w:t>
      </w:r>
      <w:r>
        <w:rPr>
          <w:i/>
          <w:iCs/>
          <w:color w:val="000000"/>
          <w:sz w:val="16"/>
          <w:szCs w:val="16"/>
        </w:rPr>
        <w:t xml:space="preserve">x, </w:t>
      </w:r>
      <w:r>
        <w:rPr>
          <w:color w:val="000000"/>
          <w:sz w:val="16"/>
          <w:szCs w:val="16"/>
        </w:rPr>
        <w:t>pp</w:t>
      </w:r>
      <w:r>
        <w:rPr>
          <w:i/>
          <w:iCs/>
          <w:color w:val="000000"/>
          <w:sz w:val="16"/>
          <w:szCs w:val="16"/>
        </w:rPr>
        <w:t xml:space="preserve">. xxx-xxx, </w:t>
      </w:r>
      <w:r>
        <w:rPr>
          <w:color w:val="000000"/>
          <w:sz w:val="16"/>
          <w:szCs w:val="16"/>
        </w:rPr>
        <w:t xml:space="preserve">Abbrev. Month, year, doi: </w:t>
      </w:r>
      <w:r>
        <w:rPr>
          <w:i/>
          <w:iCs/>
          <w:color w:val="000000"/>
          <w:sz w:val="16"/>
          <w:szCs w:val="16"/>
        </w:rPr>
        <w:t>xxx</w:t>
      </w:r>
      <w:r>
        <w:rPr>
          <w:color w:val="000000"/>
          <w:sz w:val="16"/>
          <w:szCs w:val="16"/>
        </w:rPr>
        <w:t xml:space="preserve">. </w:t>
      </w:r>
    </w:p>
    <w:p>
      <w:pPr>
        <w:pStyle w:val="Default"/>
        <w:jc w:val="both"/>
        <w:rPr>
          <w:rFonts w:cs="Times New Roman"/>
          <w:color w:val="212121"/>
          <w:sz w:val="16"/>
          <w:szCs w:val="16"/>
        </w:rPr>
      </w:pPr>
      <w:bookmarkStart w:id="33" w:name="_Hlk65223902"/>
      <w:r>
        <w:rPr>
          <w:rFonts w:cs="Times New Roman"/>
          <w:i/>
          <w:iCs/>
          <w:color w:val="212121"/>
          <w:sz w:val="16"/>
          <w:szCs w:val="16"/>
        </w:rPr>
        <w:t xml:space="preserve">Examples: </w:t>
      </w:r>
      <w:bookmarkEnd w:id="33"/>
    </w:p>
    <w:p>
      <w:pPr>
        <w:pStyle w:val="Default"/>
        <w:numPr>
          <w:ilvl w:val="0"/>
          <w:numId w:val="6"/>
        </w:numPr>
        <w:ind w:hanging="360" w:left="426"/>
        <w:jc w:val="both"/>
        <w:rPr>
          <w:rFonts w:cs="Times New Roman"/>
          <w:sz w:val="16"/>
          <w:szCs w:val="16"/>
        </w:rPr>
      </w:pPr>
      <w:r>
        <w:rPr>
          <w:rFonts w:cs="Times New Roman"/>
          <w:sz w:val="16"/>
          <w:szCs w:val="16"/>
        </w:rPr>
        <w:t xml:space="preserve">M. M. Chiampi and L. L. Zilberti, “Induction of electric field in human bodies moving near MRI: An efficient BEM computational procedure,” </w:t>
      </w:r>
      <w:r>
        <w:rPr>
          <w:rFonts w:cs="Times New Roman"/>
          <w:i/>
          <w:iCs/>
          <w:sz w:val="16"/>
          <w:szCs w:val="16"/>
        </w:rPr>
        <w:t>IEEE Trans. Biomed. Eng.</w:t>
      </w:r>
      <w:r>
        <w:rPr>
          <w:rFonts w:cs="Times New Roman"/>
          <w:sz w:val="16"/>
          <w:szCs w:val="16"/>
        </w:rPr>
        <w:t>, vol. 58, pp. 2787–2793, Oct. 2011, doi: 10.1109/TBME.2011.2158315.</w:t>
      </w:r>
    </w:p>
    <w:p>
      <w:pPr>
        <w:pStyle w:val="Default"/>
        <w:ind w:left="426"/>
        <w:jc w:val="both"/>
        <w:rPr>
          <w:rFonts w:cs="Times New Roman"/>
          <w:sz w:val="16"/>
          <w:szCs w:val="16"/>
        </w:rPr>
      </w:pPr>
      <w:r>
        <w:rPr>
          <w:rFonts w:cs="Times New Roman"/>
          <w:sz w:val="16"/>
          <w:szCs w:val="16"/>
        </w:rPr>
        <w:t xml:space="preserve"> </w:t>
      </w:r>
      <w:r>
        <w:rPr>
          <w:rFonts w:cs="Times New Roman"/>
          <w:sz w:val="16"/>
          <w:szCs w:val="16"/>
        </w:rPr>
        <w:t xml:space="preserve">R. Fardel, M. Nagel, F. Nuesch, T. Lippert, and A. Wokaun, “Fabrication of organic light emitting diode pixels by laser-assisted forward transfer,” </w:t>
      </w:r>
      <w:r>
        <w:rPr>
          <w:rFonts w:cs="Times New Roman"/>
          <w:i/>
          <w:iCs/>
          <w:sz w:val="16"/>
          <w:szCs w:val="16"/>
        </w:rPr>
        <w:t>Appl. Phys. Lett.</w:t>
      </w:r>
      <w:r>
        <w:rPr>
          <w:rFonts w:cs="Times New Roman"/>
          <w:sz w:val="16"/>
          <w:szCs w:val="16"/>
        </w:rPr>
        <w:t xml:space="preserve">, vol. 91, no. 6, Aug. 2007, Art. no. 061103, doi: 10.1063/1.2759475. </w:t>
      </w:r>
    </w:p>
    <w:p>
      <w:pPr>
        <w:pStyle w:val="Normal"/>
        <w:tabs>
          <w:tab w:val="clear" w:pos="720"/>
          <w:tab w:val="left" w:pos="2038" w:leader="none"/>
        </w:tabs>
        <w:jc w:val="both"/>
        <w:rPr>
          <w:color w:val="000000"/>
          <w:sz w:val="18"/>
          <w:szCs w:val="18"/>
        </w:rPr>
      </w:pPr>
      <w:r>
        <w:rPr>
          <w:color w:val="000000"/>
          <w:sz w:val="18"/>
          <w:szCs w:val="18"/>
        </w:rPr>
        <w:tab/>
      </w:r>
    </w:p>
    <w:p>
      <w:pPr>
        <w:pStyle w:val="Normal"/>
        <w:tabs>
          <w:tab w:val="clear" w:pos="720"/>
          <w:tab w:val="left" w:pos="2038" w:leader="none"/>
        </w:tabs>
        <w:jc w:val="both"/>
        <w:rPr>
          <w:color w:val="000000"/>
          <w:sz w:val="18"/>
          <w:szCs w:val="18"/>
        </w:rPr>
      </w:pPr>
      <w:r>
        <w:rPr>
          <w:color w:val="000000"/>
          <w:sz w:val="18"/>
          <w:szCs w:val="18"/>
        </w:rPr>
      </w:r>
    </w:p>
    <w:p>
      <w:pPr>
        <w:pStyle w:val="ListParagraph"/>
        <w:numPr>
          <w:ilvl w:val="0"/>
          <w:numId w:val="5"/>
        </w:numPr>
        <w:spacing w:lineRule="auto" w:line="240" w:before="0" w:after="0"/>
        <w:ind w:hanging="426" w:left="426"/>
        <w:contextualSpacing/>
        <w:jc w:val="both"/>
        <w:rPr>
          <w:rFonts w:ascii="Times New Roman" w:hAnsi="Times New Roman"/>
          <w:color w:val="000000"/>
          <w:sz w:val="18"/>
          <w:szCs w:val="18"/>
          <w:lang w:val="en-US"/>
        </w:rPr>
      </w:pPr>
      <w:r>
        <w:rPr>
          <w:rFonts w:ascii="Times New Roman" w:hAnsi="Times New Roman"/>
          <w:b/>
          <w:bCs/>
          <w:sz w:val="18"/>
          <w:szCs w:val="18"/>
          <w:lang w:val="en-US"/>
        </w:rPr>
        <w:t xml:space="preserve">Conference Proceedings </w:t>
      </w:r>
    </w:p>
    <w:p>
      <w:pPr>
        <w:pStyle w:val="Default"/>
        <w:jc w:val="both"/>
        <w:rPr>
          <w:rFonts w:cs="Times New Roman"/>
          <w:sz w:val="16"/>
          <w:szCs w:val="16"/>
        </w:rPr>
      </w:pPr>
      <w:r>
        <w:rPr>
          <w:rFonts w:cs="Times New Roman"/>
          <w:i/>
          <w:iCs/>
          <w:sz w:val="16"/>
          <w:szCs w:val="16"/>
        </w:rPr>
        <w:t xml:space="preserve">Basic Format: </w:t>
      </w:r>
    </w:p>
    <w:p>
      <w:pPr>
        <w:pStyle w:val="Normal"/>
        <w:jc w:val="both"/>
        <w:rPr>
          <w:color w:val="000000"/>
          <w:spacing w:val="-2"/>
          <w:sz w:val="16"/>
          <w:szCs w:val="16"/>
        </w:rPr>
      </w:pPr>
      <w:r>
        <w:rPr>
          <w:color w:val="000000"/>
          <w:spacing w:val="-2"/>
          <w:sz w:val="16"/>
          <w:szCs w:val="16"/>
        </w:rPr>
        <w:t xml:space="preserve">J. K. Author, “Title of paper,” in </w:t>
      </w:r>
      <w:r>
        <w:rPr>
          <w:i/>
          <w:iCs/>
          <w:color w:val="000000"/>
          <w:spacing w:val="-2"/>
          <w:sz w:val="16"/>
          <w:szCs w:val="16"/>
        </w:rPr>
        <w:t>Abbreviated Name of Conf.</w:t>
      </w:r>
      <w:r>
        <w:rPr>
          <w:color w:val="000000"/>
          <w:spacing w:val="-2"/>
          <w:sz w:val="16"/>
          <w:szCs w:val="16"/>
        </w:rPr>
        <w:t xml:space="preserve">, (location of conference is optional), year, pp. </w:t>
      </w:r>
      <w:r>
        <w:rPr>
          <w:i/>
          <w:iCs/>
          <w:color w:val="000000"/>
          <w:spacing w:val="-2"/>
          <w:sz w:val="16"/>
          <w:szCs w:val="16"/>
        </w:rPr>
        <w:t>xxx–xxx</w:t>
      </w:r>
      <w:r>
        <w:rPr>
          <w:color w:val="000000"/>
          <w:spacing w:val="-2"/>
          <w:sz w:val="16"/>
          <w:szCs w:val="16"/>
        </w:rPr>
        <w:t xml:space="preserve">, doi: </w:t>
      </w:r>
      <w:r>
        <w:rPr>
          <w:i/>
          <w:iCs/>
          <w:color w:val="000000"/>
          <w:spacing w:val="-2"/>
          <w:sz w:val="16"/>
          <w:szCs w:val="16"/>
        </w:rPr>
        <w:t xml:space="preserve">xxx. </w:t>
      </w:r>
    </w:p>
    <w:p>
      <w:pPr>
        <w:pStyle w:val="Default"/>
        <w:jc w:val="both"/>
        <w:rPr>
          <w:rFonts w:cs="Times New Roman"/>
          <w:i/>
          <w:i/>
          <w:iCs/>
          <w:sz w:val="16"/>
          <w:szCs w:val="16"/>
        </w:rPr>
      </w:pPr>
      <w:r>
        <w:rPr>
          <w:rFonts w:cs="Times New Roman"/>
          <w:i/>
          <w:iCs/>
          <w:sz w:val="16"/>
          <w:szCs w:val="16"/>
        </w:rPr>
        <w:t xml:space="preserve">Examples: </w:t>
      </w:r>
    </w:p>
    <w:p>
      <w:pPr>
        <w:pStyle w:val="Default"/>
        <w:numPr>
          <w:ilvl w:val="0"/>
          <w:numId w:val="6"/>
        </w:numPr>
        <w:ind w:hanging="360" w:left="426"/>
        <w:jc w:val="both"/>
        <w:rPr>
          <w:rFonts w:cs="Times New Roman"/>
          <w:sz w:val="16"/>
          <w:szCs w:val="16"/>
        </w:rPr>
      </w:pPr>
      <w:r>
        <w:rPr>
          <w:rFonts w:cs="Times New Roman"/>
          <w:sz w:val="16"/>
          <w:szCs w:val="16"/>
        </w:rPr>
        <w:t xml:space="preserve">G. Veruggio, “The EURON roboethics roadmap,” in </w:t>
      </w:r>
      <w:r>
        <w:rPr>
          <w:rFonts w:cs="Times New Roman"/>
          <w:i/>
          <w:iCs/>
          <w:sz w:val="16"/>
          <w:szCs w:val="16"/>
        </w:rPr>
        <w:t>Proc. Humanoids ’06: 6th IEEE-RAS Int. Conf. Humanoid Robots</w:t>
      </w:r>
      <w:r>
        <w:rPr>
          <w:rFonts w:cs="Times New Roman"/>
          <w:sz w:val="16"/>
          <w:szCs w:val="16"/>
        </w:rPr>
        <w:t xml:space="preserve">, 2006, pp. 612–617, doi: 10.1109/ICHR.2006.321337. </w:t>
      </w:r>
    </w:p>
    <w:p>
      <w:pPr>
        <w:pStyle w:val="Default"/>
        <w:numPr>
          <w:ilvl w:val="0"/>
          <w:numId w:val="6"/>
        </w:numPr>
        <w:ind w:hanging="360" w:left="426"/>
        <w:jc w:val="both"/>
        <w:rPr>
          <w:rFonts w:cs="Times New Roman"/>
          <w:sz w:val="16"/>
          <w:szCs w:val="16"/>
        </w:rPr>
      </w:pPr>
      <w:r>
        <w:rPr>
          <w:rFonts w:cs="Times New Roman"/>
          <w:sz w:val="16"/>
          <w:szCs w:val="16"/>
        </w:rPr>
        <w:t xml:space="preserve">J. Zhao, G. Sun, G. H. Loh, and Y. Xie, “Energy-efficient GPU design with reconfigurable in-package graphics memory,” in </w:t>
      </w:r>
      <w:r>
        <w:rPr>
          <w:rFonts w:cs="Times New Roman"/>
          <w:i/>
          <w:iCs/>
          <w:sz w:val="16"/>
          <w:szCs w:val="16"/>
        </w:rPr>
        <w:t>Proc. ACM/IEEE Int. Symp. Low Power Electron. Design (ISLPED)</w:t>
      </w:r>
      <w:r>
        <w:rPr>
          <w:rFonts w:cs="Times New Roman"/>
          <w:sz w:val="16"/>
          <w:szCs w:val="16"/>
        </w:rPr>
        <w:t xml:space="preserve">, Jul. 2012, pp. 403–408, doi: 10.1145/2333660.2333752. </w:t>
      </w:r>
    </w:p>
    <w:p>
      <w:pPr>
        <w:pStyle w:val="Normal"/>
        <w:jc w:val="both"/>
        <w:rPr>
          <w:b/>
          <w:bCs/>
        </w:rPr>
      </w:pPr>
      <w:r>
        <w:rPr>
          <w:b/>
          <w:bCs/>
        </w:rPr>
      </w:r>
    </w:p>
    <w:p>
      <w:pPr>
        <w:pStyle w:val="ListParagraph"/>
        <w:numPr>
          <w:ilvl w:val="0"/>
          <w:numId w:val="5"/>
        </w:numPr>
        <w:spacing w:lineRule="auto" w:line="240" w:before="0" w:after="0"/>
        <w:ind w:hanging="426" w:left="426"/>
        <w:contextualSpacing/>
        <w:jc w:val="both"/>
        <w:rPr>
          <w:rFonts w:ascii="Times New Roman" w:hAnsi="Times New Roman"/>
          <w:b/>
          <w:bCs/>
          <w:sz w:val="18"/>
          <w:szCs w:val="18"/>
          <w:lang w:val="en-US"/>
        </w:rPr>
      </w:pPr>
      <w:r>
        <w:rPr>
          <w:rFonts w:ascii="Times New Roman" w:hAnsi="Times New Roman"/>
          <w:b/>
          <w:bCs/>
          <w:sz w:val="18"/>
          <w:szCs w:val="18"/>
          <w:lang w:val="en-US"/>
        </w:rPr>
        <w:t>Book</w:t>
      </w:r>
    </w:p>
    <w:p>
      <w:pPr>
        <w:pStyle w:val="Default"/>
        <w:jc w:val="both"/>
        <w:rPr>
          <w:rFonts w:cs="Times New Roman"/>
          <w:i/>
          <w:i/>
          <w:iCs/>
          <w:sz w:val="16"/>
          <w:szCs w:val="16"/>
        </w:rPr>
      </w:pPr>
      <w:r>
        <w:rPr>
          <w:rFonts w:cs="Times New Roman"/>
          <w:i/>
          <w:iCs/>
          <w:sz w:val="16"/>
          <w:szCs w:val="16"/>
        </w:rPr>
        <w:t xml:space="preserve">Basic Format: </w:t>
      </w:r>
    </w:p>
    <w:p>
      <w:pPr>
        <w:pStyle w:val="Normal"/>
        <w:jc w:val="both"/>
        <w:rPr>
          <w:color w:val="000000"/>
          <w:sz w:val="16"/>
          <w:szCs w:val="16"/>
        </w:rPr>
      </w:pPr>
      <w:r>
        <w:rPr>
          <w:color w:val="000000"/>
          <w:sz w:val="16"/>
          <w:szCs w:val="16"/>
        </w:rPr>
        <w:t xml:space="preserve">J. K. Author, “Title of chapter in the book,” in </w:t>
      </w:r>
      <w:r>
        <w:rPr>
          <w:i/>
          <w:iCs/>
          <w:color w:val="000000"/>
          <w:sz w:val="16"/>
          <w:szCs w:val="16"/>
        </w:rPr>
        <w:t>Title of His Published Book</w:t>
      </w:r>
      <w:r>
        <w:rPr>
          <w:color w:val="000000"/>
          <w:sz w:val="16"/>
          <w:szCs w:val="16"/>
        </w:rPr>
        <w:t xml:space="preserve">, X. Editor, Ed., </w:t>
      </w:r>
      <w:r>
        <w:rPr>
          <w:i/>
          <w:iCs/>
          <w:color w:val="000000"/>
          <w:sz w:val="16"/>
          <w:szCs w:val="16"/>
        </w:rPr>
        <w:t>x</w:t>
      </w:r>
      <w:r>
        <w:rPr>
          <w:color w:val="000000"/>
          <w:sz w:val="16"/>
          <w:szCs w:val="16"/>
        </w:rPr>
        <w:t xml:space="preserve">th ed. City of Publisher, State (only U.S.), Country: Abbrev. of Publisher, year, ch. </w:t>
      </w:r>
      <w:r>
        <w:rPr>
          <w:i/>
          <w:iCs/>
          <w:color w:val="000000"/>
          <w:sz w:val="16"/>
          <w:szCs w:val="16"/>
        </w:rPr>
        <w:t>x</w:t>
      </w:r>
      <w:r>
        <w:rPr>
          <w:color w:val="000000"/>
          <w:sz w:val="16"/>
          <w:szCs w:val="16"/>
        </w:rPr>
        <w:t xml:space="preserve">, sec. </w:t>
      </w:r>
      <w:r>
        <w:rPr>
          <w:i/>
          <w:iCs/>
          <w:color w:val="000000"/>
          <w:sz w:val="16"/>
          <w:szCs w:val="16"/>
        </w:rPr>
        <w:t>x</w:t>
      </w:r>
      <w:r>
        <w:rPr>
          <w:color w:val="000000"/>
          <w:sz w:val="16"/>
          <w:szCs w:val="16"/>
        </w:rPr>
        <w:t xml:space="preserve">, pp. </w:t>
      </w:r>
      <w:r>
        <w:rPr>
          <w:i/>
          <w:iCs/>
          <w:color w:val="000000"/>
          <w:sz w:val="16"/>
          <w:szCs w:val="16"/>
        </w:rPr>
        <w:t xml:space="preserve">xxx–xxx. </w:t>
      </w:r>
    </w:p>
    <w:p>
      <w:pPr>
        <w:pStyle w:val="Normal"/>
        <w:jc w:val="both"/>
        <w:rPr>
          <w:i/>
          <w:i/>
          <w:iCs/>
          <w:sz w:val="16"/>
          <w:szCs w:val="16"/>
        </w:rPr>
      </w:pPr>
      <w:r>
        <w:rPr>
          <w:i/>
          <w:iCs/>
          <w:sz w:val="16"/>
          <w:szCs w:val="16"/>
        </w:rPr>
        <w:t>Examples:</w:t>
      </w:r>
    </w:p>
    <w:p>
      <w:pPr>
        <w:pStyle w:val="Default"/>
        <w:numPr>
          <w:ilvl w:val="0"/>
          <w:numId w:val="6"/>
        </w:numPr>
        <w:ind w:hanging="360" w:left="426"/>
        <w:jc w:val="both"/>
        <w:rPr>
          <w:rFonts w:cs="Times New Roman"/>
          <w:sz w:val="16"/>
          <w:szCs w:val="16"/>
        </w:rPr>
      </w:pPr>
      <w:r>
        <w:rPr>
          <w:rFonts w:cs="Times New Roman"/>
          <w:sz w:val="16"/>
          <w:szCs w:val="16"/>
        </w:rPr>
        <w:t xml:space="preserve">A. Taflove, </w:t>
      </w:r>
      <w:r>
        <w:rPr>
          <w:rFonts w:cs="Times New Roman"/>
          <w:i/>
          <w:iCs/>
          <w:sz w:val="16"/>
          <w:szCs w:val="16"/>
        </w:rPr>
        <w:t xml:space="preserve">Computational Electrodynamics: The Finite-Difference Time-Domain Method </w:t>
      </w:r>
      <w:r>
        <w:rPr>
          <w:rFonts w:cs="Times New Roman"/>
          <w:sz w:val="16"/>
          <w:szCs w:val="16"/>
        </w:rPr>
        <w:t xml:space="preserve">in Computational Electrodynamics II, vol. 3, 2nd ed. Norwood, MA, USA: Artech House, 1996. </w:t>
      </w:r>
    </w:p>
    <w:p>
      <w:pPr>
        <w:pStyle w:val="Default"/>
        <w:numPr>
          <w:ilvl w:val="0"/>
          <w:numId w:val="6"/>
        </w:numPr>
        <w:ind w:hanging="360" w:left="426"/>
        <w:jc w:val="both"/>
        <w:rPr>
          <w:rFonts w:cs="Times New Roman"/>
          <w:sz w:val="16"/>
          <w:szCs w:val="16"/>
        </w:rPr>
      </w:pPr>
      <w:r>
        <w:rPr>
          <w:rFonts w:cs="Times New Roman"/>
          <w:sz w:val="16"/>
          <w:szCs w:val="16"/>
        </w:rPr>
        <w:t xml:space="preserve">R. L. Myer, “Parametric oscillators and nonlinear materials,” in </w:t>
      </w:r>
      <w:r>
        <w:rPr>
          <w:rFonts w:cs="Times New Roman"/>
          <w:i/>
          <w:iCs/>
          <w:sz w:val="16"/>
          <w:szCs w:val="16"/>
        </w:rPr>
        <w:t>Nonlinear Optics</w:t>
      </w:r>
      <w:r>
        <w:rPr>
          <w:rFonts w:cs="Times New Roman"/>
          <w:sz w:val="16"/>
          <w:szCs w:val="16"/>
        </w:rPr>
        <w:t xml:space="preserve">, vol. 4, P. G. Harper and B. S. Wherret, Eds., San Francisco, CA, USA: Academic, 1977, pp. 47–160. </w:t>
      </w:r>
    </w:p>
    <w:p>
      <w:pPr>
        <w:pStyle w:val="Normal"/>
        <w:jc w:val="both"/>
        <w:rPr>
          <w:color w:val="000000"/>
        </w:rPr>
      </w:pPr>
      <w:r>
        <w:rPr>
          <w:color w:val="000000"/>
        </w:rPr>
      </w:r>
    </w:p>
    <w:p>
      <w:pPr>
        <w:pStyle w:val="ListParagraph"/>
        <w:numPr>
          <w:ilvl w:val="0"/>
          <w:numId w:val="5"/>
        </w:numPr>
        <w:spacing w:lineRule="auto" w:line="240" w:before="0" w:after="0"/>
        <w:ind w:hanging="426" w:left="426"/>
        <w:contextualSpacing/>
        <w:jc w:val="both"/>
        <w:rPr>
          <w:rFonts w:ascii="Times New Roman" w:hAnsi="Times New Roman"/>
          <w:b/>
          <w:bCs/>
          <w:sz w:val="18"/>
          <w:szCs w:val="18"/>
          <w:lang w:val="en-US"/>
        </w:rPr>
      </w:pPr>
      <w:r>
        <w:rPr>
          <w:rFonts w:ascii="Times New Roman" w:hAnsi="Times New Roman"/>
          <w:b/>
          <w:bCs/>
          <w:sz w:val="18"/>
          <w:szCs w:val="18"/>
          <w:lang w:val="en-US"/>
        </w:rPr>
        <w:t xml:space="preserve">M. Theses (B.S., M.S.) and Dissertations (Ph.D.) </w:t>
      </w:r>
    </w:p>
    <w:p>
      <w:pPr>
        <w:pStyle w:val="Default"/>
        <w:jc w:val="both"/>
        <w:rPr>
          <w:rFonts w:cs="Times New Roman"/>
          <w:sz w:val="16"/>
          <w:szCs w:val="16"/>
        </w:rPr>
      </w:pPr>
      <w:r>
        <w:rPr>
          <w:rFonts w:cs="Times New Roman"/>
          <w:i/>
          <w:iCs/>
          <w:sz w:val="16"/>
          <w:szCs w:val="16"/>
        </w:rPr>
        <w:t xml:space="preserve">Basic Format: </w:t>
      </w:r>
    </w:p>
    <w:p>
      <w:pPr>
        <w:pStyle w:val="Default"/>
        <w:jc w:val="both"/>
        <w:rPr>
          <w:rFonts w:cs="Times New Roman"/>
          <w:sz w:val="16"/>
          <w:szCs w:val="16"/>
        </w:rPr>
      </w:pPr>
      <w:r>
        <w:rPr>
          <w:rFonts w:cs="Times New Roman"/>
          <w:sz w:val="16"/>
          <w:szCs w:val="16"/>
        </w:rPr>
        <w:t xml:space="preserve">J. K. Author, “Title of thesis,” M.S. thesis, Abbrev. Dept., Abbrev. Univ., City of Univ., Abbrev. State, year. </w:t>
      </w:r>
    </w:p>
    <w:p>
      <w:pPr>
        <w:pStyle w:val="Default"/>
        <w:jc w:val="both"/>
        <w:rPr>
          <w:rFonts w:cs="Times New Roman"/>
          <w:sz w:val="16"/>
          <w:szCs w:val="16"/>
        </w:rPr>
      </w:pPr>
      <w:r>
        <w:rPr>
          <w:rFonts w:cs="Times New Roman"/>
          <w:sz w:val="16"/>
          <w:szCs w:val="16"/>
        </w:rPr>
        <w:t xml:space="preserve">J. K. Author, “Title of dissertation,” Ph.D. dissertation, Abbrev. Dept., Abbrev. Univ., City of Univ., Abbrev. State, year. </w:t>
      </w:r>
    </w:p>
    <w:p>
      <w:pPr>
        <w:pStyle w:val="Default"/>
        <w:jc w:val="both"/>
        <w:rPr>
          <w:rFonts w:cs="Times New Roman"/>
          <w:sz w:val="16"/>
          <w:szCs w:val="16"/>
        </w:rPr>
      </w:pPr>
      <w:r>
        <w:rPr>
          <w:rFonts w:cs="Times New Roman"/>
          <w:i/>
          <w:iCs/>
          <w:sz w:val="16"/>
          <w:szCs w:val="16"/>
        </w:rPr>
        <w:t xml:space="preserve">Examples: </w:t>
      </w:r>
    </w:p>
    <w:p>
      <w:pPr>
        <w:pStyle w:val="Default"/>
        <w:numPr>
          <w:ilvl w:val="0"/>
          <w:numId w:val="6"/>
        </w:numPr>
        <w:ind w:hanging="360" w:left="426"/>
        <w:jc w:val="both"/>
        <w:rPr>
          <w:rFonts w:cs="Times New Roman"/>
          <w:sz w:val="16"/>
          <w:szCs w:val="16"/>
        </w:rPr>
      </w:pPr>
      <w:r>
        <w:rPr>
          <w:rFonts w:cs="Times New Roman"/>
          <w:sz w:val="16"/>
          <w:szCs w:val="16"/>
        </w:rPr>
        <w:t xml:space="preserve">J. O. Williams, “Narrow-band analyzer,” Ph.D. dissertation, Dept. Elect. Eng., Harvard Univ., Cambridge, MA, USA, 1993. </w:t>
      </w:r>
    </w:p>
    <w:p>
      <w:pPr>
        <w:pStyle w:val="Default"/>
        <w:numPr>
          <w:ilvl w:val="0"/>
          <w:numId w:val="6"/>
        </w:numPr>
        <w:ind w:hanging="360" w:left="426"/>
        <w:jc w:val="both"/>
        <w:rPr>
          <w:rFonts w:cs="Times New Roman"/>
          <w:sz w:val="16"/>
          <w:szCs w:val="16"/>
        </w:rPr>
      </w:pPr>
      <w:r>
        <w:rPr>
          <w:rFonts w:cs="Times New Roman"/>
          <w:sz w:val="16"/>
          <w:szCs w:val="16"/>
        </w:rPr>
        <w:t xml:space="preserve">N. Kawasaki, “Parametric study of thermal and chemical nonequilibrium nozzle flow,” M.S. thesis, Dept. Electron. Eng., Osaka Univ., Osaka, Japan, 1993. </w:t>
      </w:r>
    </w:p>
    <w:p>
      <w:pPr>
        <w:pStyle w:val="Default"/>
        <w:rPr>
          <w:rFonts w:cs="Times New Roman"/>
          <w:sz w:val="20"/>
          <w:szCs w:val="20"/>
        </w:rPr>
      </w:pPr>
      <w:r>
        <w:rPr>
          <w:rFonts w:cs="Times New Roman"/>
          <w:sz w:val="20"/>
          <w:szCs w:val="20"/>
        </w:rPr>
      </w:r>
    </w:p>
    <w:p>
      <w:pPr>
        <w:pStyle w:val="Normal"/>
        <w:rPr>
          <w:color w:val="000000"/>
          <w:sz w:val="16"/>
          <w:szCs w:val="16"/>
        </w:rPr>
      </w:pPr>
      <w:r>
        <w:rPr>
          <w:color w:val="000000"/>
          <w:sz w:val="16"/>
          <w:szCs w:val="16"/>
        </w:rPr>
        <w:t xml:space="preserve">*In the reference list, however, list all the authors for up to six authors. Use </w:t>
      </w:r>
      <w:r>
        <w:rPr>
          <w:i/>
          <w:iCs/>
          <w:color w:val="000000"/>
          <w:sz w:val="16"/>
          <w:szCs w:val="16"/>
        </w:rPr>
        <w:t>et al.</w:t>
      </w:r>
      <w:r>
        <w:rPr>
          <w:color w:val="000000"/>
          <w:sz w:val="16"/>
          <w:szCs w:val="16"/>
        </w:rPr>
        <w:t xml:space="preserve"> only if: 1) The names are not given and 2) List of authors more than 6. </w:t>
      </w:r>
      <w:r>
        <w:rPr>
          <w:i/>
          <w:iCs/>
          <w:color w:val="000000"/>
          <w:sz w:val="16"/>
          <w:szCs w:val="16"/>
        </w:rPr>
        <w:t>Example</w:t>
      </w:r>
      <w:r>
        <w:rPr>
          <w:color w:val="000000"/>
          <w:sz w:val="16"/>
          <w:szCs w:val="16"/>
        </w:rPr>
        <w:t xml:space="preserve">: J. D. Bellamy </w:t>
      </w:r>
      <w:r>
        <w:rPr>
          <w:i/>
          <w:iCs/>
          <w:color w:val="000000"/>
          <w:sz w:val="16"/>
          <w:szCs w:val="16"/>
        </w:rPr>
        <w:t>et al.</w:t>
      </w:r>
      <w:r>
        <w:rPr>
          <w:color w:val="000000"/>
          <w:sz w:val="16"/>
          <w:szCs w:val="16"/>
        </w:rPr>
        <w:t>, Computer Telephony Integration, New York: Wiley, 2010.</w:t>
      </w:r>
      <w:bookmarkEnd w:id="25"/>
      <w:bookmarkEnd w:id="30"/>
      <w:bookmarkEnd w:id="31"/>
    </w:p>
    <w:p>
      <w:pPr>
        <w:pStyle w:val="Normal"/>
        <w:jc w:val="both"/>
        <w:rPr>
          <w:color w:val="000000"/>
        </w:rPr>
      </w:pPr>
      <w:r>
        <w:rPr>
          <w:color w:val="000000"/>
        </w:rPr>
      </w:r>
    </w:p>
    <w:p>
      <w:pPr>
        <w:pStyle w:val="Normal"/>
        <w:jc w:val="both"/>
        <w:rPr>
          <w:i/>
          <w:i/>
          <w:iCs/>
          <w:color w:val="000000"/>
          <w:sz w:val="16"/>
          <w:szCs w:val="16"/>
        </w:rPr>
      </w:pPr>
      <w:r>
        <w:rPr>
          <w:i/>
          <w:iCs/>
          <w:color w:val="000000"/>
          <w:sz w:val="16"/>
          <w:szCs w:val="16"/>
        </w:rPr>
        <w:t>See the examples:</w:t>
      </w:r>
    </w:p>
    <w:p>
      <w:pPr>
        <w:pStyle w:val="Normal"/>
        <w:jc w:val="both"/>
        <w:rPr>
          <w:i/>
          <w:i/>
          <w:iCs/>
          <w:color w:val="000000"/>
          <w:sz w:val="18"/>
          <w:szCs w:val="18"/>
        </w:rPr>
      </w:pPr>
      <w:bookmarkStart w:id="34" w:name="_Hlk78354977"/>
      <w:r>
        <w:rPr>
          <w:rStyle w:val="apple-style-span"/>
          <w:b/>
          <w:color w:val="000000"/>
        </w:rPr>
        <w:t>REFERENCES</w:t>
      </w:r>
      <w:bookmarkEnd w:id="34"/>
    </w:p>
    <w:p>
      <w:pPr>
        <w:pStyle w:val="Normal"/>
        <w:jc w:val="both"/>
        <w:rPr>
          <w:i/>
          <w:i/>
          <w:iCs/>
          <w:color w:val="000000"/>
          <w:sz w:val="18"/>
          <w:szCs w:val="18"/>
        </w:rPr>
      </w:pPr>
      <w:r>
        <w:rPr/>
      </w:r>
    </w:p>
    <w:p>
      <w:pPr>
        <w:pStyle w:val="Normal"/>
        <w:jc w:val="both"/>
        <w:rPr/>
      </w:pPr>
      <w:r>
        <w:rPr>
          <w:rStyle w:val="apple-style-span"/>
          <w:b w:val="false"/>
          <w:bCs w:val="false"/>
          <w:color w:val="000000"/>
          <w:sz w:val="16"/>
          <w:szCs w:val="16"/>
        </w:rPr>
        <w:t>[1]     R. A. Pratama y S. H. K. Purnamasari, "Adoption, diffusion, and innovation of IoT in Indonesian concrete manufacturing</w:t>
      </w:r>
    </w:p>
    <w:p>
      <w:pPr>
        <w:pStyle w:val="Normal"/>
        <w:jc w:val="both"/>
        <w:rPr/>
      </w:pPr>
      <w:r>
        <w:rPr>
          <w:rStyle w:val="apple-style-span"/>
          <w:b w:val="false"/>
          <w:bCs w:val="false"/>
          <w:color w:val="000000"/>
          <w:sz w:val="16"/>
          <w:szCs w:val="16"/>
        </w:rPr>
        <w:t xml:space="preserve">          </w:t>
      </w:r>
      <w:r>
        <w:rPr>
          <w:rStyle w:val="apple-style-span"/>
          <w:b w:val="false"/>
          <w:bCs w:val="false"/>
          <w:color w:val="000000"/>
          <w:sz w:val="16"/>
          <w:szCs w:val="16"/>
        </w:rPr>
        <w:t xml:space="preserve">Industry," </w:t>
      </w:r>
      <w:r>
        <w:rPr>
          <w:rStyle w:val="apple-style-span"/>
          <w:b w:val="false"/>
          <w:bCs w:val="false"/>
          <w:i/>
          <w:color w:val="000000"/>
          <w:sz w:val="16"/>
          <w:szCs w:val="16"/>
        </w:rPr>
        <w:t>Multidisciplinary Science Journal</w:t>
      </w:r>
      <w:r>
        <w:rPr>
          <w:rStyle w:val="apple-style-span"/>
          <w:b w:val="false"/>
          <w:bCs w:val="false"/>
          <w:color w:val="000000"/>
          <w:sz w:val="16"/>
          <w:szCs w:val="16"/>
        </w:rPr>
        <w:t>, vol. 5, no. 3, pp. 200-215, 2025. doi: 10.31893/multiscience.2026203.</w:t>
      </w:r>
    </w:p>
    <w:p>
      <w:pPr>
        <w:pStyle w:val="Normal"/>
        <w:jc w:val="both"/>
        <w:rPr>
          <w:i/>
          <w:i/>
          <w:iCs/>
          <w:color w:val="000000"/>
          <w:sz w:val="18"/>
          <w:szCs w:val="18"/>
        </w:rPr>
      </w:pPr>
      <w:r>
        <w:rPr/>
      </w:r>
    </w:p>
    <w:p>
      <w:pPr>
        <w:pStyle w:val="Normal"/>
        <w:widowControl w:val="false"/>
        <w:ind w:hanging="426" w:left="426"/>
        <w:jc w:val="both"/>
        <w:rPr>
          <w:sz w:val="16"/>
          <w:szCs w:val="16"/>
        </w:rPr>
      </w:pPr>
      <w:r>
        <w:fldChar w:fldCharType="begin"/>
      </w:r>
      <w:r>
        <w:rPr>
          <w:sz w:val="18"/>
          <w:szCs w:val="18"/>
          <w:color w:val="000000"/>
        </w:rPr>
        <w:instrText xml:space="preserve">ADDIN Mendeley Bibliography CSL_BIBLIOGRAPHY</w:instrText>
      </w:r>
      <w:r>
        <w:rPr>
          <w:color w:val="000000"/>
          <w:sz w:val="18"/>
          <w:szCs w:val="18"/>
        </w:rPr>
      </w:r>
      <w:r>
        <w:rPr>
          <w:sz w:val="18"/>
          <w:szCs w:val="18"/>
          <w:color w:val="000000"/>
        </w:rPr>
        <w:fldChar w:fldCharType="separate"/>
      </w:r>
      <w:r>
        <w:rPr>
          <w:color w:val="000000"/>
          <w:sz w:val="18"/>
          <w:szCs w:val="18"/>
        </w:rPr>
      </w:r>
      <w:r>
        <w:rPr>
          <w:sz w:val="16"/>
          <w:szCs w:val="22"/>
        </w:rPr>
        <w:t>[1]</w:t>
        <w:tab/>
      </w:r>
      <w:r>
        <w:rPr>
          <w:sz w:val="16"/>
          <w:szCs w:val="16"/>
        </w:rPr>
        <w:t xml:space="preserve">M. Sigala, A. Beer, L. Hodgson, and A. O’Connor, </w:t>
      </w:r>
      <w:r>
        <w:rPr>
          <w:i/>
          <w:iCs/>
          <w:sz w:val="16"/>
          <w:szCs w:val="16"/>
        </w:rPr>
        <w:t>Big Data for Measuring the Impact of Tourism Economic Development Programmes: A Process and Quality Criteria Framework for Using Big Data</w:t>
      </w:r>
      <w:r>
        <w:rPr>
          <w:sz w:val="16"/>
          <w:szCs w:val="16"/>
        </w:rPr>
        <w:t>. 2019.</w:t>
      </w:r>
    </w:p>
    <w:p>
      <w:pPr>
        <w:pStyle w:val="Normal"/>
        <w:widowControl w:val="false"/>
        <w:ind w:hanging="426" w:left="426"/>
        <w:jc w:val="both"/>
        <w:rPr>
          <w:sz w:val="16"/>
          <w:szCs w:val="16"/>
        </w:rPr>
      </w:pPr>
      <w:r>
        <w:rPr>
          <w:sz w:val="16"/>
          <w:szCs w:val="16"/>
        </w:rPr>
        <w:t>[2]</w:t>
        <w:tab/>
        <w:t xml:space="preserve">G. Nguyen </w:t>
      </w:r>
      <w:r>
        <w:rPr>
          <w:i/>
          <w:iCs/>
          <w:sz w:val="16"/>
          <w:szCs w:val="16"/>
        </w:rPr>
        <w:t>et al.</w:t>
      </w:r>
      <w:r>
        <w:rPr>
          <w:sz w:val="16"/>
          <w:szCs w:val="16"/>
        </w:rPr>
        <w:t xml:space="preserve">, “Machine Learning and Deep Learning frameworks and libraries for large-scale data mining: a survey,” </w:t>
      </w:r>
      <w:r>
        <w:rPr>
          <w:i/>
          <w:iCs/>
          <w:sz w:val="16"/>
          <w:szCs w:val="16"/>
        </w:rPr>
        <w:t>Artif. Intell. Rev.</w:t>
      </w:r>
      <w:r>
        <w:rPr>
          <w:sz w:val="16"/>
          <w:szCs w:val="16"/>
        </w:rPr>
        <w:t>, vol. 52, no. 1, pp. 77–124, 2019, doi: 10.1007/s10462-018-09679-z.</w:t>
      </w:r>
    </w:p>
    <w:p>
      <w:pPr>
        <w:pStyle w:val="Normal"/>
        <w:widowControl w:val="false"/>
        <w:ind w:hanging="426" w:left="426"/>
        <w:jc w:val="both"/>
        <w:rPr>
          <w:sz w:val="16"/>
          <w:szCs w:val="16"/>
        </w:rPr>
      </w:pPr>
      <w:r>
        <w:rPr>
          <w:sz w:val="16"/>
          <w:szCs w:val="16"/>
        </w:rPr>
        <w:t>[3]</w:t>
        <w:tab/>
        <w:t xml:space="preserve">C. Shorten and T. M. Khoshgoftaar, “A survey on Image Data Augmentation for Deep Learning,” </w:t>
      </w:r>
      <w:r>
        <w:rPr>
          <w:i/>
          <w:iCs/>
          <w:sz w:val="16"/>
          <w:szCs w:val="16"/>
        </w:rPr>
        <w:t>J. Big Data</w:t>
      </w:r>
      <w:r>
        <w:rPr>
          <w:sz w:val="16"/>
          <w:szCs w:val="16"/>
        </w:rPr>
        <w:t>, vol. 6, no. 1, 2019, doi: 10.1186/s40537-019-0197-0.</w:t>
      </w:r>
    </w:p>
    <w:p>
      <w:pPr>
        <w:pStyle w:val="Normal"/>
        <w:widowControl w:val="false"/>
        <w:ind w:hanging="426" w:left="426"/>
        <w:jc w:val="both"/>
        <w:rPr>
          <w:sz w:val="16"/>
          <w:szCs w:val="16"/>
        </w:rPr>
      </w:pPr>
      <w:r>
        <w:rPr>
          <w:sz w:val="16"/>
          <w:szCs w:val="16"/>
        </w:rPr>
        <w:t>[4]</w:t>
        <w:tab/>
        <w:t xml:space="preserve">R. Vinayakumar, M. Alazab, K. P. Soman, P. Poornachandran, A. Al-Nemrat, and S. Venkatraman, “Deep Learning Approach for Intelligent Intrusion Detection System,” </w:t>
      </w:r>
      <w:r>
        <w:rPr>
          <w:i/>
          <w:iCs/>
          <w:sz w:val="16"/>
          <w:szCs w:val="16"/>
        </w:rPr>
        <w:t>IEEE Access</w:t>
      </w:r>
      <w:r>
        <w:rPr>
          <w:sz w:val="16"/>
          <w:szCs w:val="16"/>
        </w:rPr>
        <w:t>, vol. 7, pp. 41525–41550, 2019, doi: 10.1109/ACCESS.2019.2895334.</w:t>
      </w:r>
    </w:p>
    <w:p>
      <w:pPr>
        <w:pStyle w:val="Normal"/>
        <w:widowControl w:val="false"/>
        <w:ind w:hanging="426" w:left="426"/>
        <w:jc w:val="both"/>
        <w:rPr>
          <w:sz w:val="16"/>
          <w:szCs w:val="16"/>
        </w:rPr>
      </w:pPr>
      <w:r>
        <w:rPr>
          <w:sz w:val="16"/>
          <w:szCs w:val="16"/>
        </w:rPr>
        <w:t>[5]</w:t>
        <w:tab/>
        <w:t xml:space="preserve">K. Sivaraman, R. M. V. Krishnan, B. Sundarraj, and S. Sri Gowthem, “Network failure detection and diagnosis by analyzing syslog and SNS data: Applying big data analysis to network operations,” </w:t>
      </w:r>
      <w:r>
        <w:rPr>
          <w:i/>
          <w:iCs/>
          <w:sz w:val="16"/>
          <w:szCs w:val="16"/>
        </w:rPr>
        <w:t>Int. J. Innov. Technol. Explor. Eng.</w:t>
      </w:r>
      <w:r>
        <w:rPr>
          <w:sz w:val="16"/>
          <w:szCs w:val="16"/>
        </w:rPr>
        <w:t>, vol. 8, no. 9 Special Issue 3, pp. 883–887, 2019, doi: 10.35940/ijitee.I3187.0789S319.</w:t>
      </w:r>
    </w:p>
    <w:p>
      <w:pPr>
        <w:pStyle w:val="Normal"/>
        <w:widowControl w:val="false"/>
        <w:ind w:hanging="426" w:left="426"/>
        <w:jc w:val="both"/>
        <w:rPr>
          <w:sz w:val="16"/>
          <w:szCs w:val="16"/>
        </w:rPr>
      </w:pPr>
      <w:r>
        <w:rPr>
          <w:sz w:val="16"/>
          <w:szCs w:val="16"/>
        </w:rPr>
        <w:t>[6]</w:t>
        <w:tab/>
        <w:t xml:space="preserve">A. D. Dwivedi, G. Srivastava, S. Dhar, and R. Singh, “A decentralized privacy-preserving healthcare blockchain for IoT,” </w:t>
      </w:r>
      <w:r>
        <w:rPr>
          <w:i/>
          <w:iCs/>
          <w:sz w:val="16"/>
          <w:szCs w:val="16"/>
        </w:rPr>
        <w:t>Sensors (Switzerland)</w:t>
      </w:r>
      <w:r>
        <w:rPr>
          <w:sz w:val="16"/>
          <w:szCs w:val="16"/>
        </w:rPr>
        <w:t>, vol. 19, no. 2, pp. 1–17, 2019, doi: 10.3390/s19020326.</w:t>
      </w:r>
    </w:p>
    <w:p>
      <w:pPr>
        <w:pStyle w:val="Normal"/>
        <w:widowControl w:val="false"/>
        <w:ind w:hanging="426" w:left="426"/>
        <w:jc w:val="both"/>
        <w:rPr>
          <w:sz w:val="16"/>
          <w:szCs w:val="16"/>
        </w:rPr>
      </w:pPr>
      <w:r>
        <w:rPr>
          <w:sz w:val="16"/>
          <w:szCs w:val="16"/>
        </w:rPr>
        <w:t>[7]</w:t>
        <w:tab/>
        <w:t xml:space="preserve">F. Al-Turjman, H. Zahmatkesh, and L. Mostarda, “Quantifying uncertainty in internet of medical things and big-data services using intelligence and deep learning,” </w:t>
      </w:r>
      <w:r>
        <w:rPr>
          <w:i/>
          <w:iCs/>
          <w:sz w:val="16"/>
          <w:szCs w:val="16"/>
        </w:rPr>
        <w:t>IEEE Access</w:t>
      </w:r>
      <w:r>
        <w:rPr>
          <w:sz w:val="16"/>
          <w:szCs w:val="16"/>
        </w:rPr>
        <w:t>, vol. 7, pp. 115749–115759, 2019, doi: 10.1109/ACCESS.2019.2931637.</w:t>
      </w:r>
    </w:p>
    <w:p>
      <w:pPr>
        <w:pStyle w:val="Normal"/>
        <w:widowControl w:val="false"/>
        <w:ind w:hanging="426" w:left="426"/>
        <w:jc w:val="both"/>
        <w:rPr>
          <w:sz w:val="16"/>
          <w:szCs w:val="16"/>
        </w:rPr>
      </w:pPr>
      <w:r>
        <w:rPr>
          <w:sz w:val="16"/>
          <w:szCs w:val="16"/>
        </w:rPr>
        <w:t>[8]</w:t>
        <w:tab/>
        <w:t xml:space="preserve">S. Kumar and M. Singh, “Big data analytics for healthcare industry: Impact, applications, and tools,” </w:t>
      </w:r>
      <w:r>
        <w:rPr>
          <w:i/>
          <w:iCs/>
          <w:sz w:val="16"/>
          <w:szCs w:val="16"/>
        </w:rPr>
        <w:t>Big Data Min. Anal.</w:t>
      </w:r>
      <w:r>
        <w:rPr>
          <w:sz w:val="16"/>
          <w:szCs w:val="16"/>
        </w:rPr>
        <w:t>, vol. 2, no. 1, pp. 48–57, 2019, doi: 10.26599/BDMA.2018.9020031.</w:t>
      </w:r>
    </w:p>
    <w:p>
      <w:pPr>
        <w:pStyle w:val="Normal"/>
        <w:widowControl w:val="false"/>
        <w:ind w:hanging="426" w:left="426"/>
        <w:jc w:val="both"/>
        <w:rPr>
          <w:sz w:val="16"/>
          <w:szCs w:val="16"/>
        </w:rPr>
      </w:pPr>
      <w:r>
        <w:rPr>
          <w:sz w:val="16"/>
          <w:szCs w:val="16"/>
        </w:rPr>
        <w:t>[9]</w:t>
        <w:tab/>
        <w:t xml:space="preserve">L. M. Ang, K. P. Seng, G. K. Ijemaru, and A. M. Zungeru, “Deployment of IoV for Smart Cities: Applications, Architecture, and Challenges,” </w:t>
      </w:r>
      <w:r>
        <w:rPr>
          <w:i/>
          <w:iCs/>
          <w:sz w:val="16"/>
          <w:szCs w:val="16"/>
        </w:rPr>
        <w:t>IEEE Access</w:t>
      </w:r>
      <w:r>
        <w:rPr>
          <w:sz w:val="16"/>
          <w:szCs w:val="16"/>
        </w:rPr>
        <w:t>, vol. 7, pp. 6473–6492, 2019, doi: 10.1109/ACCESS.2018.2887076.</w:t>
      </w:r>
    </w:p>
    <w:p>
      <w:pPr>
        <w:pStyle w:val="Normal"/>
        <w:widowControl w:val="false"/>
        <w:ind w:hanging="426" w:left="426"/>
        <w:jc w:val="both"/>
        <w:rPr>
          <w:sz w:val="16"/>
          <w:szCs w:val="16"/>
        </w:rPr>
      </w:pPr>
      <w:r>
        <w:rPr>
          <w:sz w:val="16"/>
          <w:szCs w:val="16"/>
        </w:rPr>
        <w:t>[10]</w:t>
        <w:tab/>
        <w:t xml:space="preserve">B. P. L. Lau </w:t>
      </w:r>
      <w:r>
        <w:rPr>
          <w:i/>
          <w:iCs/>
          <w:sz w:val="16"/>
          <w:szCs w:val="16"/>
        </w:rPr>
        <w:t>et al.</w:t>
      </w:r>
      <w:r>
        <w:rPr>
          <w:sz w:val="16"/>
          <w:szCs w:val="16"/>
        </w:rPr>
        <w:t xml:space="preserve">, “A survey of data fusion in smart city applications,” </w:t>
      </w:r>
      <w:r>
        <w:rPr>
          <w:i/>
          <w:iCs/>
          <w:sz w:val="16"/>
          <w:szCs w:val="16"/>
        </w:rPr>
        <w:t>Inf. Fusion</w:t>
      </w:r>
      <w:r>
        <w:rPr>
          <w:sz w:val="16"/>
          <w:szCs w:val="16"/>
        </w:rPr>
        <w:t>, vol. 52, no. January, pp. 357–374, 2019, doi: 10.1016/j.inffus.2019.05.004.</w:t>
      </w:r>
    </w:p>
    <w:p>
      <w:pPr>
        <w:pStyle w:val="Normal"/>
        <w:widowControl w:val="false"/>
        <w:ind w:hanging="426" w:left="426"/>
        <w:jc w:val="both"/>
        <w:rPr>
          <w:sz w:val="16"/>
          <w:szCs w:val="16"/>
        </w:rPr>
      </w:pPr>
      <w:r>
        <w:rPr>
          <w:sz w:val="16"/>
          <w:szCs w:val="16"/>
        </w:rPr>
        <w:t>[11]</w:t>
        <w:tab/>
        <w:t xml:space="preserve">Y. Wu </w:t>
      </w:r>
      <w:r>
        <w:rPr>
          <w:i/>
          <w:iCs/>
          <w:sz w:val="16"/>
          <w:szCs w:val="16"/>
        </w:rPr>
        <w:t>et al.</w:t>
      </w:r>
      <w:r>
        <w:rPr>
          <w:sz w:val="16"/>
          <w:szCs w:val="16"/>
        </w:rPr>
        <w:t xml:space="preserve">, “Large scale incremental learning,” </w:t>
      </w:r>
      <w:r>
        <w:rPr>
          <w:i/>
          <w:iCs/>
          <w:sz w:val="16"/>
          <w:szCs w:val="16"/>
        </w:rPr>
        <w:t>Proc. IEEE Comput. Soc. Conf. Comput. Vis. Pattern Recognit.</w:t>
      </w:r>
      <w:r>
        <w:rPr>
          <w:sz w:val="16"/>
          <w:szCs w:val="16"/>
        </w:rPr>
        <w:t>, vol. 2019-June, pp. 374–382, 2019, doi: 10.1109/CVPR.2019.00046.</w:t>
      </w:r>
    </w:p>
    <w:p>
      <w:pPr>
        <w:pStyle w:val="Normal"/>
        <w:widowControl w:val="false"/>
        <w:ind w:hanging="426" w:left="426"/>
        <w:jc w:val="both"/>
        <w:rPr>
          <w:sz w:val="16"/>
          <w:szCs w:val="16"/>
        </w:rPr>
      </w:pPr>
      <w:r>
        <w:rPr>
          <w:sz w:val="16"/>
          <w:szCs w:val="16"/>
        </w:rPr>
        <w:t>[12]</w:t>
        <w:tab/>
        <w:t xml:space="preserve">A. Mosavi, S. Shamshirband, E. Salwana, K. wing Chau, and J. H. M. Tah, “Prediction of multi-inputs bubble column reactor using a novel hybrid model of computational fluid dynamics and machine learning,” </w:t>
      </w:r>
      <w:r>
        <w:rPr>
          <w:i/>
          <w:iCs/>
          <w:sz w:val="16"/>
          <w:szCs w:val="16"/>
        </w:rPr>
        <w:t>Eng. Appl. Comput. Fluid Mech.</w:t>
      </w:r>
      <w:r>
        <w:rPr>
          <w:sz w:val="16"/>
          <w:szCs w:val="16"/>
        </w:rPr>
        <w:t>, vol. 13, no. 1, pp. 482–492, 2019, doi: 10.1080/19942060.2019.1613448.</w:t>
      </w:r>
    </w:p>
    <w:p>
      <w:pPr>
        <w:pStyle w:val="Normal"/>
        <w:widowControl w:val="false"/>
        <w:ind w:hanging="426" w:left="426"/>
        <w:jc w:val="both"/>
        <w:rPr>
          <w:spacing w:val="-2"/>
          <w:sz w:val="16"/>
          <w:szCs w:val="16"/>
        </w:rPr>
      </w:pPr>
      <w:r>
        <w:rPr>
          <w:sz w:val="16"/>
          <w:szCs w:val="16"/>
        </w:rPr>
        <w:t>[13]</w:t>
        <w:tab/>
      </w:r>
      <w:r>
        <w:rPr>
          <w:spacing w:val="-2"/>
          <w:sz w:val="16"/>
          <w:szCs w:val="16"/>
        </w:rPr>
        <w:t xml:space="preserve">V. Palanisamy and R. Thirunavukarasu, “Implications of big data analytics in developing healthcare frameworks – A review,” </w:t>
      </w:r>
      <w:r>
        <w:rPr>
          <w:i/>
          <w:iCs/>
          <w:spacing w:val="-2"/>
          <w:sz w:val="16"/>
          <w:szCs w:val="16"/>
        </w:rPr>
        <w:t>J. King Saud Univ. - Comput. Inf. Sci.</w:t>
      </w:r>
      <w:r>
        <w:rPr>
          <w:spacing w:val="-2"/>
          <w:sz w:val="16"/>
          <w:szCs w:val="16"/>
        </w:rPr>
        <w:t>, vol. 31, no. 4, pp. 415–425, 2019, doi: 10.1016/j.jksuci.2017.12.007.</w:t>
      </w:r>
    </w:p>
    <w:p>
      <w:pPr>
        <w:pStyle w:val="Normal"/>
        <w:widowControl w:val="false"/>
        <w:ind w:hanging="426" w:left="426"/>
        <w:jc w:val="both"/>
        <w:rPr>
          <w:sz w:val="16"/>
          <w:szCs w:val="16"/>
        </w:rPr>
      </w:pPr>
      <w:r>
        <w:rPr>
          <w:sz w:val="16"/>
          <w:szCs w:val="16"/>
        </w:rPr>
        <w:t>[14]</w:t>
        <w:tab/>
        <w:t xml:space="preserve">J. Sadowski, “When data is capital: Datafication, accumulation, and extraction,” </w:t>
      </w:r>
      <w:r>
        <w:rPr>
          <w:i/>
          <w:iCs/>
          <w:sz w:val="16"/>
          <w:szCs w:val="16"/>
        </w:rPr>
        <w:t>Big Data Soc.</w:t>
      </w:r>
      <w:r>
        <w:rPr>
          <w:sz w:val="16"/>
          <w:szCs w:val="16"/>
        </w:rPr>
        <w:t>, vol. 6, no. 1, pp. 1–12, 2019, doi: 10.1177/2053951718820549.</w:t>
      </w:r>
    </w:p>
    <w:p>
      <w:pPr>
        <w:pStyle w:val="Normal"/>
        <w:widowControl w:val="false"/>
        <w:ind w:hanging="426" w:left="426"/>
        <w:jc w:val="both"/>
        <w:rPr>
          <w:sz w:val="16"/>
          <w:szCs w:val="16"/>
        </w:rPr>
      </w:pPr>
      <w:r>
        <w:rPr>
          <w:sz w:val="16"/>
          <w:szCs w:val="16"/>
        </w:rPr>
        <w:t>[15]</w:t>
        <w:tab/>
        <w:t xml:space="preserve">J. R. Saura, B. R. Herraez, and A. Reyes-Menendez, “Comparing a traditional approach for financial brand communication analysis with a big data analytics technique,” </w:t>
      </w:r>
      <w:r>
        <w:rPr>
          <w:i/>
          <w:iCs/>
          <w:sz w:val="16"/>
          <w:szCs w:val="16"/>
        </w:rPr>
        <w:t>IEEE Access</w:t>
      </w:r>
      <w:r>
        <w:rPr>
          <w:sz w:val="16"/>
          <w:szCs w:val="16"/>
        </w:rPr>
        <w:t>, vol. 7, pp. 37100–37108, 2019, doi: 10.1109/ACCESS.2019.2905301.</w:t>
      </w:r>
    </w:p>
    <w:p>
      <w:pPr>
        <w:pStyle w:val="Normal"/>
        <w:widowControl w:val="false"/>
        <w:ind w:hanging="426" w:left="426"/>
        <w:jc w:val="both"/>
        <w:rPr>
          <w:sz w:val="16"/>
          <w:szCs w:val="16"/>
        </w:rPr>
      </w:pPr>
      <w:r>
        <w:rPr>
          <w:sz w:val="16"/>
          <w:szCs w:val="16"/>
        </w:rPr>
        <w:t>[16]</w:t>
        <w:tab/>
        <w:t xml:space="preserve">D. Nallaperuma </w:t>
      </w:r>
      <w:r>
        <w:rPr>
          <w:i/>
          <w:iCs/>
          <w:sz w:val="16"/>
          <w:szCs w:val="16"/>
        </w:rPr>
        <w:t>et al.</w:t>
      </w:r>
      <w:r>
        <w:rPr>
          <w:sz w:val="16"/>
          <w:szCs w:val="16"/>
        </w:rPr>
        <w:t xml:space="preserve">, “Online Incremental Machine Learning Platform for Big Data-Driven Smart Traffic Management,” </w:t>
      </w:r>
      <w:r>
        <w:rPr>
          <w:i/>
          <w:iCs/>
          <w:sz w:val="16"/>
          <w:szCs w:val="16"/>
        </w:rPr>
        <w:t>IEEE Trans. Intell. Transp. Syst.</w:t>
      </w:r>
      <w:r>
        <w:rPr>
          <w:sz w:val="16"/>
          <w:szCs w:val="16"/>
        </w:rPr>
        <w:t>, vol. 20, no. 12, pp. 4679–4690, 2019, doi: 10.1109/TITS.2019.2924883.</w:t>
      </w:r>
    </w:p>
    <w:p>
      <w:pPr>
        <w:pStyle w:val="Normal"/>
        <w:widowControl w:val="false"/>
        <w:ind w:hanging="426" w:left="426"/>
        <w:jc w:val="both"/>
        <w:rPr>
          <w:sz w:val="16"/>
          <w:szCs w:val="16"/>
        </w:rPr>
      </w:pPr>
      <w:r>
        <w:rPr>
          <w:sz w:val="16"/>
          <w:szCs w:val="16"/>
        </w:rPr>
        <w:t>[17]</w:t>
        <w:tab/>
        <w:t xml:space="preserve">S. Schulz, M. Becker, M. R. Groseclose, S. Schadt, and C. Hopf, “Advanced MALDI mass spectrometry imaging in pharmaceutical research and drug development,” </w:t>
      </w:r>
      <w:r>
        <w:rPr>
          <w:i/>
          <w:iCs/>
          <w:sz w:val="16"/>
          <w:szCs w:val="16"/>
        </w:rPr>
        <w:t>Curr. Opin. Biotechnol.</w:t>
      </w:r>
      <w:r>
        <w:rPr>
          <w:sz w:val="16"/>
          <w:szCs w:val="16"/>
        </w:rPr>
        <w:t>, vol. 55, pp. 51–59, 2019, doi: 10.1016/j.copbio.2018.08.003.</w:t>
      </w:r>
    </w:p>
    <w:p>
      <w:pPr>
        <w:pStyle w:val="Normal"/>
        <w:widowControl w:val="false"/>
        <w:ind w:hanging="426" w:left="426"/>
        <w:jc w:val="both"/>
        <w:rPr>
          <w:sz w:val="16"/>
          <w:szCs w:val="16"/>
        </w:rPr>
      </w:pPr>
      <w:r>
        <w:rPr>
          <w:sz w:val="16"/>
          <w:szCs w:val="16"/>
        </w:rPr>
        <w:t>[18]</w:t>
        <w:tab/>
        <w:t xml:space="preserve">C. Shang and F. You, “Data Analytics and Machine Learning for Smart Process Manufacturing: Recent Advances and Perspectives in the Big Data Era,” </w:t>
      </w:r>
      <w:r>
        <w:rPr>
          <w:i/>
          <w:iCs/>
          <w:sz w:val="16"/>
          <w:szCs w:val="16"/>
        </w:rPr>
        <w:t>Engineering</w:t>
      </w:r>
      <w:r>
        <w:rPr>
          <w:sz w:val="16"/>
          <w:szCs w:val="16"/>
        </w:rPr>
        <w:t>, vol. 5, no. 6, pp. 1010–1016, 2019, doi: 10.1016/j.eng.2019.01.019.</w:t>
      </w:r>
    </w:p>
    <w:p>
      <w:pPr>
        <w:pStyle w:val="Normal"/>
        <w:widowControl w:val="false"/>
        <w:ind w:hanging="426" w:left="426"/>
        <w:jc w:val="both"/>
        <w:rPr>
          <w:sz w:val="16"/>
          <w:szCs w:val="16"/>
        </w:rPr>
      </w:pPr>
      <w:r>
        <w:rPr>
          <w:sz w:val="16"/>
          <w:szCs w:val="16"/>
        </w:rPr>
        <w:t>[19]</w:t>
        <w:tab/>
        <w:t xml:space="preserve">Y. Yu, M. Li, L. Liu, Y. Li, and J. Wang, “Clinical big data and deep learning: Applications, challenges, and future outlooks,” </w:t>
      </w:r>
      <w:r>
        <w:rPr>
          <w:i/>
          <w:iCs/>
          <w:sz w:val="16"/>
          <w:szCs w:val="16"/>
        </w:rPr>
        <w:t>Big Data Min. Anal.</w:t>
      </w:r>
      <w:r>
        <w:rPr>
          <w:sz w:val="16"/>
          <w:szCs w:val="16"/>
        </w:rPr>
        <w:t>, vol. 2, no. 4, pp. 288–305, 2019, doi: 10.26599/BDMA.2019.9020007.</w:t>
      </w:r>
    </w:p>
    <w:p>
      <w:pPr>
        <w:pStyle w:val="Normal"/>
        <w:widowControl w:val="false"/>
        <w:ind w:hanging="426" w:left="426"/>
        <w:jc w:val="both"/>
        <w:rPr>
          <w:sz w:val="16"/>
          <w:szCs w:val="16"/>
        </w:rPr>
      </w:pPr>
      <w:r>
        <w:rPr>
          <w:sz w:val="16"/>
          <w:szCs w:val="16"/>
        </w:rPr>
        <w:t>[20]</w:t>
        <w:tab/>
        <w:t xml:space="preserve">M. Huang, W. Liu, T. Wang, H. Song, X. Li, and A. Liu, “A queuing delay utilization scheme for on-path service aggregation in services-oriented computing networks,” </w:t>
      </w:r>
      <w:r>
        <w:rPr>
          <w:i/>
          <w:iCs/>
          <w:sz w:val="16"/>
          <w:szCs w:val="16"/>
        </w:rPr>
        <w:t>IEEE Access</w:t>
      </w:r>
      <w:r>
        <w:rPr>
          <w:sz w:val="16"/>
          <w:szCs w:val="16"/>
        </w:rPr>
        <w:t>, vol. 7, pp. 23816–23833, 2019, doi: 10.1109/ACCESS.2019.2899402.</w:t>
      </w:r>
    </w:p>
    <w:p>
      <w:pPr>
        <w:pStyle w:val="Normal"/>
        <w:widowControl w:val="false"/>
        <w:ind w:hanging="426" w:left="426"/>
        <w:jc w:val="both"/>
        <w:rPr>
          <w:sz w:val="16"/>
          <w:szCs w:val="16"/>
        </w:rPr>
      </w:pPr>
      <w:r>
        <w:rPr>
          <w:sz w:val="16"/>
          <w:szCs w:val="16"/>
        </w:rPr>
        <w:t>[21]</w:t>
        <w:tab/>
        <w:t xml:space="preserve">G. Xu, Y. Shi, X. Sun, and W. Shen, “Internet of things in marine environment monitoring: A review,” </w:t>
      </w:r>
      <w:r>
        <w:rPr>
          <w:i/>
          <w:iCs/>
          <w:sz w:val="16"/>
          <w:szCs w:val="16"/>
        </w:rPr>
        <w:t>Sensors (Switzerland)</w:t>
      </w:r>
      <w:r>
        <w:rPr>
          <w:sz w:val="16"/>
          <w:szCs w:val="16"/>
        </w:rPr>
        <w:t>, vol. 19, no. 7, pp. 1–21, 2019, doi: 10.3390/s19071711.</w:t>
      </w:r>
    </w:p>
    <w:p>
      <w:pPr>
        <w:pStyle w:val="Normal"/>
        <w:widowControl w:val="false"/>
        <w:ind w:hanging="426" w:left="426"/>
        <w:jc w:val="both"/>
        <w:rPr>
          <w:sz w:val="16"/>
          <w:szCs w:val="16"/>
        </w:rPr>
      </w:pPr>
      <w:r>
        <w:rPr>
          <w:sz w:val="16"/>
          <w:szCs w:val="16"/>
        </w:rPr>
        <w:t>[22]</w:t>
        <w:tab/>
        <w:t xml:space="preserve">M. Aqib, R. Mehmood, A. Alzahrani, I. Katib, A. Albeshri, and S. M. Altowaijri, </w:t>
      </w:r>
      <w:r>
        <w:rPr>
          <w:i/>
          <w:iCs/>
          <w:sz w:val="16"/>
          <w:szCs w:val="16"/>
        </w:rPr>
        <w:t>Smarter traffic prediction using big data, in-memory computing, deep learning and gpus</w:t>
      </w:r>
      <w:r>
        <w:rPr>
          <w:sz w:val="16"/>
          <w:szCs w:val="16"/>
        </w:rPr>
        <w:t>, vol. 19, no. 9. 2019.</w:t>
      </w:r>
    </w:p>
    <w:p>
      <w:pPr>
        <w:pStyle w:val="Normal"/>
        <w:widowControl w:val="false"/>
        <w:ind w:hanging="426" w:left="426"/>
        <w:jc w:val="both"/>
        <w:rPr>
          <w:sz w:val="16"/>
          <w:szCs w:val="16"/>
        </w:rPr>
      </w:pPr>
      <w:r>
        <w:rPr>
          <w:sz w:val="16"/>
          <w:szCs w:val="16"/>
        </w:rPr>
        <w:t>[23]</w:t>
        <w:tab/>
        <w:t xml:space="preserve">S. Leonelli and N. Tempini, </w:t>
      </w:r>
      <w:r>
        <w:rPr>
          <w:i/>
          <w:iCs/>
          <w:sz w:val="16"/>
          <w:szCs w:val="16"/>
        </w:rPr>
        <w:t>Data Journeys in the Sciences</w:t>
      </w:r>
      <w:r>
        <w:rPr>
          <w:sz w:val="16"/>
          <w:szCs w:val="16"/>
        </w:rPr>
        <w:t>. 2020.</w:t>
      </w:r>
    </w:p>
    <w:p>
      <w:pPr>
        <w:pStyle w:val="Normal"/>
        <w:widowControl w:val="false"/>
        <w:ind w:hanging="426" w:left="426"/>
        <w:jc w:val="both"/>
        <w:rPr>
          <w:sz w:val="16"/>
          <w:szCs w:val="16"/>
        </w:rPr>
      </w:pPr>
      <w:r>
        <w:rPr>
          <w:sz w:val="16"/>
          <w:szCs w:val="16"/>
        </w:rPr>
        <w:t>[24]</w:t>
        <w:tab/>
        <w:t xml:space="preserve">N. Stylos and J. Zwiegelaar, </w:t>
      </w:r>
      <w:r>
        <w:rPr>
          <w:i/>
          <w:iCs/>
          <w:sz w:val="16"/>
          <w:szCs w:val="16"/>
        </w:rPr>
        <w:t>Big Data as a Game Changer: How Does It Shape Business Intelligence Within a Tourism and Hospitality Industry Context?</w:t>
      </w:r>
      <w:r>
        <w:rPr>
          <w:sz w:val="16"/>
          <w:szCs w:val="16"/>
        </w:rPr>
        <w:t xml:space="preserve"> 2019.</w:t>
      </w:r>
    </w:p>
    <w:p>
      <w:pPr>
        <w:pStyle w:val="Normal"/>
        <w:widowControl w:val="false"/>
        <w:ind w:hanging="426" w:left="426"/>
        <w:jc w:val="both"/>
        <w:rPr>
          <w:sz w:val="16"/>
          <w:szCs w:val="16"/>
        </w:rPr>
      </w:pPr>
      <w:r>
        <w:rPr>
          <w:sz w:val="16"/>
          <w:szCs w:val="16"/>
        </w:rPr>
        <w:t>[25]</w:t>
        <w:tab/>
        <w:t xml:space="preserve">Q. Song, H. Ge, J. Caverlee, and X. Hu, “Tensor completion algorithms in big data analytics,” </w:t>
      </w:r>
      <w:r>
        <w:rPr>
          <w:i/>
          <w:iCs/>
          <w:sz w:val="16"/>
          <w:szCs w:val="16"/>
        </w:rPr>
        <w:t>arXiv</w:t>
      </w:r>
      <w:r>
        <w:rPr>
          <w:sz w:val="16"/>
          <w:szCs w:val="16"/>
        </w:rPr>
        <w:t>, vol. 13, no. 1, 2017.</w:t>
      </w:r>
    </w:p>
    <w:p>
      <w:pPr>
        <w:pStyle w:val="Normal"/>
        <w:ind w:hanging="426" w:left="426"/>
        <w:jc w:val="both"/>
        <w:rPr>
          <w:color w:val="000000"/>
        </w:rPr>
      </w:pPr>
      <w:r/>
      <w:r>
        <w:rPr>
          <w:sz w:val="18"/>
          <w:szCs w:val="18"/>
          <w:color w:val="000000"/>
        </w:rPr>
        <w:fldChar w:fldCharType="end"/>
      </w:r>
      <w:r>
        <w:rPr>
          <w:color w:val="000000"/>
          <w:sz w:val="18"/>
          <w:szCs w:val="18"/>
        </w:rPr>
      </w:r>
    </w:p>
    <w:p>
      <w:pPr>
        <w:pStyle w:val="Normal"/>
        <w:rPr>
          <w:rStyle w:val="apple-style-span"/>
          <w:b/>
          <w:color w:val="000000"/>
        </w:rPr>
      </w:pPr>
      <w:r>
        <w:rPr>
          <w:b/>
          <w:color w:val="000000"/>
        </w:rPr>
      </w:r>
    </w:p>
    <w:p>
      <w:pPr>
        <w:pStyle w:val="Normal"/>
        <w:rPr>
          <w:b/>
          <w:bCs/>
        </w:rPr>
      </w:pPr>
      <w:r>
        <w:rPr>
          <w:rStyle w:val="apple-style-span"/>
          <w:b/>
          <w:color w:val="000000"/>
        </w:rPr>
        <w:t xml:space="preserve">BIOGRAPHIES OF AUTHORS </w:t>
      </w:r>
      <w:r>
        <w:rPr>
          <w:b/>
          <w:bCs/>
        </w:rPr>
        <w:t xml:space="preserve">(10 PT) </w:t>
      </w:r>
    </w:p>
    <w:p>
      <w:pPr>
        <w:pStyle w:val="Normal"/>
        <w:ind w:firstLine="720"/>
        <w:jc w:val="both"/>
        <w:rPr/>
      </w:pPr>
      <w:r>
        <w:rPr/>
        <w:t>In this section, authors are required to provide their professional biography, which should include their academic background, current position, research interests, and any significant contributions to the current study. Additionally, authors should include links to their professional profiles, such as ORCID (</w:t>
      </w:r>
      <w:r>
        <w:rPr>
          <w:i/>
          <w:iCs/>
        </w:rPr>
        <w:t>mandatory)</w:t>
      </w:r>
      <w:r>
        <w:rPr/>
        <w:t xml:space="preserve"> and, </w:t>
      </w:r>
      <w:r>
        <w:rPr>
          <w:i/>
          <w:iCs/>
        </w:rPr>
        <w:t xml:space="preserve">if applicable, </w:t>
      </w:r>
      <w:r>
        <w:rPr/>
        <w:t>Google Scholar, Scopus Author ID, or Web of Science (WoS) ResearcherID. This helps establish the author’s academic identity and enhances the visibility of their research.</w:t>
      </w:r>
    </w:p>
    <w:p>
      <w:pPr>
        <w:pStyle w:val="Normal"/>
        <w:jc w:val="both"/>
        <w:rPr/>
      </w:pPr>
      <w:r>
        <w:rPr/>
      </w:r>
    </w:p>
    <w:p>
      <w:pPr>
        <w:pStyle w:val="Normal"/>
        <w:jc w:val="both"/>
        <w:rPr/>
      </w:pPr>
      <w:r>
        <w:rPr/>
      </w:r>
    </w:p>
    <w:p>
      <w:pPr>
        <w:pStyle w:val="Normal"/>
        <w:jc w:val="both"/>
        <w:rPr/>
      </w:pPr>
      <w:r>
        <w:rPr>
          <w:b/>
          <w:bCs/>
        </w:rPr>
        <w:t>Required Information:</w:t>
      </w:r>
    </w:p>
    <w:p>
      <w:pPr>
        <w:pStyle w:val="Normal"/>
        <w:numPr>
          <w:ilvl w:val="0"/>
          <w:numId w:val="8"/>
        </w:numPr>
        <w:tabs>
          <w:tab w:val="clear" w:pos="720"/>
        </w:tabs>
        <w:ind w:hanging="360" w:left="426"/>
        <w:jc w:val="both"/>
        <w:rPr/>
      </w:pPr>
      <w:r>
        <w:rPr>
          <w:b/>
          <w:bCs/>
        </w:rPr>
        <w:t>Full name</w:t>
      </w:r>
      <w:r>
        <w:rPr/>
        <w:t>: Include the author's full name as it appears in official records. If preferred, authors may use the format consistent with his/her Scopus profile.</w:t>
      </w:r>
    </w:p>
    <w:p>
      <w:pPr>
        <w:pStyle w:val="Normal"/>
        <w:numPr>
          <w:ilvl w:val="0"/>
          <w:numId w:val="8"/>
        </w:numPr>
        <w:tabs>
          <w:tab w:val="clear" w:pos="720"/>
        </w:tabs>
        <w:ind w:hanging="360" w:left="426"/>
        <w:jc w:val="both"/>
        <w:rPr/>
      </w:pPr>
      <w:r>
        <w:rPr>
          <w:b/>
          <w:bCs/>
        </w:rPr>
        <w:t>Email address for each author</w:t>
      </w:r>
      <w:r>
        <w:rPr/>
        <w:t>: Provide the author's professional email address to facilitate correspondence.</w:t>
      </w:r>
    </w:p>
    <w:p>
      <w:pPr>
        <w:pStyle w:val="Normal"/>
        <w:numPr>
          <w:ilvl w:val="0"/>
          <w:numId w:val="8"/>
        </w:numPr>
        <w:tabs>
          <w:tab w:val="clear" w:pos="720"/>
        </w:tabs>
        <w:ind w:hanging="360" w:left="426"/>
        <w:jc w:val="both"/>
        <w:rPr/>
      </w:pPr>
      <w:r>
        <w:rPr>
          <w:b/>
          <w:bCs/>
        </w:rPr>
        <w:t>Social media account:</w:t>
      </w:r>
    </w:p>
    <w:p>
      <w:pPr>
        <w:pStyle w:val="Normal"/>
        <w:numPr>
          <w:ilvl w:val="0"/>
          <w:numId w:val="9"/>
        </w:numPr>
        <w:ind w:hanging="360" w:left="851"/>
        <w:jc w:val="both"/>
        <w:rPr/>
      </w:pPr>
      <w:r>
        <w:rPr>
          <w:b/>
          <w:bCs/>
        </w:rPr>
        <w:t>ORCID iD</w:t>
      </w:r>
      <w:r>
        <w:rPr/>
        <w:t>: This is a mandatory. Each author must include their ORCID iD (https://orcid.org/), which helps link his/her research output to their identity.</w:t>
      </w:r>
    </w:p>
    <w:p>
      <w:pPr>
        <w:pStyle w:val="Normal"/>
        <w:numPr>
          <w:ilvl w:val="0"/>
          <w:numId w:val="9"/>
        </w:numPr>
        <w:ind w:hanging="360" w:left="851"/>
        <w:jc w:val="both"/>
        <w:rPr/>
      </w:pPr>
      <w:r>
        <w:rPr>
          <w:b/>
          <w:bCs/>
        </w:rPr>
        <w:t xml:space="preserve">Google Scholar Profile: </w:t>
      </w:r>
      <w:r>
        <w:rPr/>
        <w:t>Include the link to the author's Google Scholar profile. If the author does not have a Google Scholar profile, they may create a new one and include the link.</w:t>
      </w:r>
    </w:p>
    <w:p>
      <w:pPr>
        <w:pStyle w:val="Normal"/>
        <w:numPr>
          <w:ilvl w:val="0"/>
          <w:numId w:val="9"/>
        </w:numPr>
        <w:ind w:hanging="360" w:left="851"/>
        <w:jc w:val="both"/>
        <w:rPr/>
      </w:pPr>
      <w:r>
        <w:rPr>
          <w:b/>
          <w:bCs/>
        </w:rPr>
        <w:t xml:space="preserve">Scopus Author ID: </w:t>
      </w:r>
      <w:r>
        <w:rPr/>
        <w:t>If available, include the Scopus Author ID to enhance visibility on Scopus.</w:t>
      </w:r>
    </w:p>
    <w:p>
      <w:pPr>
        <w:pStyle w:val="Normal"/>
        <w:numPr>
          <w:ilvl w:val="0"/>
          <w:numId w:val="9"/>
        </w:numPr>
        <w:ind w:hanging="360" w:left="851"/>
        <w:jc w:val="both"/>
        <w:rPr/>
      </w:pPr>
      <w:r>
        <w:rPr>
          <w:b/>
          <w:bCs/>
        </w:rPr>
        <w:t xml:space="preserve">Web of Science (WoS) ResearcherID: </w:t>
      </w:r>
      <w:r>
        <w:rPr/>
        <w:t>Include the Web of Science ResearcherID. If the author does not have a WoS profile, they may create a new one and include the link.</w:t>
      </w:r>
    </w:p>
    <w:p>
      <w:pPr>
        <w:pStyle w:val="Normal"/>
        <w:numPr>
          <w:ilvl w:val="0"/>
          <w:numId w:val="8"/>
        </w:numPr>
        <w:tabs>
          <w:tab w:val="clear" w:pos="720"/>
        </w:tabs>
        <w:ind w:hanging="360" w:left="426"/>
        <w:jc w:val="both"/>
        <w:rPr/>
      </w:pPr>
      <w:r>
        <w:rPr>
          <w:b/>
          <w:bCs/>
        </w:rPr>
        <w:t xml:space="preserve">Brief biography: </w:t>
      </w:r>
      <w:r>
        <w:rPr/>
        <w:t>Provide a concise overview of the author's academic background, research interests, notable publications, and contributions to the current paper. This should be no longer than 150-200 words (9 pt).</w:t>
      </w:r>
    </w:p>
    <w:p>
      <w:pPr>
        <w:pStyle w:val="Normal"/>
        <w:numPr>
          <w:ilvl w:val="0"/>
          <w:numId w:val="8"/>
        </w:numPr>
        <w:tabs>
          <w:tab w:val="clear" w:pos="720"/>
        </w:tabs>
        <w:ind w:hanging="360" w:left="426"/>
        <w:jc w:val="both"/>
        <w:rPr>
          <w:bCs/>
        </w:rPr>
      </w:pPr>
      <w:r>
        <w:rPr>
          <w:b/>
          <w:bCs/>
        </w:rPr>
        <w:t xml:space="preserve">Professional achievements: </w:t>
      </w:r>
      <w:r>
        <w:rPr/>
        <w:t>If available, mention any important awards, recognition, or research projects the author has been involved in.</w:t>
      </w:r>
    </w:p>
    <w:p>
      <w:pPr>
        <w:pStyle w:val="Normal"/>
        <w:numPr>
          <w:ilvl w:val="0"/>
          <w:numId w:val="8"/>
        </w:numPr>
        <w:tabs>
          <w:tab w:val="clear" w:pos="720"/>
        </w:tabs>
        <w:ind w:hanging="360" w:left="426"/>
        <w:jc w:val="both"/>
        <w:rPr/>
      </w:pPr>
      <w:r>
        <w:rPr>
          <w:b/>
          <w:bCs/>
        </w:rPr>
        <w:t xml:space="preserve">Photo Submission: </w:t>
      </w:r>
      <w:r>
        <w:rPr/>
        <w:t>Authors must submit a clear, professional headshot (3x4 cm). The photo should be of high quality, well-lit, and not blurry. Avoid using photos that are overly casual or low resolution.</w:t>
      </w:r>
    </w:p>
    <w:p>
      <w:pPr>
        <w:pStyle w:val="Normal"/>
        <w:jc w:val="both"/>
        <w:rPr>
          <w:b/>
          <w:bCs/>
        </w:rPr>
      </w:pPr>
      <w:r>
        <w:rPr>
          <w:b/>
          <w:bCs/>
        </w:rPr>
      </w:r>
    </w:p>
    <w:p>
      <w:pPr>
        <w:pStyle w:val="Normal"/>
        <w:rPr>
          <w:i/>
          <w:i/>
        </w:rPr>
      </w:pPr>
      <w:r>
        <w:rPr>
          <w:i/>
        </w:rPr>
      </w:r>
      <w:r>
        <w:br w:type="page"/>
      </w:r>
    </w:p>
    <w:p>
      <w:pPr>
        <w:pStyle w:val="Normal"/>
        <w:spacing w:before="0" w:after="0"/>
        <w:jc w:val="both"/>
        <w:rPr>
          <w:i/>
          <w:i/>
        </w:rPr>
      </w:pPr>
      <w:r>
        <w:rPr>
          <w:i/>
        </w:rPr>
        <w:t>Below is an example of how to format the biography section for each author:</w:t>
      </w:r>
    </w:p>
    <w:p>
      <w:pPr>
        <w:pStyle w:val="Normal"/>
        <w:jc w:val="both"/>
        <w:rPr>
          <w:i/>
          <w:i/>
          <w:iCs/>
        </w:rPr>
      </w:pPr>
      <w:r>
        <w:rPr>
          <w:i/>
          <w:iCs/>
        </w:rPr>
      </w:r>
    </w:p>
    <w:p>
      <w:pPr>
        <w:pStyle w:val="Normal"/>
        <w:jc w:val="both"/>
        <w:rPr>
          <w:b/>
        </w:rPr>
      </w:pPr>
      <w:r>
        <w:rPr>
          <w:b/>
        </w:rPr>
      </w:r>
    </w:p>
    <w:p>
      <w:pPr>
        <w:pStyle w:val="Normal"/>
        <w:jc w:val="both"/>
        <w:rPr>
          <w:b/>
          <w:bCs/>
        </w:rPr>
      </w:pPr>
      <w:r>
        <w:rPr>
          <w:b/>
        </w:rPr>
        <w:t xml:space="preserve">BIOGRAPHIES OF AUTHORS </w:t>
      </w:r>
      <w:r>
        <w:rPr>
          <w:b/>
          <w:bCs/>
        </w:rPr>
        <w:t xml:space="preserve">(10 PT) </w:t>
      </w:r>
    </w:p>
    <w:p>
      <w:pPr>
        <w:pStyle w:val="Normal"/>
        <w:rPr>
          <w:i/>
          <w:i/>
          <w:iCs/>
        </w:rPr>
      </w:pPr>
      <w:r>
        <w:rPr>
          <w:i/>
          <w:iCs/>
        </w:rPr>
      </w:r>
    </w:p>
    <w:tbl>
      <w:tblPr>
        <w:tblW w:w="903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50"/>
        <w:gridCol w:w="7088"/>
      </w:tblGrid>
      <w:tr>
        <w:trPr/>
        <w:tc>
          <w:tcPr>
            <w:tcW w:w="1950" w:type="dxa"/>
            <w:tcBorders>
              <w:top w:val="single" w:sz="4" w:space="0" w:color="000000"/>
              <w:left w:val="single" w:sz="4" w:space="0" w:color="000000"/>
              <w:bottom w:val="single" w:sz="4" w:space="0" w:color="000000"/>
              <w:right w:val="single" w:sz="4" w:space="0" w:color="000000"/>
            </w:tcBorders>
          </w:tcPr>
          <w:p>
            <w:pPr>
              <w:pStyle w:val="Normal"/>
              <w:jc w:val="center"/>
              <w:rPr/>
            </w:pPr>
            <w:r>
              <w:rPr/>
              <w:drawing>
                <wp:inline distT="0" distB="0" distL="0" distR="0">
                  <wp:extent cx="1080135" cy="1440180"/>
                  <wp:effectExtent l="0" t="0" r="0" b="0"/>
                  <wp:docPr id="7" name="Pictur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9" descr=""/>
                          <pic:cNvPicPr>
                            <a:picLocks noChangeAspect="1" noChangeArrowheads="1"/>
                          </pic:cNvPicPr>
                        </pic:nvPicPr>
                        <pic:blipFill>
                          <a:blip r:embed="rId11"/>
                          <a:stretch>
                            <a:fillRect/>
                          </a:stretch>
                        </pic:blipFill>
                        <pic:spPr bwMode="auto">
                          <a:xfrm>
                            <a:off x="0" y="0"/>
                            <a:ext cx="1080135" cy="1440180"/>
                          </a:xfrm>
                          <a:prstGeom prst="rect">
                            <a:avLst/>
                          </a:prstGeom>
                        </pic:spPr>
                      </pic:pic>
                    </a:graphicData>
                  </a:graphic>
                </wp:inline>
              </w:drawing>
            </w:r>
          </w:p>
        </w:tc>
        <w:tc>
          <w:tcPr>
            <w:tcW w:w="7088" w:type="dxa"/>
            <w:tcBorders>
              <w:top w:val="single" w:sz="4" w:space="0" w:color="000000"/>
              <w:left w:val="single" w:sz="4" w:space="0" w:color="000000"/>
              <w:bottom w:val="single" w:sz="4" w:space="0" w:color="000000"/>
              <w:right w:val="single" w:sz="4" w:space="0" w:color="000000"/>
            </w:tcBorders>
          </w:tcPr>
          <w:p>
            <w:pPr>
              <w:pStyle w:val="Normal"/>
              <w:jc w:val="both"/>
              <w:rPr>
                <w:color w:val="000000"/>
                <w:sz w:val="18"/>
                <w:szCs w:val="18"/>
              </w:rPr>
            </w:pPr>
            <w:r>
              <w:rPr>
                <w:b/>
                <w:bCs/>
                <w:color w:val="000000"/>
                <w:sz w:val="18"/>
                <w:szCs w:val="18"/>
              </w:rPr>
              <w:t xml:space="preserve">Suttichai Premrudeeprechacharn </w:t>
            </w:r>
            <w:r>
              <w:rPr/>
              <w:drawing>
                <wp:inline distT="0" distB="0" distL="0" distR="0">
                  <wp:extent cx="114935" cy="114935"/>
                  <wp:effectExtent l="0" t="0" r="0" b="0"/>
                  <wp:docPr id="8" name="Picture 30" descr="">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0" descr="">
                            <a:hlinkClick r:id="rId13"/>
                          </pic:cNvPr>
                          <pic:cNvPicPr>
                            <a:picLocks noChangeAspect="1" noChangeArrowheads="1"/>
                          </pic:cNvPicPr>
                        </pic:nvPicPr>
                        <pic:blipFill>
                          <a:blip r:embed="rId12"/>
                          <a:stretch>
                            <a:fillRect/>
                          </a:stretch>
                        </pic:blipFill>
                        <pic:spPr bwMode="auto">
                          <a:xfrm>
                            <a:off x="0" y="0"/>
                            <a:ext cx="114935" cy="114935"/>
                          </a:xfrm>
                          <a:prstGeom prst="rect">
                            <a:avLst/>
                          </a:prstGeom>
                        </pic:spPr>
                      </pic:pic>
                    </a:graphicData>
                  </a:graphic>
                </wp:inline>
              </w:drawing>
            </w:r>
            <w:r>
              <w:rPr>
                <w:color w:val="000000"/>
                <w:sz w:val="18"/>
                <w:szCs w:val="18"/>
              </w:rPr>
              <w:t xml:space="preserve"> </w:t>
            </w:r>
            <w:r>
              <w:rPr/>
              <w:drawing>
                <wp:inline distT="0" distB="0" distL="0" distR="0">
                  <wp:extent cx="114935" cy="114935"/>
                  <wp:effectExtent l="0" t="0" r="0" b="0"/>
                  <wp:docPr id="9" name="Picture 31" descr="">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1" descr="">
                            <a:hlinkClick r:id="rId15"/>
                          </pic:cNvPr>
                          <pic:cNvPicPr>
                            <a:picLocks noChangeAspect="1" noChangeArrowheads="1"/>
                          </pic:cNvPicPr>
                        </pic:nvPicPr>
                        <pic:blipFill>
                          <a:blip r:embed="rId14"/>
                          <a:stretch>
                            <a:fillRect/>
                          </a:stretch>
                        </pic:blipFill>
                        <pic:spPr bwMode="auto">
                          <a:xfrm>
                            <a:off x="0" y="0"/>
                            <a:ext cx="114935" cy="114935"/>
                          </a:xfrm>
                          <a:prstGeom prst="rect">
                            <a:avLst/>
                          </a:prstGeom>
                        </pic:spPr>
                      </pic:pic>
                    </a:graphicData>
                  </a:graphic>
                </wp:inline>
              </w:drawing>
            </w:r>
            <w:r>
              <w:rPr>
                <w:color w:val="000000"/>
                <w:sz w:val="18"/>
                <w:szCs w:val="18"/>
              </w:rPr>
              <w:t xml:space="preserve"> </w:t>
            </w:r>
            <w:r>
              <w:rPr/>
              <w:drawing>
                <wp:inline distT="0" distB="0" distL="0" distR="0">
                  <wp:extent cx="114935" cy="114935"/>
                  <wp:effectExtent l="0" t="0" r="0" b="0"/>
                  <wp:docPr id="10" name="Graphic 32" descr="">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phic 32" descr="">
                            <a:hlinkClick r:id="rId18"/>
                          </pic:cNvPr>
                          <pic:cNvPicPr>
                            <a:picLocks noChangeAspect="1" noChangeArrowheads="1"/>
                          </pic:cNvPicPr>
                        </pic:nvPicPr>
                        <pic:blipFill>
                          <a:blip r:embed="rId16">
                            <a:extLst>
                              <a:ext uri="{96DAC541-7B7A-43D3-8B79-37D633B846F1}">
                                <asvg:svgBlip xmlns:asvg="http://schemas.microsoft.com/office/drawing/2016/SVG/main" r:embed="rId17"/>
                              </a:ext>
                            </a:extLst>
                          </a:blip>
                          <a:stretch>
                            <a:fillRect/>
                          </a:stretch>
                        </pic:blipFill>
                        <pic:spPr bwMode="auto">
                          <a:xfrm>
                            <a:off x="0" y="0"/>
                            <a:ext cx="114935" cy="114935"/>
                          </a:xfrm>
                          <a:prstGeom prst="rect">
                            <a:avLst/>
                          </a:prstGeom>
                        </pic:spPr>
                      </pic:pic>
                    </a:graphicData>
                  </a:graphic>
                </wp:inline>
              </w:drawing>
            </w:r>
            <w:r>
              <w:rPr>
                <w:color w:val="000000"/>
                <w:sz w:val="18"/>
                <w:szCs w:val="18"/>
              </w:rPr>
              <w:t xml:space="preserve"> </w:t>
            </w:r>
            <w:r>
              <w:rPr/>
              <w:drawing>
                <wp:inline distT="0" distB="0" distL="0" distR="0">
                  <wp:extent cx="114935" cy="114935"/>
                  <wp:effectExtent l="0" t="0" r="0" b="0"/>
                  <wp:docPr id="11" name="Picture 33" descr="">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3" descr="">
                            <a:hlinkClick r:id="rId20"/>
                          </pic:cNvPr>
                          <pic:cNvPicPr>
                            <a:picLocks noChangeAspect="1" noChangeArrowheads="1"/>
                          </pic:cNvPicPr>
                        </pic:nvPicPr>
                        <pic:blipFill>
                          <a:blip r:embed="rId19"/>
                          <a:stretch>
                            <a:fillRect/>
                          </a:stretch>
                        </pic:blipFill>
                        <pic:spPr bwMode="auto">
                          <a:xfrm>
                            <a:off x="0" y="0"/>
                            <a:ext cx="114935" cy="114935"/>
                          </a:xfrm>
                          <a:prstGeom prst="rect">
                            <a:avLst/>
                          </a:prstGeom>
                        </pic:spPr>
                      </pic:pic>
                    </a:graphicData>
                  </a:graphic>
                </wp:inline>
              </w:drawing>
            </w:r>
            <w:r>
              <w:rPr>
                <w:color w:val="000000"/>
                <w:sz w:val="18"/>
                <w:szCs w:val="18"/>
              </w:rPr>
              <w:t xml:space="preserve"> received the B.Eng. degree in electrical engineering from Chiang Mai University, Thailand, in 1988 and the M.S. and Ph.D. degrees in electric power engineering from Rensselaer Polytechnic Institute, Troy, NY, in 1992 and 1997, respectively. Currently, he is an Associate Professor at the Department of Electrical Engineering, Chiang Mai University. His research interests include renewable energy, power quality, high quality utility interface, power electronics, power generation, power grids, power supply quality, power transmission reliability, relay protection, power system stability, power transmission lines, power transmission planning, power transmission protection, battery chargers, circuit breakers, harmonic distortion, hydroelectric power stations, load flow control, overcurrent protection, particle swarm optimisation, power distribution protection, and artificial intelligence applied power system. He can be contacted at email: suttichai@mail.com.</w:t>
            </w:r>
          </w:p>
        </w:tc>
      </w:tr>
      <w:tr>
        <w:trPr/>
        <w:tc>
          <w:tcPr>
            <w:tcW w:w="1950" w:type="dxa"/>
            <w:tcBorders>
              <w:top w:val="single" w:sz="4" w:space="0" w:color="000000"/>
              <w:left w:val="single" w:sz="4" w:space="0" w:color="000000"/>
              <w:bottom w:val="single" w:sz="4" w:space="0" w:color="000000"/>
              <w:right w:val="single" w:sz="4" w:space="0" w:color="000000"/>
            </w:tcBorders>
          </w:tcPr>
          <w:p>
            <w:pPr>
              <w:pStyle w:val="Normal"/>
              <w:jc w:val="center"/>
              <w:rPr/>
            </w:pPr>
            <w:r>
              <w:rPr/>
            </w:r>
          </w:p>
        </w:tc>
        <w:tc>
          <w:tcPr>
            <w:tcW w:w="7088" w:type="dxa"/>
            <w:tcBorders>
              <w:top w:val="single" w:sz="4" w:space="0" w:color="000000"/>
              <w:left w:val="single" w:sz="4" w:space="0" w:color="000000"/>
              <w:bottom w:val="single" w:sz="4" w:space="0" w:color="000000"/>
              <w:right w:val="single" w:sz="4" w:space="0" w:color="000000"/>
            </w:tcBorders>
          </w:tcPr>
          <w:p>
            <w:pPr>
              <w:pStyle w:val="Normal"/>
              <w:jc w:val="both"/>
              <w:rPr>
                <w:b/>
                <w:bCs/>
                <w:color w:val="000000"/>
                <w:sz w:val="18"/>
                <w:szCs w:val="18"/>
              </w:rPr>
            </w:pPr>
            <w:r>
              <w:rPr>
                <w:b/>
                <w:bCs/>
                <w:color w:val="000000"/>
                <w:sz w:val="18"/>
                <w:szCs w:val="18"/>
              </w:rPr>
            </w:r>
          </w:p>
        </w:tc>
      </w:tr>
      <w:tr>
        <w:trPr/>
        <w:tc>
          <w:tcPr>
            <w:tcW w:w="1950" w:type="dxa"/>
            <w:tcBorders>
              <w:top w:val="single" w:sz="4" w:space="0" w:color="000000"/>
              <w:left w:val="single" w:sz="4" w:space="0" w:color="000000"/>
              <w:bottom w:val="single" w:sz="4" w:space="0" w:color="000000"/>
              <w:right w:val="single" w:sz="4" w:space="0" w:color="000000"/>
            </w:tcBorders>
          </w:tcPr>
          <w:p>
            <w:pPr>
              <w:pStyle w:val="Normal"/>
              <w:jc w:val="center"/>
              <w:rPr/>
            </w:pPr>
            <w:r>
              <w:rPr/>
              <w:drawing>
                <wp:inline distT="0" distB="0" distL="0" distR="0">
                  <wp:extent cx="1080135" cy="1440180"/>
                  <wp:effectExtent l="0" t="0" r="0" b="0"/>
                  <wp:docPr id="12" name="Picture 7" descr="C:\Users\MRISEN02\Pictures\angela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descr="C:\Users\MRISEN02\Pictures\angela2.jpg"/>
                          <pic:cNvPicPr>
                            <a:picLocks noChangeAspect="1" noChangeArrowheads="1"/>
                          </pic:cNvPicPr>
                        </pic:nvPicPr>
                        <pic:blipFill>
                          <a:blip r:embed="rId21"/>
                          <a:srcRect l="12585" t="0" r="11294" b="0"/>
                          <a:stretch>
                            <a:fillRect/>
                          </a:stretch>
                        </pic:blipFill>
                        <pic:spPr bwMode="auto">
                          <a:xfrm>
                            <a:off x="0" y="0"/>
                            <a:ext cx="1080135" cy="1440180"/>
                          </a:xfrm>
                          <a:prstGeom prst="rect">
                            <a:avLst/>
                          </a:prstGeom>
                        </pic:spPr>
                      </pic:pic>
                    </a:graphicData>
                  </a:graphic>
                </wp:inline>
              </w:drawing>
            </w:r>
          </w:p>
        </w:tc>
        <w:tc>
          <w:tcPr>
            <w:tcW w:w="7088" w:type="dxa"/>
            <w:tcBorders>
              <w:top w:val="single" w:sz="4" w:space="0" w:color="000000"/>
              <w:left w:val="single" w:sz="4" w:space="0" w:color="000000"/>
              <w:bottom w:val="single" w:sz="4" w:space="0" w:color="000000"/>
              <w:right w:val="single" w:sz="4" w:space="0" w:color="000000"/>
            </w:tcBorders>
          </w:tcPr>
          <w:p>
            <w:pPr>
              <w:pStyle w:val="Normal"/>
              <w:jc w:val="both"/>
              <w:rPr>
                <w:b/>
                <w:bCs/>
                <w:color w:val="000000"/>
                <w:sz w:val="18"/>
                <w:szCs w:val="18"/>
              </w:rPr>
            </w:pPr>
            <w:r>
              <w:rPr>
                <w:b/>
                <w:bCs/>
                <w:color w:val="000000"/>
                <w:sz w:val="18"/>
                <w:szCs w:val="18"/>
              </w:rPr>
              <w:t xml:space="preserve">Angela Amphawan </w:t>
            </w:r>
            <w:r>
              <w:rPr/>
              <w:drawing>
                <wp:inline distT="0" distB="0" distL="0" distR="0">
                  <wp:extent cx="114935" cy="114935"/>
                  <wp:effectExtent l="0" t="0" r="0" b="0"/>
                  <wp:docPr id="13" name="Picture 23" descr="">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3" descr="">
                            <a:hlinkClick r:id="rId23"/>
                          </pic:cNvPr>
                          <pic:cNvPicPr>
                            <a:picLocks noChangeAspect="1" noChangeArrowheads="1"/>
                          </pic:cNvPicPr>
                        </pic:nvPicPr>
                        <pic:blipFill>
                          <a:blip r:embed="rId22"/>
                          <a:stretch>
                            <a:fillRect/>
                          </a:stretch>
                        </pic:blipFill>
                        <pic:spPr bwMode="auto">
                          <a:xfrm>
                            <a:off x="0" y="0"/>
                            <a:ext cx="114935" cy="114935"/>
                          </a:xfrm>
                          <a:prstGeom prst="rect">
                            <a:avLst/>
                          </a:prstGeom>
                        </pic:spPr>
                      </pic:pic>
                    </a:graphicData>
                  </a:graphic>
                </wp:inline>
              </w:drawing>
            </w:r>
            <w:r>
              <w:rPr>
                <w:color w:val="000000"/>
                <w:sz w:val="18"/>
                <w:szCs w:val="18"/>
              </w:rPr>
              <w:t xml:space="preserve"> </w:t>
            </w:r>
            <w:r>
              <w:rPr/>
              <w:drawing>
                <wp:inline distT="0" distB="0" distL="0" distR="0">
                  <wp:extent cx="114935" cy="114935"/>
                  <wp:effectExtent l="0" t="0" r="0" b="0"/>
                  <wp:docPr id="14" name="Picture 24" descr="">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4" descr="">
                            <a:hlinkClick r:id="rId25"/>
                          </pic:cNvPr>
                          <pic:cNvPicPr>
                            <a:picLocks noChangeAspect="1" noChangeArrowheads="1"/>
                          </pic:cNvPicPr>
                        </pic:nvPicPr>
                        <pic:blipFill>
                          <a:blip r:embed="rId24"/>
                          <a:stretch>
                            <a:fillRect/>
                          </a:stretch>
                        </pic:blipFill>
                        <pic:spPr bwMode="auto">
                          <a:xfrm>
                            <a:off x="0" y="0"/>
                            <a:ext cx="114935" cy="114935"/>
                          </a:xfrm>
                          <a:prstGeom prst="rect">
                            <a:avLst/>
                          </a:prstGeom>
                        </pic:spPr>
                      </pic:pic>
                    </a:graphicData>
                  </a:graphic>
                </wp:inline>
              </w:drawing>
            </w:r>
            <w:r>
              <w:rPr>
                <w:color w:val="000000"/>
                <w:sz w:val="18"/>
                <w:szCs w:val="18"/>
              </w:rPr>
              <w:t xml:space="preserve"> </w:t>
            </w:r>
            <w:r>
              <w:rPr/>
              <w:drawing>
                <wp:inline distT="0" distB="0" distL="0" distR="0">
                  <wp:extent cx="114935" cy="114935"/>
                  <wp:effectExtent l="0" t="0" r="0" b="0"/>
                  <wp:docPr id="15" name="Graphic 25" descr="">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c 25" descr="">
                            <a:hlinkClick r:id="rId28"/>
                          </pic:cNvPr>
                          <pic:cNvPicPr>
                            <a:picLocks noChangeAspect="1" noChangeArrowheads="1"/>
                          </pic:cNvPicPr>
                        </pic:nvPicPr>
                        <pic:blipFill>
                          <a:blip r:embed="rId26">
                            <a:extLst>
                              <a:ext uri="{96DAC541-7B7A-43D3-8B79-37D633B846F1}">
                                <asvg:svgBlip xmlns:asvg="http://schemas.microsoft.com/office/drawing/2016/SVG/main" r:embed="rId27"/>
                              </a:ext>
                            </a:extLst>
                          </a:blip>
                          <a:stretch>
                            <a:fillRect/>
                          </a:stretch>
                        </pic:blipFill>
                        <pic:spPr bwMode="auto">
                          <a:xfrm>
                            <a:off x="0" y="0"/>
                            <a:ext cx="114935" cy="114935"/>
                          </a:xfrm>
                          <a:prstGeom prst="rect">
                            <a:avLst/>
                          </a:prstGeom>
                        </pic:spPr>
                      </pic:pic>
                    </a:graphicData>
                  </a:graphic>
                </wp:inline>
              </w:drawing>
            </w:r>
            <w:r>
              <w:rPr>
                <w:color w:val="000000"/>
                <w:sz w:val="18"/>
                <w:szCs w:val="18"/>
              </w:rPr>
              <w:t xml:space="preserve"> </w:t>
            </w:r>
            <w:r>
              <w:rPr/>
              <w:drawing>
                <wp:inline distT="0" distB="0" distL="0" distR="0">
                  <wp:extent cx="114935" cy="114935"/>
                  <wp:effectExtent l="0" t="0" r="0" b="0"/>
                  <wp:docPr id="16" name="Picture 26" descr="">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6" descr="">
                            <a:hlinkClick r:id="rId30"/>
                          </pic:cNvPr>
                          <pic:cNvPicPr>
                            <a:picLocks noChangeAspect="1" noChangeArrowheads="1"/>
                          </pic:cNvPicPr>
                        </pic:nvPicPr>
                        <pic:blipFill>
                          <a:blip r:embed="rId29"/>
                          <a:stretch>
                            <a:fillRect/>
                          </a:stretch>
                        </pic:blipFill>
                        <pic:spPr bwMode="auto">
                          <a:xfrm>
                            <a:off x="0" y="0"/>
                            <a:ext cx="114935" cy="114935"/>
                          </a:xfrm>
                          <a:prstGeom prst="rect">
                            <a:avLst/>
                          </a:prstGeom>
                        </pic:spPr>
                      </pic:pic>
                    </a:graphicData>
                  </a:graphic>
                </wp:inline>
              </w:drawing>
            </w:r>
            <w:r>
              <w:rPr>
                <w:color w:val="000000"/>
                <w:sz w:val="18"/>
                <w:szCs w:val="18"/>
              </w:rPr>
              <w:t xml:space="preserve">  holds a PhD in optical communications from University of Oxford, United Kingdom. She is currently Head of the Optical Technology Group at the Universiti Utara Malaysia.  She is also a Fulbright Fellow at Massachusetts Institute of Technology (MIT), Cambridge, USA.  The pervasiveness of the Internet in today’s digital society brings to light her work on digital convergence for media communications, focusing on optical fiber communications, free-space optics and microwave photonics. Her research has been funded by the Fulbright Foundation, Telekom Malaysia and the Malaysian Ministry of Higher Education.  She has been elected on the Scientific Committee and Editorial Review Board for the World Academy of Science, Engineering and Technology.  She is also a research affiliate for the Asia Pacific International Telecommunications Union (ITU) and serves on the Editorial Board for the International Journal of Electrical and Computer Engineering as well as the International Journal of Informatics and Communication Technology.  In addition, she is a reviewer for leading optical journals such as Optics Express, Optics Letters, Journal of Lightwave Technology and IEEE Photonics Journal. She can be contacted at email: angela@uum.edu.my.</w:t>
            </w:r>
          </w:p>
        </w:tc>
      </w:tr>
      <w:tr>
        <w:trPr/>
        <w:tc>
          <w:tcPr>
            <w:tcW w:w="1950" w:type="dxa"/>
            <w:tcBorders>
              <w:top w:val="single" w:sz="4" w:space="0" w:color="000000"/>
              <w:left w:val="single" w:sz="4" w:space="0" w:color="000000"/>
              <w:bottom w:val="single" w:sz="4" w:space="0" w:color="000000"/>
              <w:right w:val="single" w:sz="4" w:space="0" w:color="000000"/>
            </w:tcBorders>
          </w:tcPr>
          <w:p>
            <w:pPr>
              <w:pStyle w:val="Normal"/>
              <w:spacing w:lineRule="auto" w:line="360"/>
              <w:rPr>
                <w:color w:val="000000"/>
                <w:highlight w:val="yellow"/>
              </w:rPr>
            </w:pPr>
            <w:r>
              <w:rPr>
                <w:color w:val="000000"/>
                <w:highlight w:val="yellow"/>
              </w:rPr>
            </w:r>
          </w:p>
        </w:tc>
        <w:tc>
          <w:tcPr>
            <w:tcW w:w="7088" w:type="dxa"/>
            <w:tcBorders>
              <w:top w:val="single" w:sz="4" w:space="0" w:color="000000"/>
              <w:left w:val="single" w:sz="4" w:space="0" w:color="000000"/>
              <w:bottom w:val="single" w:sz="4" w:space="0" w:color="000000"/>
              <w:right w:val="single" w:sz="4" w:space="0" w:color="000000"/>
            </w:tcBorders>
          </w:tcPr>
          <w:p>
            <w:pPr>
              <w:pStyle w:val="Normal"/>
              <w:jc w:val="both"/>
              <w:rPr>
                <w:color w:val="000000"/>
                <w:sz w:val="18"/>
                <w:szCs w:val="18"/>
                <w:highlight w:val="yellow"/>
              </w:rPr>
            </w:pPr>
            <w:r>
              <w:rPr>
                <w:color w:val="000000"/>
                <w:sz w:val="18"/>
                <w:szCs w:val="18"/>
                <w:highlight w:val="yellow"/>
              </w:rPr>
            </w:r>
          </w:p>
        </w:tc>
      </w:tr>
      <w:tr>
        <w:trPr>
          <w:trHeight w:val="1547" w:hRule="atLeast"/>
        </w:trPr>
        <w:tc>
          <w:tcPr>
            <w:tcW w:w="195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color w:val="000000"/>
                <w:highlight w:val="yellow"/>
              </w:rPr>
            </w:pPr>
            <w:r>
              <w:rPr/>
              <w:drawing>
                <wp:inline distT="0" distB="0" distL="0" distR="0">
                  <wp:extent cx="1080135" cy="1440180"/>
                  <wp:effectExtent l="0" t="0" r="0" b="0"/>
                  <wp:docPr id="17"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5" descr=""/>
                          <pic:cNvPicPr>
                            <a:picLocks noChangeAspect="1" noChangeArrowheads="1"/>
                          </pic:cNvPicPr>
                        </pic:nvPicPr>
                        <pic:blipFill>
                          <a:blip r:embed="rId31"/>
                          <a:stretch>
                            <a:fillRect/>
                          </a:stretch>
                        </pic:blipFill>
                        <pic:spPr bwMode="auto">
                          <a:xfrm>
                            <a:off x="0" y="0"/>
                            <a:ext cx="1080135" cy="1440180"/>
                          </a:xfrm>
                          <a:prstGeom prst="rect">
                            <a:avLst/>
                          </a:prstGeom>
                        </pic:spPr>
                      </pic:pic>
                    </a:graphicData>
                  </a:graphic>
                </wp:inline>
              </w:drawing>
            </w:r>
          </w:p>
        </w:tc>
        <w:tc>
          <w:tcPr>
            <w:tcW w:w="7088" w:type="dxa"/>
            <w:tcBorders>
              <w:top w:val="single" w:sz="4" w:space="0" w:color="000000"/>
              <w:left w:val="single" w:sz="4" w:space="0" w:color="000000"/>
              <w:bottom w:val="single" w:sz="4" w:space="0" w:color="000000"/>
              <w:right w:val="single" w:sz="4" w:space="0" w:color="000000"/>
            </w:tcBorders>
          </w:tcPr>
          <w:p>
            <w:pPr>
              <w:pStyle w:val="Normal"/>
              <w:jc w:val="both"/>
              <w:rPr>
                <w:color w:val="000000"/>
                <w:highlight w:val="yellow"/>
              </w:rPr>
            </w:pPr>
            <w:r>
              <w:rPr>
                <w:b/>
                <w:bCs/>
                <w:color w:val="000000"/>
                <w:sz w:val="18"/>
                <w:szCs w:val="18"/>
              </w:rPr>
              <w:t xml:space="preserve">Almoataz Y. Abdelaziz </w:t>
            </w:r>
            <w:r>
              <w:rPr/>
              <w:drawing>
                <wp:inline distT="0" distB="0" distL="0" distR="0">
                  <wp:extent cx="114935" cy="114935"/>
                  <wp:effectExtent l="0" t="0" r="0" b="0"/>
                  <wp:docPr id="18" name="Picture 19" descr="">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descr="">
                            <a:hlinkClick r:id="rId33"/>
                          </pic:cNvPr>
                          <pic:cNvPicPr>
                            <a:picLocks noChangeAspect="1" noChangeArrowheads="1"/>
                          </pic:cNvPicPr>
                        </pic:nvPicPr>
                        <pic:blipFill>
                          <a:blip r:embed="rId32"/>
                          <a:stretch>
                            <a:fillRect/>
                          </a:stretch>
                        </pic:blipFill>
                        <pic:spPr bwMode="auto">
                          <a:xfrm>
                            <a:off x="0" y="0"/>
                            <a:ext cx="114935" cy="114935"/>
                          </a:xfrm>
                          <a:prstGeom prst="rect">
                            <a:avLst/>
                          </a:prstGeom>
                        </pic:spPr>
                      </pic:pic>
                    </a:graphicData>
                  </a:graphic>
                </wp:inline>
              </w:drawing>
            </w:r>
            <w:r>
              <w:rPr>
                <w:color w:val="000000"/>
                <w:sz w:val="18"/>
                <w:szCs w:val="18"/>
              </w:rPr>
              <w:t xml:space="preserve"> </w:t>
            </w:r>
            <w:r>
              <w:rPr/>
              <w:drawing>
                <wp:inline distT="0" distB="0" distL="0" distR="0">
                  <wp:extent cx="114935" cy="114935"/>
                  <wp:effectExtent l="0" t="0" r="0" b="0"/>
                  <wp:docPr id="19" name="Picture 18" descr="">
                    <a:hlinkClick xmlns:a="http://schemas.openxmlformats.org/drawingml/2006/main" r:id="rId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descr="">
                            <a:hlinkClick r:id="rId35"/>
                          </pic:cNvPr>
                          <pic:cNvPicPr>
                            <a:picLocks noChangeAspect="1" noChangeArrowheads="1"/>
                          </pic:cNvPicPr>
                        </pic:nvPicPr>
                        <pic:blipFill>
                          <a:blip r:embed="rId34"/>
                          <a:stretch>
                            <a:fillRect/>
                          </a:stretch>
                        </pic:blipFill>
                        <pic:spPr bwMode="auto">
                          <a:xfrm>
                            <a:off x="0" y="0"/>
                            <a:ext cx="114935" cy="114935"/>
                          </a:xfrm>
                          <a:prstGeom prst="rect">
                            <a:avLst/>
                          </a:prstGeom>
                        </pic:spPr>
                      </pic:pic>
                    </a:graphicData>
                  </a:graphic>
                </wp:inline>
              </w:drawing>
            </w:r>
            <w:r>
              <w:rPr>
                <w:color w:val="000000"/>
                <w:sz w:val="18"/>
                <w:szCs w:val="18"/>
              </w:rPr>
              <w:t xml:space="preserve"> </w:t>
            </w:r>
            <w:r>
              <w:rPr/>
              <w:drawing>
                <wp:inline distT="0" distB="0" distL="0" distR="0">
                  <wp:extent cx="114935" cy="114935"/>
                  <wp:effectExtent l="0" t="0" r="0" b="0"/>
                  <wp:docPr id="20" name="Graphic 17" descr="">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raphic 17" descr="">
                            <a:hlinkClick r:id="rId38"/>
                          </pic:cNvPr>
                          <pic:cNvPicPr>
                            <a:picLocks noChangeAspect="1" noChangeArrowheads="1"/>
                          </pic:cNvPicPr>
                        </pic:nvPicPr>
                        <pic:blipFill>
                          <a:blip r:embed="rId36">
                            <a:extLst>
                              <a:ext uri="{96DAC541-7B7A-43D3-8B79-37D633B846F1}">
                                <asvg:svgBlip xmlns:asvg="http://schemas.microsoft.com/office/drawing/2016/SVG/main" r:embed="rId37"/>
                              </a:ext>
                            </a:extLst>
                          </a:blip>
                          <a:stretch>
                            <a:fillRect/>
                          </a:stretch>
                        </pic:blipFill>
                        <pic:spPr bwMode="auto">
                          <a:xfrm>
                            <a:off x="0" y="0"/>
                            <a:ext cx="114935" cy="114935"/>
                          </a:xfrm>
                          <a:prstGeom prst="rect">
                            <a:avLst/>
                          </a:prstGeom>
                        </pic:spPr>
                      </pic:pic>
                    </a:graphicData>
                  </a:graphic>
                </wp:inline>
              </w:drawing>
            </w:r>
            <w:r>
              <w:rPr>
                <w:color w:val="000000"/>
                <w:sz w:val="18"/>
                <w:szCs w:val="18"/>
              </w:rPr>
              <w:t xml:space="preserve"> </w:t>
            </w:r>
            <w:r>
              <w:rPr/>
              <w:drawing>
                <wp:inline distT="0" distB="0" distL="0" distR="0">
                  <wp:extent cx="114935" cy="114935"/>
                  <wp:effectExtent l="0" t="0" r="0" b="0"/>
                  <wp:docPr id="21" name="Picture 16" descr="">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6" descr="">
                            <a:hlinkClick r:id="rId40"/>
                          </pic:cNvPr>
                          <pic:cNvPicPr>
                            <a:picLocks noChangeAspect="1" noChangeArrowheads="1"/>
                          </pic:cNvPicPr>
                        </pic:nvPicPr>
                        <pic:blipFill>
                          <a:blip r:embed="rId39"/>
                          <a:stretch>
                            <a:fillRect/>
                          </a:stretch>
                        </pic:blipFill>
                        <pic:spPr bwMode="auto">
                          <a:xfrm>
                            <a:off x="0" y="0"/>
                            <a:ext cx="114935" cy="114935"/>
                          </a:xfrm>
                          <a:prstGeom prst="rect">
                            <a:avLst/>
                          </a:prstGeom>
                        </pic:spPr>
                      </pic:pic>
                    </a:graphicData>
                  </a:graphic>
                </wp:inline>
              </w:drawing>
            </w:r>
            <w:r>
              <w:rPr>
                <w:color w:val="000000"/>
                <w:sz w:val="18"/>
                <w:szCs w:val="18"/>
              </w:rPr>
              <w:t xml:space="preserve"> received the B.Sc. and M.Sc. degrees in electrical engineering from Ain Shams University, Cairo, Egypt, in 1985 and 1990, respectively, and the Ph.D. degree in electrical engineering according to the channel system between Ain Shams University, Egypt, and Brunel University, U.K., in 1996. He has been a professor of electrical power engineering with Ain Shams University, since 2007. He is currently the Vice Dean of Faculty of Engineering and Technology, Future University in Egypt, Cairo, Egypt. He has authored or coauthored more than 400 refereed journal and conference papers, 25 book chapters, and three edited books with Elsevier and Springer. His research interests include the applications of artificial intelligence, evolutionary and heuristic optimization techniques to power system planning, operation, and control. He can be contacted at email: almoataz@mail.com.</w:t>
            </w:r>
            <w:bookmarkStart w:id="35" w:name="_Hlk78354998"/>
            <w:bookmarkEnd w:id="35"/>
          </w:p>
        </w:tc>
      </w:tr>
    </w:tbl>
    <w:p>
      <w:pPr>
        <w:pStyle w:val="Normal"/>
        <w:ind w:firstLine="720"/>
        <w:jc w:val="both"/>
        <w:rPr>
          <w:iCs/>
        </w:rPr>
      </w:pPr>
      <w:r>
        <w:rPr>
          <w:iCs/>
        </w:rPr>
      </w:r>
    </w:p>
    <w:p>
      <w:pPr>
        <w:pStyle w:val="Normal"/>
        <w:ind w:firstLine="720"/>
        <w:jc w:val="both"/>
        <w:rPr>
          <w:iCs/>
        </w:rPr>
      </w:pPr>
      <w:r>
        <w:rPr>
          <w:iCs/>
        </w:rPr>
      </w:r>
    </w:p>
    <w:sectPr>
      <w:headerReference w:type="even" r:id="rId41"/>
      <w:headerReference w:type="default" r:id="rId42"/>
      <w:headerReference w:type="first" r:id="rId43"/>
      <w:footerReference w:type="even" r:id="rId44"/>
      <w:footerReference w:type="default" r:id="rId45"/>
      <w:footerReference w:type="first" r:id="rId46"/>
      <w:type w:val="nextPage"/>
      <w:pgSz w:w="11906" w:h="16838"/>
      <w:pgMar w:left="1701" w:right="1418" w:gutter="0" w:header="1134" w:top="1418" w:footer="1134" w:bottom="1418"/>
      <w:pgNumType w:start="1" w:fmt="decimal"/>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ourier New">
    <w:charset w:val="01"/>
    <w:family w:val="roman"/>
    <w:pitch w:val="variable"/>
  </w:font>
  <w:font w:name="NimbusRomNo9L-Medi">
    <w:charset w:val="01"/>
    <w:family w:val="roman"/>
    <w:pitch w:val="variable"/>
  </w:font>
  <w:font w:name="NimbusRomNo9L-Regu">
    <w:charset w:val="01"/>
    <w:family w:val="roman"/>
    <w:pitch w:val="variable"/>
  </w:font>
  <w:font w:name="Liberation Sans">
    <w:altName w:val="Arial"/>
    <w:charset w:val="01"/>
    <w:family w:val="swiss"/>
    <w:pitch w:val="variable"/>
  </w:font>
  <w:font w:name="Tahoma">
    <w:charset w:val="01"/>
    <w:family w:val="roman"/>
    <w:pitch w:val="variable"/>
  </w:font>
  <w:font w:name="Palatino">
    <w:charset w:val="01"/>
    <w:family w:val="roman"/>
    <w:pitch w:val="variable"/>
  </w:font>
  <w:font w:name="Calibri">
    <w:charset w:val="01"/>
    <w:family w:val="roman"/>
    <w:pitch w:val="variable"/>
  </w:font>
  <w:font w:name="Wingdings">
    <w:charset w:val="02"/>
    <w:family w:val="roman"/>
    <w:pitch w:val="variable"/>
  </w:font>
  <w:font w:name="Times New Roman">
    <w:charset w:val="02"/>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Calibri">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320"/>
        <w:tab w:val="clear" w:pos="8640"/>
        <w:tab w:val="left" w:pos="2992" w:leader="none"/>
      </w:tabs>
      <w:spacing w:before="240" w:after="0"/>
      <w:rPr/>
    </w:pPr>
    <w:r>
      <mc:AlternateContent>
        <mc:Choice Requires="wps">
          <w:drawing>
            <wp:anchor behindDoc="1" distT="0" distB="0" distL="0" distR="0" simplePos="0" locked="0" layoutInCell="1" allowOverlap="1" relativeHeight="12" wp14:anchorId="307E942D">
              <wp:simplePos x="0" y="0"/>
              <wp:positionH relativeFrom="column">
                <wp:posOffset>-17780</wp:posOffset>
              </wp:positionH>
              <wp:positionV relativeFrom="paragraph">
                <wp:posOffset>144145</wp:posOffset>
              </wp:positionV>
              <wp:extent cx="5615940" cy="0"/>
              <wp:effectExtent l="5080" t="5080" r="5080" b="5080"/>
              <wp:wrapNone/>
              <wp:docPr id="27" name="Line 3"/>
              <a:graphic xmlns:a="http://schemas.openxmlformats.org/drawingml/2006/main">
                <a:graphicData uri="http://schemas.microsoft.com/office/word/2010/wordprocessingShape">
                  <wps:wsp>
                    <wps:cNvSpPr/>
                    <wps:spPr>
                      <a:xfrm>
                        <a:off x="0" y="0"/>
                        <a:ext cx="5616000" cy="0"/>
                      </a:xfrm>
                      <a:prstGeom prst="line">
                        <a:avLst/>
                      </a:prstGeom>
                      <a:ln w="9525">
                        <a:solidFill>
                          <a:srgbClr val="000000"/>
                        </a:solidFill>
                        <a:round/>
                      </a:ln>
                    </wps:spPr>
                    <wps:style>
                      <a:lnRef idx="0"/>
                      <a:fillRef idx="0"/>
                      <a:effectRef idx="0"/>
                      <a:fontRef idx="minor"/>
                    </wps:style>
                    <wps:bodyPr/>
                  </wps:wsp>
                </a:graphicData>
              </a:graphic>
            </wp:anchor>
          </w:drawing>
        </mc:Choice>
        <mc:Fallback>
          <w:pict>
            <v:line id="shape_0" from="-1.4pt,11.35pt" to="440.75pt,11.35pt" ID="Line 3" stroked="t" o:allowincell="f" style="position:absolute" wp14:anchorId="307E942D">
              <v:stroke color="black" weight="9360" joinstyle="round" endcap="flat"/>
              <v:fill o:detectmouseclick="t" on="false"/>
              <w10:wrap type="none"/>
            </v:line>
          </w:pict>
        </mc:Fallback>
      </mc:AlternateContent>
    </w:r>
    <w:r>
      <w:rPr/>
      <w:t>Int J Elec &amp; Comp Eng, Vol. 99, No. 1, Month 2099: 1-1x</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i/>
        <w:i/>
      </w:rPr>
    </w:pPr>
    <w:r>
      <mc:AlternateContent>
        <mc:Choice Requires="wps">
          <w:drawing>
            <wp:anchor behindDoc="1" distT="0" distB="0" distL="0" distR="0" simplePos="0" locked="0" layoutInCell="1" allowOverlap="1" relativeHeight="15" wp14:anchorId="62A3734C">
              <wp:simplePos x="0" y="0"/>
              <wp:positionH relativeFrom="column">
                <wp:posOffset>-17780</wp:posOffset>
              </wp:positionH>
              <wp:positionV relativeFrom="paragraph">
                <wp:posOffset>635</wp:posOffset>
              </wp:positionV>
              <wp:extent cx="5615940" cy="635"/>
              <wp:effectExtent l="5080" t="5080" r="5080" b="5080"/>
              <wp:wrapNone/>
              <wp:docPr id="28" name="Line 3"/>
              <a:graphic xmlns:a="http://schemas.openxmlformats.org/drawingml/2006/main">
                <a:graphicData uri="http://schemas.microsoft.com/office/word/2010/wordprocessingShape">
                  <wps:wsp>
                    <wps:cNvSpPr/>
                    <wps:spPr>
                      <a:xfrm>
                        <a:off x="0" y="0"/>
                        <a:ext cx="5616000" cy="720"/>
                      </a:xfrm>
                      <a:prstGeom prst="line">
                        <a:avLst/>
                      </a:prstGeom>
                      <a:ln w="9525">
                        <a:solidFill>
                          <a:srgbClr val="000000"/>
                        </a:solidFill>
                        <a:round/>
                      </a:ln>
                    </wps:spPr>
                    <wps:style>
                      <a:lnRef idx="0"/>
                      <a:fillRef idx="0"/>
                      <a:effectRef idx="0"/>
                      <a:fontRef idx="minor"/>
                    </wps:style>
                    <wps:bodyPr/>
                  </wps:wsp>
                </a:graphicData>
              </a:graphic>
            </wp:anchor>
          </w:drawing>
        </mc:Choice>
        <mc:Fallback>
          <w:pict>
            <v:line id="shape_0" from="-1.4pt,0pt" to="440.75pt,0pt" ID="Line 3" stroked="t" o:allowincell="f" style="position:absolute" wp14:anchorId="62A3734C">
              <v:stroke color="black" weight="9360" joinstyle="round" endcap="flat"/>
              <v:fill o:detectmouseclick="t" on="false"/>
              <w10:wrap type="none"/>
            </v:line>
          </w:pict>
        </mc:Fallback>
      </mc:AlternateContent>
    </w:r>
    <w:r>
      <w:rPr>
        <w:i/>
        <w:iCs/>
      </w:rPr>
      <w:t xml:space="preserve">Paper’s should be the fewest possible that accurately describe </w:t>
    </w:r>
    <w:r>
      <w:rPr>
        <w:i/>
      </w:rPr>
      <w:t>… (First Author)</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240" w:after="0"/>
      <w:rPr>
        <w:i/>
        <w:i/>
        <w:szCs w:val="18"/>
      </w:rPr>
    </w:pPr>
    <w:r>
      <mc:AlternateContent>
        <mc:Choice Requires="wps">
          <w:drawing>
            <wp:anchor behindDoc="1" distT="0" distB="0" distL="0" distR="0" simplePos="0" locked="0" layoutInCell="1" allowOverlap="1" relativeHeight="17" wp14:anchorId="066E0B6C">
              <wp:simplePos x="0" y="0"/>
              <wp:positionH relativeFrom="column">
                <wp:posOffset>-17780</wp:posOffset>
              </wp:positionH>
              <wp:positionV relativeFrom="paragraph">
                <wp:posOffset>144145</wp:posOffset>
              </wp:positionV>
              <wp:extent cx="5615940" cy="635"/>
              <wp:effectExtent l="5080" t="5715" r="5715" b="5080"/>
              <wp:wrapNone/>
              <wp:docPr id="29" name="AutoShape 6"/>
              <a:graphic xmlns:a="http://schemas.openxmlformats.org/drawingml/2006/main">
                <a:graphicData uri="http://schemas.microsoft.com/office/word/2010/wordprocessingShape">
                  <wps:wsp>
                    <wps:cNvSpPr/>
                    <wps:spPr>
                      <a:xfrm>
                        <a:off x="0" y="0"/>
                        <a:ext cx="561600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AutoShape 6" path="m0,0l-2147483648,-2147483647e" stroked="t" o:allowincell="f" style="position:absolute;margin-left:-1.4pt;margin-top:11.35pt;width:442.15pt;height:0pt;mso-wrap-style:none;v-text-anchor:middle" wp14:anchorId="066E0B6C" type="_x0000_t32">
              <v:fill o:detectmouseclick="t" on="false"/>
              <v:stroke color="black" weight="9360" joinstyle="round" endcap="flat"/>
              <w10:wrap type="none"/>
            </v:shape>
          </w:pict>
        </mc:Fallback>
      </mc:AlternateContent>
    </w:r>
    <w:r>
      <w:rPr>
        <w:b/>
        <w:i/>
        <w:szCs w:val="18"/>
      </w:rPr>
      <w:t>Journal homepage</w:t>
    </w:r>
    <w:r>
      <w:rPr>
        <w:i/>
        <w:szCs w:val="18"/>
      </w:rPr>
      <w:t>: http://ijece.iaescore.com</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320"/>
        <w:tab w:val="clear" w:pos="8640"/>
        <w:tab w:val="right" w:pos="851" w:leader="none"/>
        <w:tab w:val="left" w:pos="3405" w:leader="none"/>
        <w:tab w:val="right" w:pos="8789" w:leader="none"/>
      </w:tabs>
      <w:spacing w:before="0" w:after="240"/>
      <w:rPr/>
    </w:pPr>
    <w:r>
      <mc:AlternateContent>
        <mc:Choice Requires="wps">
          <w:drawing>
            <wp:anchor behindDoc="1" distT="0" distB="0" distL="0" distR="0" simplePos="0" locked="0" layoutInCell="1" allowOverlap="1" relativeHeight="5" wp14:anchorId="36240665">
              <wp:simplePos x="0" y="0"/>
              <wp:positionH relativeFrom="column">
                <wp:posOffset>-17780</wp:posOffset>
              </wp:positionH>
              <wp:positionV relativeFrom="paragraph">
                <wp:posOffset>180340</wp:posOffset>
              </wp:positionV>
              <wp:extent cx="5615940" cy="635"/>
              <wp:effectExtent l="5080" t="5715" r="5715" b="5080"/>
              <wp:wrapNone/>
              <wp:docPr id="22" name="AutoShape 7"/>
              <a:graphic xmlns:a="http://schemas.openxmlformats.org/drawingml/2006/main">
                <a:graphicData uri="http://schemas.microsoft.com/office/word/2010/wordprocessingShape">
                  <wps:wsp>
                    <wps:cNvSpPr/>
                    <wps:spPr>
                      <a:xfrm>
                        <a:off x="0" y="0"/>
                        <a:ext cx="561600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AutoShape 7" path="m0,0l-2147483648,-2147483647e" stroked="t" o:allowincell="f" style="position:absolute;margin-left:-1.4pt;margin-top:14.2pt;width:442.15pt;height:0pt;mso-wrap-style:none;v-text-anchor:middle" wp14:anchorId="36240665" type="_x0000_t32">
              <v:fill o:detectmouseclick="t" on="false"/>
              <v:stroke color="black" weight="9360" joinstyle="round" endcap="flat"/>
              <w10:wrap type="none"/>
            </v:shape>
          </w:pict>
        </mc:Fallback>
      </mc:AlternateContent>
    </w:r>
    <w:r>
      <w:rPr/>
      <w:t xml:space="preserve">     </w:t>
    </w:r>
    <w:r>
      <w:rPr/>
      <w:tab/>
    </w:r>
    <w:r>
      <w:rPr>
        <w:rFonts w:eastAsia="Wingdings" w:cs="Wingdings" w:ascii="Wingdings" w:hAnsi="Wingdings"/>
      </w:rPr>
      <w:sym w:font="Wingdings" w:char="f072"/>
    </w:r>
    <w:r>
      <w:rPr/>
      <w:t xml:space="preserve"> </w:t>
      <w:tab/>
      <w:tab/>
      <w:t xml:space="preserve">       ISSN: 2088-8708</w:t>
    </w:r>
    <w:r>
      <mc:AlternateContent>
        <mc:Choice Requires="wps">
          <w:drawing>
            <wp:anchor behindDoc="0" distT="0" distB="0" distL="0" distR="0" simplePos="0" locked="0" layoutInCell="0" allowOverlap="1" relativeHeight="40">
              <wp:simplePos x="0" y="0"/>
              <wp:positionH relativeFrom="page">
                <wp:posOffset>1077595</wp:posOffset>
              </wp:positionH>
              <wp:positionV relativeFrom="paragraph">
                <wp:posOffset>-1270</wp:posOffset>
              </wp:positionV>
              <wp:extent cx="64135" cy="146685"/>
              <wp:effectExtent l="0" t="0" r="0" b="0"/>
              <wp:wrapSquare wrapText="bothSides"/>
              <wp:docPr id="23" name="Marco1"/>
              <a:graphic xmlns:a="http://schemas.openxmlformats.org/drawingml/2006/main">
                <a:graphicData uri="http://schemas.microsoft.com/office/word/2010/wordprocessingShape">
                  <wps:wsp>
                    <wps:cNvSpPr txBox="1"/>
                    <wps:spPr>
                      <a:xfrm>
                        <a:off x="0" y="0"/>
                        <a:ext cx="64135" cy="146685"/>
                      </a:xfrm>
                      <a:prstGeom prst="rect"/>
                      <a:solidFill>
                        <a:srgbClr val="FFFFFF">
                          <a:alpha val="0"/>
                        </a:srgbClr>
                      </a:solidFill>
                    </wps:spPr>
                    <wps:txbx>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5.05pt;height:11.55pt;mso-wrap-distance-left:0pt;mso-wrap-distance-right:0pt;mso-wrap-distance-top:0pt;mso-wrap-distance-bottom:0pt;margin-top:-0.1pt;mso-position-vertical-relative:text;margin-left:84.85pt;mso-position-horizontal-relative:page">
              <v:fill opacity="0f"/>
              <v:textbox inset="0in,0in,0in,0in">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320"/>
        <w:tab w:val="clear" w:pos="8640"/>
        <w:tab w:val="left" w:pos="0" w:leader="none"/>
        <w:tab w:val="center" w:pos="4301" w:leader="none"/>
        <w:tab w:val="left" w:pos="7938" w:leader="none"/>
      </w:tabs>
      <w:rPr/>
    </w:pPr>
    <w:r>
      <w:rPr/>
      <w:t xml:space="preserve">Int J Elec &amp; Comp Eng </w:t>
      <w:tab/>
      <w:t>ISSN: 2088-8708</w:t>
      <w:tab/>
    </w:r>
    <w:r>
      <w:rPr>
        <w:rFonts w:eastAsia="Wingdings" w:cs="Wingdings" w:ascii="Wingdings" w:hAnsi="Wingdings"/>
      </w:rPr>
      <w:sym w:font="Wingdings" w:char="f072"/>
    </w:r>
    <w:r>
      <mc:AlternateContent>
        <mc:Choice Requires="wps">
          <w:drawing>
            <wp:anchor behindDoc="0" distT="0" distB="0" distL="0" distR="0" simplePos="0" locked="0" layoutInCell="0" allowOverlap="1" relativeHeight="43">
              <wp:simplePos x="0" y="0"/>
              <wp:positionH relativeFrom="margin">
                <wp:align>outside</wp:align>
              </wp:positionH>
              <wp:positionV relativeFrom="paragraph">
                <wp:posOffset>635</wp:posOffset>
              </wp:positionV>
              <wp:extent cx="64135" cy="146685"/>
              <wp:effectExtent l="0" t="0" r="0" b="0"/>
              <wp:wrapSquare wrapText="bothSides"/>
              <wp:docPr id="24" name="Marco2"/>
              <a:graphic xmlns:a="http://schemas.openxmlformats.org/drawingml/2006/main">
                <a:graphicData uri="http://schemas.microsoft.com/office/word/2010/wordprocessingShape">
                  <wps:wsp>
                    <wps:cNvSpPr txBox="1"/>
                    <wps:spPr>
                      <a:xfrm>
                        <a:off x="0" y="0"/>
                        <a:ext cx="64135" cy="146685"/>
                      </a:xfrm>
                      <a:prstGeom prst="rect"/>
                      <a:solidFill>
                        <a:srgbClr val="FFFFFF">
                          <a:alpha val="0"/>
                        </a:srgbClr>
                      </a:solidFill>
                    </wps:spPr>
                    <wps:txbx>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5.05pt;height:11.55pt;mso-wrap-distance-left:0pt;mso-wrap-distance-right:0pt;mso-wrap-distance-top:0pt;mso-wrap-distance-bottom:0pt;margin-top:0.05pt;mso-position-vertical-relative:text;margin-left:0pt;mso-position-horizontal:outside;mso-position-horizontal-relative:margin">
              <v:fill opacity="0f"/>
              <v:textbox inset="0in,0in,0in,0in">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p>
                </w:txbxContent>
              </v:textbox>
              <w10:wrap type="square"/>
            </v:rect>
          </w:pict>
        </mc:Fallback>
      </mc:AlternateContent>
    </w:r>
  </w:p>
  <w:p>
    <w:pPr>
      <w:pStyle w:val="Header"/>
      <w:ind w:firstLine="360" w:right="360"/>
      <w:rPr/>
    </w:pPr>
    <w:r>
      <w:rPr/>
      <mc:AlternateContent>
        <mc:Choice Requires="wps">
          <w:drawing>
            <wp:anchor behindDoc="1" distT="0" distB="0" distL="0" distR="0" simplePos="0" locked="0" layoutInCell="1" allowOverlap="1" relativeHeight="8" wp14:anchorId="485510DB">
              <wp:simplePos x="0" y="0"/>
              <wp:positionH relativeFrom="column">
                <wp:posOffset>-17780</wp:posOffset>
              </wp:positionH>
              <wp:positionV relativeFrom="paragraph">
                <wp:posOffset>17780</wp:posOffset>
              </wp:positionV>
              <wp:extent cx="5615940" cy="635"/>
              <wp:effectExtent l="5080" t="5715" r="5715" b="5080"/>
              <wp:wrapNone/>
              <wp:docPr id="25" name="AutoShape 7"/>
              <a:graphic xmlns:a="http://schemas.openxmlformats.org/drawingml/2006/main">
                <a:graphicData uri="http://schemas.microsoft.com/office/word/2010/wordprocessingShape">
                  <wps:wsp>
                    <wps:cNvSpPr/>
                    <wps:spPr>
                      <a:xfrm>
                        <a:off x="0" y="0"/>
                        <a:ext cx="561600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AutoShape 7" path="m0,0l-2147483648,-2147483647e" stroked="t" o:allowincell="f" style="position:absolute;margin-left:-1.4pt;margin-top:1.4pt;width:442.15pt;height:0pt;mso-wrap-style:none;v-text-anchor:middle" wp14:anchorId="485510DB" type="_x0000_t32">
              <v:fill o:detectmouseclick="t" on="false"/>
              <v:stroke color="black" weight="9360" joinstyle="round" endcap="flat"/>
              <w10:wrap type="none"/>
            </v:shape>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320"/>
        <w:tab w:val="clear" w:pos="8640"/>
      </w:tabs>
      <w:ind w:right="45"/>
      <w:rPr>
        <w:b/>
      </w:rPr>
    </w:pPr>
    <w:r>
      <w:rPr>
        <w:b/>
      </w:rPr>
      <w:t>International Journal of Electrical and Computer Engineering (IJECE)</w:t>
    </w:r>
  </w:p>
  <w:p>
    <w:pPr>
      <w:pStyle w:val="Header"/>
      <w:tabs>
        <w:tab w:val="clear" w:pos="4320"/>
        <w:tab w:val="clear" w:pos="8640"/>
      </w:tabs>
      <w:ind w:right="45"/>
      <w:rPr/>
    </w:pPr>
    <w:bookmarkStart w:id="36" w:name="_Hlk80000548"/>
    <w:r>
      <w:rPr/>
      <w:t>Vol. 99, No. 1, Month 2099, pp. 1~1x</w:t>
    </w:r>
    <w:bookmarkEnd w:id="36"/>
  </w:p>
  <w:p>
    <w:pPr>
      <w:pStyle w:val="Header"/>
      <w:tabs>
        <w:tab w:val="clear" w:pos="4320"/>
        <w:tab w:val="clear" w:pos="8640"/>
        <w:tab w:val="left" w:pos="7938" w:leader="none"/>
        <w:tab w:val="right" w:pos="8789" w:leader="none"/>
      </w:tabs>
      <w:rPr>
        <w:rStyle w:val="PageNumber"/>
      </w:rPr>
    </w:pPr>
    <w:r>
      <w:rPr/>
      <w:t>ISSN: 2088-8708, DOI: 10.11591/ijece.v99i1.pp1-1x</w:t>
      <w:tab/>
    </w:r>
    <w:r>
      <w:rPr>
        <w:rFonts w:eastAsia="Wingdings" w:cs="Wingdings" w:ascii="Wingdings" w:hAnsi="Wingdings"/>
      </w:rPr>
      <w:sym w:font="Wingdings" w:char="f072"/>
    </w:r>
    <w:r>
      <w:rPr/>
      <w:t xml:space="preserve">    </w:t>
      <w:tab/>
    </w:r>
    <w:r>
      <w:rPr>
        <w:rStyle w:val="PageNumber"/>
      </w:rPr>
      <w:fldChar w:fldCharType="begin"/>
    </w:r>
    <w:r>
      <w:rPr>
        <w:rStyle w:val="PageNumber"/>
      </w:rPr>
      <w:instrText xml:space="preserve"> PAGE </w:instrText>
    </w:r>
    <w:r>
      <w:rPr>
        <w:rStyle w:val="PageNumber"/>
      </w:rPr>
      <w:fldChar w:fldCharType="separate"/>
    </w:r>
    <w:r>
      <w:rPr>
        <w:rStyle w:val="PageNumber"/>
      </w:rPr>
      <w:t>1</w:t>
    </w:r>
    <w:r>
      <w:rPr>
        <w:rStyle w:val="PageNumber"/>
      </w:rPr>
      <w:fldChar w:fldCharType="end"/>
    </w:r>
    <w:r>
      <mc:AlternateContent>
        <mc:Choice Requires="wps">
          <w:drawing>
            <wp:anchor behindDoc="1" distT="0" distB="0" distL="0" distR="0" simplePos="0" locked="0" layoutInCell="1" allowOverlap="1" relativeHeight="16" wp14:anchorId="480481AD">
              <wp:simplePos x="0" y="0"/>
              <wp:positionH relativeFrom="column">
                <wp:posOffset>-19050</wp:posOffset>
              </wp:positionH>
              <wp:positionV relativeFrom="paragraph">
                <wp:posOffset>180975</wp:posOffset>
              </wp:positionV>
              <wp:extent cx="5615940" cy="635"/>
              <wp:effectExtent l="5080" t="5715" r="5715" b="5080"/>
              <wp:wrapNone/>
              <wp:docPr id="26" name="AutoShape 6"/>
              <a:graphic xmlns:a="http://schemas.openxmlformats.org/drawingml/2006/main">
                <a:graphicData uri="http://schemas.microsoft.com/office/word/2010/wordprocessingShape">
                  <wps:wsp>
                    <wps:cNvSpPr/>
                    <wps:spPr>
                      <a:xfrm>
                        <a:off x="0" y="0"/>
                        <a:ext cx="561600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AutoShape 6" path="m0,0l-2147483648,-2147483647e" stroked="t" o:allowincell="f" style="position:absolute;margin-left:-1.5pt;margin-top:14.25pt;width:442.15pt;height:0pt;mso-wrap-style:none;v-text-anchor:middle" wp14:anchorId="480481AD" type="_x0000_t32">
              <v:fill o:detectmouseclick="t" on="false"/>
              <v:stroke color="black" weight="9360" joinstyle="round" endcap="flat"/>
              <w10:wrap type="none"/>
            </v:shape>
          </w:pict>
        </mc:Fallback>
      </mc:AlternateContent>
    </w:r>
    <w:r>
      <w:rPr>
        <w:rStyle w:val="PageNumber"/>
      </w:rPr>
      <w:tab/>
    </w:r>
  </w:p>
  <w:p>
    <w:pPr>
      <w:pStyle w:val="Header"/>
      <w:tabs>
        <w:tab w:val="clear" w:pos="4320"/>
        <w:tab w:val="clear" w:pos="8640"/>
        <w:tab w:val="left" w:pos="7938" w:leader="none"/>
        <w:tab w:val="right" w:pos="8789" w:leader="none"/>
      </w:tabs>
      <w:rPr>
        <w:rStyle w:val="PageNumb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360"/>
        </w:tabs>
        <w:ind w:left="360" w:hanging="360"/>
      </w:pPr>
      <w:rPr>
        <w:sz w:val="16"/>
        <w:i w:val="false"/>
        <w:b w:val="false"/>
        <w:rFonts w:ascii="Times New Roman" w:hAnsi="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upperRoman"/>
      <w:lvlText w:val="TABLE %1. "/>
      <w:lvlJc w:val="left"/>
      <w:pPr>
        <w:tabs>
          <w:tab w:val="num" w:pos="1080"/>
        </w:tabs>
        <w:ind w:left="0" w:hanging="0"/>
      </w:pPr>
      <w:rPr>
        <w:sz w:val="16"/>
        <w:i w:val="false"/>
        <w:b w:val="false"/>
        <w:rFonts w:ascii="Times New Roman" w:hAnsi="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60"/>
      </w:pPr>
      <w:rPr>
        <w:sz w:val="20"/>
        <w:i w:val="false"/>
        <w:b/>
        <w:rFonts w:ascii="Times New Roman" w:hAnsi="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decimal"/>
      <w:lvlText w:val="[%1]"/>
      <w:lvlJc w:val="left"/>
      <w:pPr>
        <w:tabs>
          <w:tab w:val="num" w:pos="0"/>
        </w:tabs>
        <w:ind w:left="360" w:hanging="360"/>
      </w:pPr>
      <w:rPr>
        <w:sz w:val="18"/>
        <w:b/>
        <w:szCs w:val="18"/>
        <w:bCs/>
        <w:rFonts w:ascii="Times New Roman" w:hAnsi="Times New Roman"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1429" w:hanging="360"/>
      </w:pPr>
      <w:rPr>
        <w:rFonts w:ascii="Calibri" w:hAnsi="Calibri" w:cs="Calibri"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Calibri" w:hAnsi="Calibri" w:cs="Calibri" w:hint="default"/>
      </w:rPr>
    </w:lvl>
    <w:lvl w:ilvl="1">
      <w:start w:val="1"/>
      <w:numFmt w:val="decimal"/>
      <w:lvlText w:val="%2."/>
      <w:lvlJc w:val="left"/>
      <w:pPr>
        <w:tabs>
          <w:tab w:val="num" w:pos="1440"/>
        </w:tabs>
        <w:ind w:left="1440" w:hanging="360"/>
      </w:pPr>
      <w:rPr>
        <w:rFonts w:cs="Times New Roman"/>
      </w:rPr>
    </w:lvl>
    <w:lvl w:ilvl="2">
      <w:start w:val="1"/>
      <w:numFmt w:val="decimal"/>
      <w:lvlText w:val="%3."/>
      <w:lvlJc w:val="left"/>
      <w:pPr>
        <w:tabs>
          <w:tab w:val="num" w:pos="2160"/>
        </w:tabs>
        <w:ind w:left="2160" w:hanging="360"/>
      </w:pPr>
      <w:rPr>
        <w:rFonts w:cs="Times New Roman"/>
      </w:rPr>
    </w:lvl>
    <w:lvl w:ilvl="3">
      <w:start w:val="1"/>
      <w:numFmt w:val="decimal"/>
      <w:lvlText w:val="%4."/>
      <w:lvlJc w:val="left"/>
      <w:pPr>
        <w:tabs>
          <w:tab w:val="num" w:pos="2880"/>
        </w:tabs>
        <w:ind w:left="2880" w:hanging="360"/>
      </w:pPr>
      <w:rPr>
        <w:rFonts w:cs="Times New Roman"/>
      </w:rPr>
    </w:lvl>
    <w:lvl w:ilvl="4">
      <w:start w:val="1"/>
      <w:numFmt w:val="decimal"/>
      <w:lvlText w:val="%5."/>
      <w:lvlJc w:val="left"/>
      <w:pPr>
        <w:tabs>
          <w:tab w:val="num" w:pos="3600"/>
        </w:tabs>
        <w:ind w:left="3600" w:hanging="360"/>
      </w:pPr>
      <w:rPr>
        <w:rFonts w:cs="Times New Roman"/>
      </w:rPr>
    </w:lvl>
    <w:lvl w:ilvl="5">
      <w:start w:val="1"/>
      <w:numFmt w:val="decimal"/>
      <w:lvlText w:val="%6."/>
      <w:lvlJc w:val="left"/>
      <w:pPr>
        <w:tabs>
          <w:tab w:val="num" w:pos="4320"/>
        </w:tabs>
        <w:ind w:left="4320" w:hanging="360"/>
      </w:pPr>
      <w:rPr>
        <w:rFonts w:cs="Times New Roman"/>
      </w:rPr>
    </w:lvl>
    <w:lvl w:ilvl="6">
      <w:start w:val="1"/>
      <w:numFmt w:val="decimal"/>
      <w:lvlText w:val="%7."/>
      <w:lvlJc w:val="left"/>
      <w:pPr>
        <w:tabs>
          <w:tab w:val="num" w:pos="5040"/>
        </w:tabs>
        <w:ind w:left="5040" w:hanging="360"/>
      </w:pPr>
      <w:rPr>
        <w:rFonts w:cs="Times New Roman"/>
      </w:rPr>
    </w:lvl>
    <w:lvl w:ilvl="7">
      <w:start w:val="1"/>
      <w:numFmt w:val="decimal"/>
      <w:lvlText w:val="%8."/>
      <w:lvlJc w:val="left"/>
      <w:pPr>
        <w:tabs>
          <w:tab w:val="num" w:pos="5760"/>
        </w:tabs>
        <w:ind w:left="5760" w:hanging="360"/>
      </w:pPr>
      <w:rPr>
        <w:rFonts w:cs="Times New Roman"/>
      </w:rPr>
    </w:lvl>
    <w:lvl w:ilvl="8">
      <w:start w:val="1"/>
      <w:numFmt w:val="decimal"/>
      <w:lvlText w:val="%9."/>
      <w:lvlJc w:val="left"/>
      <w:pPr>
        <w:tabs>
          <w:tab w:val="num" w:pos="6480"/>
        </w:tabs>
        <w:ind w:left="6480" w:hanging="360"/>
      </w:pPr>
      <w:rPr>
        <w:rFonts w:cs="Times New Roman"/>
      </w:rPr>
    </w:lvl>
  </w:abstractNum>
  <w:abstractNum w:abstractNumId="9">
    <w:lvl w:ilvl="0">
      <w:start w:val="1"/>
      <w:numFmt w:val="bullet"/>
      <w:lvlText w:val=""/>
      <w:lvlJc w:val="left"/>
      <w:pPr>
        <w:tabs>
          <w:tab w:val="num" w:pos="0"/>
        </w:tabs>
        <w:ind w:left="1146" w:hanging="360"/>
      </w:pPr>
      <w:rPr>
        <w:rFonts w:ascii="Wingdings" w:hAnsi="Wingdings" w:cs="Wingdings" w:hint="default"/>
      </w:rPr>
    </w:lvl>
    <w:lvl w:ilvl="1">
      <w:start w:val="1"/>
      <w:numFmt w:val="bullet"/>
      <w:lvlText w:val="o"/>
      <w:lvlJc w:val="left"/>
      <w:pPr>
        <w:tabs>
          <w:tab w:val="num" w:pos="0"/>
        </w:tabs>
        <w:ind w:left="1866" w:hanging="360"/>
      </w:pPr>
      <w:rPr>
        <w:rFonts w:ascii="Courier New" w:hAnsi="Courier New" w:cs="Courier New" w:hint="default"/>
      </w:rPr>
    </w:lvl>
    <w:lvl w:ilvl="2">
      <w:start w:val="1"/>
      <w:numFmt w:val="bullet"/>
      <w:lvlText w:val=""/>
      <w:lvlJc w:val="left"/>
      <w:pPr>
        <w:tabs>
          <w:tab w:val="num" w:pos="0"/>
        </w:tabs>
        <w:ind w:left="2586" w:hanging="360"/>
      </w:pPr>
      <w:rPr>
        <w:rFonts w:ascii="Wingdings" w:hAnsi="Wingdings" w:cs="Wingdings" w:hint="default"/>
      </w:rPr>
    </w:lvl>
    <w:lvl w:ilvl="3">
      <w:start w:val="1"/>
      <w:numFmt w:val="bullet"/>
      <w:lvlText w:val=""/>
      <w:lvlJc w:val="left"/>
      <w:pPr>
        <w:tabs>
          <w:tab w:val="num" w:pos="0"/>
        </w:tabs>
        <w:ind w:left="3306" w:hanging="360"/>
      </w:pPr>
      <w:rPr>
        <w:rFonts w:ascii="Symbol" w:hAnsi="Symbol" w:cs="Symbol" w:hint="default"/>
      </w:rPr>
    </w:lvl>
    <w:lvl w:ilvl="4">
      <w:start w:val="1"/>
      <w:numFmt w:val="bullet"/>
      <w:lvlText w:val="o"/>
      <w:lvlJc w:val="left"/>
      <w:pPr>
        <w:tabs>
          <w:tab w:val="num" w:pos="0"/>
        </w:tabs>
        <w:ind w:left="4026" w:hanging="360"/>
      </w:pPr>
      <w:rPr>
        <w:rFonts w:ascii="Courier New" w:hAnsi="Courier New" w:cs="Courier New" w:hint="default"/>
      </w:rPr>
    </w:lvl>
    <w:lvl w:ilvl="5">
      <w:start w:val="1"/>
      <w:numFmt w:val="bullet"/>
      <w:lvlText w:val=""/>
      <w:lvlJc w:val="left"/>
      <w:pPr>
        <w:tabs>
          <w:tab w:val="num" w:pos="0"/>
        </w:tabs>
        <w:ind w:left="4746" w:hanging="360"/>
      </w:pPr>
      <w:rPr>
        <w:rFonts w:ascii="Wingdings" w:hAnsi="Wingdings" w:cs="Wingdings" w:hint="default"/>
      </w:rPr>
    </w:lvl>
    <w:lvl w:ilvl="6">
      <w:start w:val="1"/>
      <w:numFmt w:val="bullet"/>
      <w:lvlText w:val=""/>
      <w:lvlJc w:val="left"/>
      <w:pPr>
        <w:tabs>
          <w:tab w:val="num" w:pos="0"/>
        </w:tabs>
        <w:ind w:left="5466" w:hanging="360"/>
      </w:pPr>
      <w:rPr>
        <w:rFonts w:ascii="Symbol" w:hAnsi="Symbol" w:cs="Symbol" w:hint="default"/>
      </w:rPr>
    </w:lvl>
    <w:lvl w:ilvl="7">
      <w:start w:val="1"/>
      <w:numFmt w:val="bullet"/>
      <w:lvlText w:val="o"/>
      <w:lvlJc w:val="left"/>
      <w:pPr>
        <w:tabs>
          <w:tab w:val="num" w:pos="0"/>
        </w:tabs>
        <w:ind w:left="6186" w:hanging="360"/>
      </w:pPr>
      <w:rPr>
        <w:rFonts w:ascii="Courier New" w:hAnsi="Courier New" w:cs="Courier New" w:hint="default"/>
      </w:rPr>
    </w:lvl>
    <w:lvl w:ilvl="8">
      <w:start w:val="1"/>
      <w:numFmt w:val="bullet"/>
      <w:lvlText w:val=""/>
      <w:lvlJc w:val="left"/>
      <w:pPr>
        <w:tabs>
          <w:tab w:val="num" w:pos="0"/>
        </w:tabs>
        <w:ind w:left="6906" w:hanging="360"/>
      </w:pPr>
      <w:rPr>
        <w:rFonts w:ascii="Wingdings" w:hAnsi="Wingdings" w:cs="Wingdings" w:hint="default"/>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30"/>
  <w:defaultTabStop w:val="720"/>
  <w:autoHyphenation w:val="true"/>
  <w:evenAndOddHeader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ms-MY"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uiPriority="0"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91546"/>
    <w:pPr>
      <w:widowControl/>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qFormat/>
    <w:rsid w:val="00c15a56"/>
    <w:pPr>
      <w:keepNext w:val="true"/>
      <w:spacing w:lineRule="auto" w:line="480"/>
      <w:jc w:val="center"/>
      <w:outlineLvl w:val="0"/>
    </w:pPr>
    <w:rPr>
      <w:b/>
      <w:bCs/>
    </w:rPr>
  </w:style>
  <w:style w:type="paragraph" w:styleId="Heading2">
    <w:name w:val="Heading 2"/>
    <w:basedOn w:val="Normal"/>
    <w:next w:val="Normal"/>
    <w:qFormat/>
    <w:rsid w:val="00fa0403"/>
    <w:pPr>
      <w:keepNext w:val="true"/>
      <w:spacing w:before="240" w:after="60"/>
      <w:outlineLvl w:val="1"/>
    </w:pPr>
    <w:rPr>
      <w:rFonts w:ascii="Arial" w:hAnsi="Arial" w:cs="Arial"/>
      <w:b/>
      <w:bCs/>
      <w:i/>
      <w:iCs/>
      <w:sz w:val="28"/>
      <w:szCs w:val="28"/>
    </w:rPr>
  </w:style>
  <w:style w:type="paragraph" w:styleId="Heading3">
    <w:name w:val="Heading 3"/>
    <w:basedOn w:val="Normal"/>
    <w:next w:val="Normal"/>
    <w:qFormat/>
    <w:rsid w:val="00db3d8c"/>
    <w:pPr>
      <w:keepNext w:val="true"/>
      <w:spacing w:before="240" w:after="60"/>
      <w:outlineLvl w:val="2"/>
    </w:pPr>
    <w:rPr>
      <w:rFonts w:ascii="Arial" w:hAnsi="Arial" w:cs="Arial"/>
      <w:b/>
      <w:bCs/>
      <w:sz w:val="26"/>
      <w:szCs w:val="26"/>
    </w:rPr>
  </w:style>
  <w:style w:type="paragraph" w:styleId="Heading4">
    <w:name w:val="Heading 4"/>
    <w:basedOn w:val="Normal"/>
    <w:next w:val="Normal"/>
    <w:qFormat/>
    <w:rsid w:val="004710ee"/>
    <w:pPr>
      <w:keepNext w:val="true"/>
      <w:spacing w:before="240" w:after="60"/>
      <w:outlineLvl w:val="3"/>
    </w:pPr>
    <w:rPr>
      <w:b/>
      <w:bCs/>
      <w:sz w:val="28"/>
      <w:szCs w:val="28"/>
    </w:rPr>
  </w:style>
  <w:style w:type="paragraph" w:styleId="Heading5">
    <w:name w:val="Heading 5"/>
    <w:basedOn w:val="Normal"/>
    <w:next w:val="Normal"/>
    <w:qFormat/>
    <w:rsid w:val="00db3d8c"/>
    <w:pPr>
      <w:spacing w:before="240" w:after="60"/>
      <w:outlineLvl w:val="4"/>
    </w:pPr>
    <w:rPr>
      <w:b/>
      <w:bCs/>
      <w:i/>
      <w:iCs/>
      <w:sz w:val="26"/>
      <w:szCs w:val="26"/>
    </w:rPr>
  </w:style>
  <w:style w:type="paragraph" w:styleId="Heading6">
    <w:name w:val="Heading 6"/>
    <w:basedOn w:val="Normal"/>
    <w:next w:val="Normal"/>
    <w:qFormat/>
    <w:rsid w:val="00097958"/>
    <w:pPr>
      <w:keepNext w:val="true"/>
      <w:jc w:val="center"/>
      <w:outlineLvl w:val="5"/>
    </w:pPr>
    <w:rPr>
      <w:b/>
      <w:bCs/>
      <w:i/>
      <w:iCs/>
      <w:u w:val="single"/>
    </w:rPr>
  </w:style>
  <w:style w:type="paragraph" w:styleId="Heading7">
    <w:name w:val="Heading 7"/>
    <w:basedOn w:val="Normal"/>
    <w:next w:val="Normal"/>
    <w:qFormat/>
    <w:rsid w:val="00db3d8c"/>
    <w:pPr>
      <w:spacing w:before="240" w:after="60"/>
      <w:outlineLvl w:val="6"/>
    </w:pPr>
    <w:rPr>
      <w:sz w:val="24"/>
      <w:szCs w:val="24"/>
    </w:rPr>
  </w:style>
  <w:style w:type="paragraph" w:styleId="Heading8">
    <w:name w:val="Heading 8"/>
    <w:basedOn w:val="Normal"/>
    <w:next w:val="Normal"/>
    <w:qFormat/>
    <w:rsid w:val="00097958"/>
    <w:pPr>
      <w:keepNext w:val="true"/>
      <w:outlineLvl w:val="7"/>
    </w:pPr>
    <w:rPr>
      <w:b/>
      <w:bCs/>
      <w:lang w:val="pl-PL" w:eastAsia="pl-PL"/>
    </w:rPr>
  </w:style>
  <w:style w:type="paragraph" w:styleId="Heading9">
    <w:name w:val="Heading 9"/>
    <w:basedOn w:val="Normal"/>
    <w:next w:val="Normal"/>
    <w:qFormat/>
    <w:rsid w:val="00097958"/>
    <w:pPr>
      <w:keepNext w:val="true"/>
      <w:ind w:right="-4041"/>
      <w:outlineLvl w:val="8"/>
    </w:pPr>
    <w:rPr>
      <w:b/>
      <w:bCs/>
      <w:lang w:val="en-AU" w:eastAsia="pl-PL"/>
    </w:rPr>
  </w:style>
  <w:style w:type="character" w:styleId="DefaultParagraphFont" w:default="1">
    <w:name w:val="Default Paragraph Font"/>
    <w:uiPriority w:val="1"/>
    <w:semiHidden/>
    <w:unhideWhenUsed/>
    <w:qFormat/>
    <w:rPr/>
  </w:style>
  <w:style w:type="character" w:styleId="Hyperlink">
    <w:name w:val="Hyperlink"/>
    <w:basedOn w:val="DefaultParagraphFont"/>
    <w:rsid w:val="00102a61"/>
    <w:rPr>
      <w:color w:val="0000FF"/>
      <w:u w:val="single"/>
    </w:rPr>
  </w:style>
  <w:style w:type="character" w:styleId="PageNumber">
    <w:name w:val="Page Number"/>
    <w:basedOn w:val="DefaultParagraphFont"/>
    <w:rsid w:val="0094367d"/>
    <w:rPr/>
  </w:style>
  <w:style w:type="character" w:styleId="Caracteresdenotaalpie">
    <w:name w:val="Caracteres de nota al pie"/>
    <w:basedOn w:val="DefaultParagraphFont"/>
    <w:semiHidden/>
    <w:qFormat/>
    <w:rsid w:val="00fa0403"/>
    <w:rPr>
      <w:vertAlign w:val="superscript"/>
    </w:rPr>
  </w:style>
  <w:style w:type="character" w:styleId="FootnoteReference">
    <w:name w:val="Footnote Reference"/>
    <w:rPr>
      <w:vertAlign w:val="superscript"/>
    </w:rPr>
  </w:style>
  <w:style w:type="character" w:styleId="Style10ptJustifiedChar" w:customStyle="1">
    <w:name w:val="Style 10 pt Justified Char"/>
    <w:basedOn w:val="DefaultParagraphFont"/>
    <w:link w:val="Style10ptJustified"/>
    <w:qFormat/>
    <w:rsid w:val="00353885"/>
    <w:rPr>
      <w:rFonts w:ascii="Arial" w:hAnsi="Arial" w:eastAsia="MS Mincho" w:cs="Arial"/>
      <w:iCs/>
      <w:lang w:val="en-GB" w:eastAsia="en-US" w:bidi="ar-SA"/>
    </w:rPr>
  </w:style>
  <w:style w:type="character" w:styleId="CharChar" w:customStyle="1">
    <w:name w:val="Char Char"/>
    <w:basedOn w:val="DefaultParagraphFont"/>
    <w:qFormat/>
    <w:rsid w:val="00097958"/>
    <w:rPr>
      <w:rFonts w:ascii="Courier New" w:hAnsi="Courier New" w:eastAsia="BatangChe"/>
      <w:sz w:val="24"/>
      <w:szCs w:val="24"/>
      <w:lang w:val="en-US" w:eastAsia="en-US"/>
    </w:rPr>
  </w:style>
  <w:style w:type="character" w:styleId="Strong">
    <w:name w:val="Strong"/>
    <w:basedOn w:val="DefaultParagraphFont"/>
    <w:qFormat/>
    <w:rsid w:val="00335be8"/>
    <w:rPr>
      <w:rFonts w:cs="Times New Roman"/>
      <w:b/>
      <w:bCs/>
    </w:rPr>
  </w:style>
  <w:style w:type="character" w:styleId="Emphasis">
    <w:name w:val="Emphasis"/>
    <w:basedOn w:val="DefaultParagraphFont"/>
    <w:uiPriority w:val="20"/>
    <w:qFormat/>
    <w:rsid w:val="00232da1"/>
    <w:rPr>
      <w:i/>
      <w:iCs/>
    </w:rPr>
  </w:style>
  <w:style w:type="character" w:styleId="shorttext" w:customStyle="1">
    <w:name w:val="short_text"/>
    <w:basedOn w:val="DefaultParagraphFont"/>
    <w:qFormat/>
    <w:rsid w:val="007017c6"/>
    <w:rPr/>
  </w:style>
  <w:style w:type="character" w:styleId="longtext" w:customStyle="1">
    <w:name w:val="long_text"/>
    <w:basedOn w:val="DefaultParagraphFont"/>
    <w:qFormat/>
    <w:rsid w:val="004947b9"/>
    <w:rPr/>
  </w:style>
  <w:style w:type="character" w:styleId="apple-style-span" w:customStyle="1">
    <w:name w:val="apple-style-span"/>
    <w:basedOn w:val="DefaultParagraphFont"/>
    <w:qFormat/>
    <w:rsid w:val="00c35b8f"/>
    <w:rPr/>
  </w:style>
  <w:style w:type="character" w:styleId="apple-converted-space" w:customStyle="1">
    <w:name w:val="apple-converted-space"/>
    <w:basedOn w:val="DefaultParagraphFont"/>
    <w:qFormat/>
    <w:rsid w:val="00c35b8f"/>
    <w:rPr/>
  </w:style>
  <w:style w:type="character" w:styleId="hps" w:customStyle="1">
    <w:name w:val="hps"/>
    <w:basedOn w:val="DefaultParagraphFont"/>
    <w:qFormat/>
    <w:rsid w:val="008f05b8"/>
    <w:rPr/>
  </w:style>
  <w:style w:type="character" w:styleId="st" w:customStyle="1">
    <w:name w:val="st"/>
    <w:basedOn w:val="DefaultParagraphFont"/>
    <w:qFormat/>
    <w:rsid w:val="00956eb6"/>
    <w:rPr/>
  </w:style>
  <w:style w:type="character" w:styleId="fontstyle01" w:customStyle="1">
    <w:name w:val="fontstyle01"/>
    <w:basedOn w:val="DefaultParagraphFont"/>
    <w:qFormat/>
    <w:rsid w:val="00f15bf4"/>
    <w:rPr>
      <w:rFonts w:ascii="NimbusRomNo9L-Medi" w:hAnsi="NimbusRomNo9L-Medi"/>
      <w:b/>
      <w:bCs/>
      <w:i w:val="false"/>
      <w:iCs w:val="false"/>
      <w:color w:val="000000"/>
      <w:sz w:val="20"/>
      <w:szCs w:val="20"/>
    </w:rPr>
  </w:style>
  <w:style w:type="character" w:styleId="fontstyle21" w:customStyle="1">
    <w:name w:val="fontstyle21"/>
    <w:basedOn w:val="DefaultParagraphFont"/>
    <w:qFormat/>
    <w:rsid w:val="00f15bf4"/>
    <w:rPr>
      <w:rFonts w:ascii="NimbusRomNo9L-Regu" w:hAnsi="NimbusRomNo9L-Regu"/>
      <w:b w:val="false"/>
      <w:bCs w:val="false"/>
      <w:i w:val="false"/>
      <w:iCs w:val="false"/>
      <w:color w:val="000000"/>
      <w:sz w:val="20"/>
      <w:szCs w:val="20"/>
    </w:rPr>
  </w:style>
  <w:style w:type="character" w:styleId="UnresolvedMention1" w:customStyle="1">
    <w:name w:val="Unresolved Mention1"/>
    <w:basedOn w:val="DefaultParagraphFont"/>
    <w:uiPriority w:val="99"/>
    <w:semiHidden/>
    <w:unhideWhenUsed/>
    <w:qFormat/>
    <w:rsid w:val="00e619d6"/>
    <w:rPr>
      <w:color w:val="605E5C"/>
      <w:shd w:fill="E1DFDD" w:val="clear"/>
    </w:rPr>
  </w:style>
  <w:style w:type="character" w:styleId="highlight" w:customStyle="1">
    <w:name w:val="highlight"/>
    <w:basedOn w:val="DefaultParagraphFont"/>
    <w:qFormat/>
    <w:rsid w:val="00be2ff2"/>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rsid w:val="00c15a56"/>
    <w:pPr>
      <w:spacing w:before="0" w:after="120"/>
    </w:pPr>
    <w:rPr>
      <w:lang w:val="id-ID" w:eastAsia="id-ID"/>
    </w:rPr>
  </w:style>
  <w:style w:type="paragraph" w:styleId="List">
    <w:name w:val="List"/>
    <w:basedOn w:val="Normal"/>
    <w:rsid w:val="00da0390"/>
    <w:pPr>
      <w:ind w:hanging="360" w:left="360"/>
      <w:jc w:val="center"/>
    </w:pPr>
    <w:rPr>
      <w:sz w:val="24"/>
      <w:szCs w:val="24"/>
    </w:rPr>
  </w:style>
  <w:style w:type="paragraph" w:styleId="Caption">
    <w:name w:val="Caption"/>
    <w:basedOn w:val="Normal"/>
    <w:next w:val="Normal"/>
    <w:qFormat/>
    <w:rsid w:val="00c15a56"/>
    <w:pPr>
      <w:spacing w:lineRule="auto" w:line="480"/>
      <w:jc w:val="center"/>
    </w:pPr>
    <w:rPr>
      <w:i/>
      <w:iCs/>
    </w:rPr>
  </w:style>
  <w:style w:type="paragraph" w:styleId="ndice">
    <w:name w:val="Índice"/>
    <w:basedOn w:val="Normal"/>
    <w:qFormat/>
    <w:pPr>
      <w:suppressLineNumbers/>
    </w:pPr>
    <w:rPr>
      <w:rFonts w:cs="Noto Sans Devanagari"/>
    </w:rPr>
  </w:style>
  <w:style w:type="paragraph" w:styleId="Cabeceraypie">
    <w:name w:val="Cabecera y pie"/>
    <w:basedOn w:val="Normal"/>
    <w:qFormat/>
    <w:pPr/>
    <w:rPr/>
  </w:style>
  <w:style w:type="paragraph" w:styleId="Header">
    <w:name w:val="Header"/>
    <w:basedOn w:val="Normal"/>
    <w:rsid w:val="0094367d"/>
    <w:pPr>
      <w:tabs>
        <w:tab w:val="clear" w:pos="720"/>
        <w:tab w:val="center" w:pos="4320" w:leader="none"/>
        <w:tab w:val="right" w:pos="8640" w:leader="none"/>
      </w:tabs>
    </w:pPr>
    <w:rPr/>
  </w:style>
  <w:style w:type="paragraph" w:styleId="Footer">
    <w:name w:val="Footer"/>
    <w:basedOn w:val="Normal"/>
    <w:rsid w:val="0094367d"/>
    <w:pPr>
      <w:tabs>
        <w:tab w:val="clear" w:pos="720"/>
        <w:tab w:val="center" w:pos="4320" w:leader="none"/>
        <w:tab w:val="right" w:pos="8640" w:leader="none"/>
      </w:tabs>
    </w:pPr>
    <w:rPr/>
  </w:style>
  <w:style w:type="paragraph" w:styleId="BalloonText">
    <w:name w:val="Balloon Text"/>
    <w:basedOn w:val="Normal"/>
    <w:semiHidden/>
    <w:qFormat/>
    <w:rsid w:val="00061d77"/>
    <w:pPr/>
    <w:rPr>
      <w:rFonts w:ascii="Tahoma" w:hAnsi="Tahoma"/>
      <w:sz w:val="16"/>
      <w:szCs w:val="16"/>
    </w:rPr>
  </w:style>
  <w:style w:type="paragraph" w:styleId="BodyTextIndent">
    <w:name w:val="Body Text Indent"/>
    <w:basedOn w:val="Normal"/>
    <w:rsid w:val="00c15a56"/>
    <w:pPr>
      <w:spacing w:lineRule="auto" w:line="360"/>
      <w:ind w:firstLine="984" w:left="456"/>
      <w:jc w:val="both"/>
    </w:pPr>
    <w:rPr>
      <w:lang w:val="id-ID"/>
    </w:rPr>
  </w:style>
  <w:style w:type="paragraph" w:styleId="BodyTextIndent2">
    <w:name w:val="Body Text Indent 2"/>
    <w:basedOn w:val="Normal"/>
    <w:qFormat/>
    <w:rsid w:val="00c15a56"/>
    <w:pPr>
      <w:spacing w:lineRule="auto" w:line="480" w:before="0" w:after="120"/>
      <w:ind w:left="360"/>
    </w:pPr>
    <w:rPr/>
  </w:style>
  <w:style w:type="paragraph" w:styleId="FootnoteText">
    <w:name w:val="Footnote Text"/>
    <w:basedOn w:val="Normal"/>
    <w:semiHidden/>
    <w:rsid w:val="00fa0403"/>
    <w:pPr/>
    <w:rPr>
      <w:rFonts w:cs="Traditional Arabic"/>
      <w:lang w:eastAsia="ko-KR"/>
    </w:rPr>
  </w:style>
  <w:style w:type="paragraph" w:styleId="Judulbab" w:customStyle="1">
    <w:name w:val="Judul bab"/>
    <w:basedOn w:val="Normal"/>
    <w:qFormat/>
    <w:rsid w:val="004710ee"/>
    <w:pPr>
      <w:spacing w:lineRule="atLeast" w:line="475"/>
      <w:jc w:val="center"/>
    </w:pPr>
    <w:rPr>
      <w:b/>
      <w:sz w:val="32"/>
    </w:rPr>
  </w:style>
  <w:style w:type="paragraph" w:styleId="IsiBabforKomputek" w:customStyle="1">
    <w:name w:val="Isi Bab for Komputek"/>
    <w:basedOn w:val="Normal"/>
    <w:qFormat/>
    <w:rsid w:val="004710ee"/>
    <w:pPr>
      <w:ind w:firstLine="720"/>
      <w:jc w:val="both"/>
    </w:pPr>
    <w:rPr/>
  </w:style>
  <w:style w:type="paragraph" w:styleId="tole" w:customStyle="1">
    <w:name w:val="tole"/>
    <w:basedOn w:val="Normal"/>
    <w:qFormat/>
    <w:rsid w:val="00e91546"/>
    <w:pPr>
      <w:jc w:val="center"/>
      <w:outlineLvl w:val="0"/>
    </w:pPr>
    <w:rPr>
      <w:b/>
      <w:bCs/>
      <w:sz w:val="28"/>
      <w:szCs w:val="28"/>
    </w:rPr>
  </w:style>
  <w:style w:type="paragraph" w:styleId="tolesBold" w:customStyle="1">
    <w:name w:val="toles + Bold"/>
    <w:basedOn w:val="Normal"/>
    <w:qFormat/>
    <w:rsid w:val="00e91546"/>
    <w:pPr>
      <w:jc w:val="center"/>
      <w:outlineLvl w:val="0"/>
    </w:pPr>
    <w:rPr>
      <w:i/>
      <w:iCs/>
      <w:sz w:val="24"/>
      <w:szCs w:val="24"/>
    </w:rPr>
  </w:style>
  <w:style w:type="paragraph" w:styleId="toleLinespacingsingle" w:customStyle="1">
    <w:name w:val="tole + Line spacing:  single"/>
    <w:basedOn w:val="Normal"/>
    <w:qFormat/>
    <w:rsid w:val="00e91546"/>
    <w:pPr>
      <w:jc w:val="both"/>
    </w:pPr>
    <w:rPr>
      <w:sz w:val="24"/>
      <w:szCs w:val="24"/>
    </w:rPr>
  </w:style>
  <w:style w:type="paragraph" w:styleId="bunga" w:customStyle="1">
    <w:name w:val="bunga"/>
    <w:basedOn w:val="Normal"/>
    <w:qFormat/>
    <w:rsid w:val="00e91546"/>
    <w:pPr>
      <w:jc w:val="both"/>
    </w:pPr>
    <w:rPr>
      <w:rFonts w:ascii="Arial" w:hAnsi="Arial" w:cs="Arial"/>
      <w:szCs w:val="24"/>
    </w:rPr>
  </w:style>
  <w:style w:type="paragraph" w:styleId="bunga2" w:customStyle="1">
    <w:name w:val="bunga2"/>
    <w:basedOn w:val="Normal"/>
    <w:qFormat/>
    <w:rsid w:val="00e91546"/>
    <w:pPr>
      <w:jc w:val="both"/>
      <w:outlineLvl w:val="0"/>
    </w:pPr>
    <w:rPr>
      <w:rFonts w:ascii="Arial" w:hAnsi="Arial" w:cs="Arial"/>
      <w:b/>
      <w:bCs/>
      <w:szCs w:val="24"/>
    </w:rPr>
  </w:style>
  <w:style w:type="paragraph" w:styleId="DiQi" w:customStyle="1">
    <w:name w:val="DiQi"/>
    <w:basedOn w:val="Normal"/>
    <w:qFormat/>
    <w:rsid w:val="00da0390"/>
    <w:pPr>
      <w:spacing w:lineRule="auto" w:line="360"/>
      <w:jc w:val="both"/>
    </w:pPr>
    <w:rPr>
      <w:sz w:val="24"/>
      <w:szCs w:val="24"/>
    </w:rPr>
  </w:style>
  <w:style w:type="paragraph" w:styleId="tole3" w:customStyle="1">
    <w:name w:val="tole3"/>
    <w:basedOn w:val="DiQi"/>
    <w:qFormat/>
    <w:rsid w:val="00da0390"/>
    <w:pPr>
      <w:spacing w:lineRule="auto" w:line="240"/>
      <w:outlineLvl w:val="0"/>
    </w:pPr>
    <w:rPr>
      <w:rFonts w:ascii="Arial" w:hAnsi="Arial" w:cs="Arial"/>
      <w:b/>
      <w:bCs/>
      <w:sz w:val="20"/>
    </w:rPr>
  </w:style>
  <w:style w:type="paragraph" w:styleId="yange" w:customStyle="1">
    <w:name w:val="yange"/>
    <w:basedOn w:val="DiQi"/>
    <w:qFormat/>
    <w:rsid w:val="00da0390"/>
    <w:pPr>
      <w:spacing w:lineRule="auto" w:line="240"/>
      <w:ind w:left="360"/>
    </w:pPr>
    <w:rPr>
      <w:rFonts w:ascii="Arial" w:hAnsi="Arial" w:cs="Arial"/>
      <w:sz w:val="20"/>
    </w:rPr>
  </w:style>
  <w:style w:type="paragraph" w:styleId="yange2" w:customStyle="1">
    <w:name w:val="yange2"/>
    <w:basedOn w:val="DiQi"/>
    <w:qFormat/>
    <w:rsid w:val="00da0390"/>
    <w:pPr>
      <w:numPr>
        <w:ilvl w:val="0"/>
        <w:numId w:val="1"/>
      </w:numPr>
      <w:spacing w:lineRule="auto" w:line="240"/>
    </w:pPr>
    <w:rPr>
      <w:rFonts w:ascii="Arial" w:hAnsi="Arial" w:cs="Arial"/>
      <w:sz w:val="20"/>
    </w:rPr>
  </w:style>
  <w:style w:type="paragraph" w:styleId="JossTole" w:customStyle="1">
    <w:name w:val="JossTole"/>
    <w:basedOn w:val="DiQi"/>
    <w:qFormat/>
    <w:rsid w:val="00da0390"/>
    <w:pPr>
      <w:spacing w:lineRule="auto" w:line="240"/>
      <w:ind w:firstLine="709"/>
    </w:pPr>
    <w:rPr>
      <w:rFonts w:ascii="Arial" w:hAnsi="Arial" w:cs="Arial"/>
      <w:sz w:val="20"/>
    </w:rPr>
  </w:style>
  <w:style w:type="paragraph" w:styleId="BodyTextIndent3">
    <w:name w:val="Body Text Indent 3"/>
    <w:basedOn w:val="Normal"/>
    <w:qFormat/>
    <w:rsid w:val="00db3d8c"/>
    <w:pPr>
      <w:spacing w:before="0" w:after="120"/>
      <w:ind w:left="360"/>
    </w:pPr>
    <w:rPr>
      <w:sz w:val="16"/>
      <w:szCs w:val="16"/>
    </w:rPr>
  </w:style>
  <w:style w:type="paragraph" w:styleId="Body0" w:customStyle="1">
    <w:name w:val="Body 0"/>
    <w:basedOn w:val="Normal"/>
    <w:qFormat/>
    <w:rsid w:val="00db3d8c"/>
    <w:pPr>
      <w:spacing w:lineRule="atLeast" w:line="360"/>
      <w:jc w:val="both"/>
    </w:pPr>
    <w:rPr>
      <w:rFonts w:ascii="Palatino" w:hAnsi="Palatino"/>
      <w:sz w:val="24"/>
      <w:szCs w:val="24"/>
    </w:rPr>
  </w:style>
  <w:style w:type="paragraph" w:styleId="BodyText2">
    <w:name w:val="Body Text 2"/>
    <w:basedOn w:val="Normal"/>
    <w:qFormat/>
    <w:rsid w:val="005e736a"/>
    <w:pPr>
      <w:spacing w:lineRule="auto" w:line="480" w:before="0" w:after="120"/>
    </w:pPr>
    <w:rPr/>
  </w:style>
  <w:style w:type="paragraph" w:styleId="Title">
    <w:name w:val="Title"/>
    <w:basedOn w:val="Normal"/>
    <w:qFormat/>
    <w:rsid w:val="00f866b0"/>
    <w:pPr>
      <w:jc w:val="center"/>
    </w:pPr>
    <w:rPr>
      <w:b/>
      <w:bCs/>
      <w:sz w:val="28"/>
      <w:szCs w:val="24"/>
      <w:lang w:val="id-ID"/>
    </w:rPr>
  </w:style>
  <w:style w:type="paragraph" w:styleId="AutoBiography" w:customStyle="1">
    <w:name w:val="AutoBiography"/>
    <w:basedOn w:val="Normal"/>
    <w:qFormat/>
    <w:rsid w:val="004e154b"/>
    <w:pPr>
      <w:jc w:val="both"/>
    </w:pPr>
    <w:rPr>
      <w:rFonts w:eastAsia="MS Mincho" w:cs="Angsana New"/>
      <w:sz w:val="18"/>
      <w:szCs w:val="18"/>
      <w:lang w:bidi="th-TH"/>
    </w:rPr>
  </w:style>
  <w:style w:type="paragraph" w:styleId="Default" w:customStyle="1">
    <w:name w:val="Default"/>
    <w:qFormat/>
    <w:rsid w:val="004e154b"/>
    <w:pPr>
      <w:widowControl w:val="false"/>
      <w:bidi w:val="0"/>
      <w:spacing w:before="0" w:after="0"/>
      <w:jc w:val="left"/>
    </w:pPr>
    <w:rPr>
      <w:rFonts w:cs="Angsana New" w:ascii="Times New Roman" w:hAnsi="Times New Roman" w:eastAsia="Times New Roman"/>
      <w:color w:val="000000"/>
      <w:kern w:val="0"/>
      <w:sz w:val="24"/>
      <w:szCs w:val="24"/>
      <w:lang w:val="en-US" w:eastAsia="en-US" w:bidi="ar-SA"/>
    </w:rPr>
  </w:style>
  <w:style w:type="paragraph" w:styleId="SectionTitle" w:customStyle="1">
    <w:name w:val="Section Title"/>
    <w:basedOn w:val="Normal"/>
    <w:autoRedefine/>
    <w:qFormat/>
    <w:rsid w:val="00771a7c"/>
    <w:pPr>
      <w:snapToGrid w:val="false"/>
      <w:jc w:val="both"/>
    </w:pPr>
    <w:rPr>
      <w:rFonts w:eastAsia="MS Mincho" w:cs="Angsana New"/>
      <w:lang w:val="en-GB" w:bidi="th-TH"/>
    </w:rPr>
  </w:style>
  <w:style w:type="paragraph" w:styleId="Style10ptJustified" w:customStyle="1">
    <w:name w:val="Style 10 pt Justified"/>
    <w:basedOn w:val="Normal"/>
    <w:link w:val="Style10ptJustifiedChar"/>
    <w:autoRedefine/>
    <w:qFormat/>
    <w:rsid w:val="00353885"/>
    <w:pPr>
      <w:snapToGrid w:val="false"/>
      <w:ind w:firstLine="720"/>
      <w:jc w:val="both"/>
    </w:pPr>
    <w:rPr>
      <w:rFonts w:ascii="Arial" w:hAnsi="Arial" w:eastAsia="MS Mincho" w:cs="Arial"/>
      <w:iCs/>
      <w:lang w:val="en-GB"/>
    </w:rPr>
  </w:style>
  <w:style w:type="paragraph" w:styleId="paperbody" w:customStyle="1">
    <w:name w:val="paper body"/>
    <w:basedOn w:val="Normal"/>
    <w:qFormat/>
    <w:rsid w:val="00097958"/>
    <w:pPr>
      <w:jc w:val="both"/>
    </w:pPr>
    <w:rPr>
      <w:sz w:val="24"/>
      <w:szCs w:val="24"/>
      <w:lang w:val="en-AU"/>
    </w:rPr>
  </w:style>
  <w:style w:type="paragraph" w:styleId="PlainText">
    <w:name w:val="Plain Text"/>
    <w:basedOn w:val="Normal"/>
    <w:semiHidden/>
    <w:qFormat/>
    <w:rsid w:val="00097958"/>
    <w:pPr/>
    <w:rPr>
      <w:rFonts w:ascii="Courier New" w:hAnsi="Courier New" w:eastAsia="BatangChe"/>
      <w:sz w:val="24"/>
      <w:szCs w:val="24"/>
    </w:rPr>
  </w:style>
  <w:style w:type="paragraph" w:styleId="Subtitle">
    <w:name w:val="Subtitle"/>
    <w:basedOn w:val="Normal"/>
    <w:qFormat/>
    <w:rsid w:val="00097958"/>
    <w:pPr>
      <w:jc w:val="center"/>
    </w:pPr>
    <w:rPr>
      <w:b/>
      <w:bCs/>
      <w:sz w:val="32"/>
      <w:szCs w:val="32"/>
      <w:lang w:val="en-GB"/>
    </w:rPr>
  </w:style>
  <w:style w:type="paragraph" w:styleId="Body" w:customStyle="1">
    <w:name w:val="Body"/>
    <w:basedOn w:val="Normal"/>
    <w:qFormat/>
    <w:rsid w:val="00097958"/>
    <w:pPr>
      <w:widowControl w:val="false"/>
      <w:ind w:firstLine="340"/>
      <w:jc w:val="both"/>
      <w:textAlignment w:val="baseline"/>
    </w:pPr>
    <w:rPr>
      <w:rFonts w:eastAsia="BatangChe"/>
      <w:lang w:eastAsia="ko-KR"/>
    </w:rPr>
  </w:style>
  <w:style w:type="paragraph" w:styleId="Reference" w:customStyle="1">
    <w:name w:val="Reference"/>
    <w:basedOn w:val="Normal"/>
    <w:qFormat/>
    <w:rsid w:val="00097958"/>
    <w:pPr>
      <w:widowControl w:val="false"/>
      <w:spacing w:before="60" w:after="60"/>
      <w:ind w:hanging="288" w:left="288"/>
      <w:jc w:val="both"/>
      <w:textAlignment w:val="baseline"/>
    </w:pPr>
    <w:rPr>
      <w:rFonts w:eastAsia="BatangChe"/>
      <w:lang w:eastAsia="ko-KR"/>
    </w:rPr>
  </w:style>
  <w:style w:type="paragraph" w:styleId="Demenko" w:customStyle="1">
    <w:name w:val="Demenko"/>
    <w:basedOn w:val="Normal"/>
    <w:qFormat/>
    <w:rsid w:val="00097958"/>
    <w:pPr>
      <w:widowControl w:val="false"/>
      <w:tabs>
        <w:tab w:val="clear" w:pos="720"/>
        <w:tab w:val="left" w:pos="567" w:leader="none"/>
        <w:tab w:val="center" w:pos="4820" w:leader="none"/>
        <w:tab w:val="right" w:pos="9639" w:leader="none"/>
      </w:tabs>
      <w:spacing w:lineRule="auto" w:line="360" w:before="0" w:after="113"/>
      <w:jc w:val="both"/>
    </w:pPr>
    <w:rPr>
      <w:sz w:val="22"/>
      <w:szCs w:val="22"/>
      <w:lang w:val="en-GB" w:eastAsia="pl-PL"/>
    </w:rPr>
  </w:style>
  <w:style w:type="paragraph" w:styleId="Texto" w:customStyle="1">
    <w:name w:val="Texto"/>
    <w:basedOn w:val="Normal"/>
    <w:qFormat/>
    <w:rsid w:val="00097958"/>
    <w:pPr>
      <w:widowControl w:val="false"/>
      <w:spacing w:lineRule="auto" w:line="252"/>
      <w:ind w:firstLine="202"/>
      <w:jc w:val="both"/>
    </w:pPr>
    <w:rPr>
      <w:rFonts w:eastAsia="Batang"/>
      <w:lang w:eastAsia="ko-KR"/>
    </w:rPr>
  </w:style>
  <w:style w:type="paragraph" w:styleId="Equation" w:customStyle="1">
    <w:name w:val="Equation"/>
    <w:basedOn w:val="Normal"/>
    <w:next w:val="Normal"/>
    <w:qFormat/>
    <w:rsid w:val="00097958"/>
    <w:pPr>
      <w:widowControl w:val="false"/>
      <w:tabs>
        <w:tab w:val="clear" w:pos="720"/>
        <w:tab w:val="right" w:pos="5040" w:leader="none"/>
      </w:tabs>
      <w:spacing w:lineRule="auto" w:line="252"/>
      <w:jc w:val="both"/>
    </w:pPr>
    <w:rPr>
      <w:rFonts w:eastAsia="Batang"/>
      <w:lang w:eastAsia="ko-KR"/>
    </w:rPr>
  </w:style>
  <w:style w:type="paragraph" w:styleId="TableTitle" w:customStyle="1">
    <w:name w:val="Table Title"/>
    <w:basedOn w:val="Normal"/>
    <w:qFormat/>
    <w:rsid w:val="00097958"/>
    <w:pPr>
      <w:jc w:val="center"/>
    </w:pPr>
    <w:rPr>
      <w:smallCaps/>
      <w:sz w:val="16"/>
      <w:szCs w:val="16"/>
    </w:rPr>
  </w:style>
  <w:style w:type="paragraph" w:styleId="Sub-titles" w:customStyle="1">
    <w:name w:val="Sub-titles"/>
    <w:basedOn w:val="Normal"/>
    <w:qFormat/>
    <w:rsid w:val="00097958"/>
    <w:pPr>
      <w:jc w:val="both"/>
    </w:pPr>
    <w:rPr>
      <w:b/>
      <w:bCs/>
      <w:color w:val="000000"/>
      <w:sz w:val="24"/>
      <w:szCs w:val="24"/>
      <w:lang w:val="pt-PT" w:eastAsia="pt-PT"/>
    </w:rPr>
  </w:style>
  <w:style w:type="paragraph" w:styleId="text" w:customStyle="1">
    <w:name w:val="text"/>
    <w:basedOn w:val="Normal"/>
    <w:qFormat/>
    <w:rsid w:val="00097958"/>
    <w:pPr>
      <w:ind w:firstLine="227"/>
      <w:jc w:val="both"/>
    </w:pPr>
    <w:rPr/>
  </w:style>
  <w:style w:type="paragraph" w:styleId="tables" w:customStyle="1">
    <w:name w:val="tables"/>
    <w:basedOn w:val="Normal"/>
    <w:qFormat/>
    <w:rsid w:val="00097958"/>
    <w:pPr>
      <w:jc w:val="both"/>
    </w:pPr>
    <w:rPr>
      <w:sz w:val="18"/>
      <w:szCs w:val="18"/>
    </w:rPr>
  </w:style>
  <w:style w:type="paragraph" w:styleId="NormalWeb">
    <w:name w:val="Normal (Web)"/>
    <w:basedOn w:val="Normal"/>
    <w:qFormat/>
    <w:rsid w:val="00232da1"/>
    <w:pPr>
      <w:spacing w:beforeAutospacing="1" w:afterAutospacing="1"/>
    </w:pPr>
    <w:rPr>
      <w:sz w:val="24"/>
      <w:szCs w:val="24"/>
    </w:rPr>
  </w:style>
  <w:style w:type="paragraph" w:styleId="Abstract" w:customStyle="1">
    <w:name w:val="Abstract"/>
    <w:qFormat/>
    <w:rsid w:val="007017c6"/>
    <w:pPr>
      <w:widowControl/>
      <w:bidi w:val="0"/>
      <w:spacing w:before="0" w:after="200"/>
      <w:jc w:val="both"/>
    </w:pPr>
    <w:rPr>
      <w:rFonts w:eastAsia="SimSun" w:ascii="Times New Roman" w:hAnsi="Times New Roman" w:cs="Times New Roman"/>
      <w:b/>
      <w:color w:val="auto"/>
      <w:kern w:val="0"/>
      <w:sz w:val="18"/>
      <w:szCs w:val="20"/>
      <w:lang w:val="en-US" w:eastAsia="en-US" w:bidi="ar-SA"/>
    </w:rPr>
  </w:style>
  <w:style w:type="paragraph" w:styleId="Affiliation" w:customStyle="1">
    <w:name w:val="Affiliation"/>
    <w:qFormat/>
    <w:rsid w:val="007017c6"/>
    <w:pPr>
      <w:widowControl/>
      <w:bidi w:val="0"/>
      <w:spacing w:before="0" w:after="0"/>
      <w:jc w:val="center"/>
    </w:pPr>
    <w:rPr>
      <w:rFonts w:eastAsia="SimSun" w:ascii="Times New Roman" w:hAnsi="Times New Roman" w:cs="Times New Roman"/>
      <w:color w:val="auto"/>
      <w:kern w:val="0"/>
      <w:sz w:val="20"/>
      <w:szCs w:val="20"/>
      <w:lang w:val="en-US" w:eastAsia="en-US" w:bidi="ar-SA"/>
    </w:rPr>
  </w:style>
  <w:style w:type="paragraph" w:styleId="equation1" w:customStyle="1">
    <w:name w:val="equation1"/>
    <w:basedOn w:val="Normal"/>
    <w:qFormat/>
    <w:rsid w:val="007017c6"/>
    <w:pPr>
      <w:tabs>
        <w:tab w:val="clear" w:pos="720"/>
        <w:tab w:val="center" w:pos="2520" w:leader="none"/>
        <w:tab w:val="right" w:pos="5040" w:leader="none"/>
      </w:tabs>
      <w:spacing w:lineRule="auto" w:line="216" w:before="240" w:after="240"/>
      <w:jc w:val="center"/>
    </w:pPr>
    <w:rPr>
      <w:rFonts w:eastAsia="SimSun"/>
    </w:rPr>
  </w:style>
  <w:style w:type="paragraph" w:styleId="figurecaption" w:customStyle="1">
    <w:name w:val="figure caption"/>
    <w:qFormat/>
    <w:rsid w:val="007017c6"/>
    <w:pPr>
      <w:widowControl/>
      <w:bidi w:val="0"/>
      <w:spacing w:before="80" w:after="200"/>
      <w:jc w:val="center"/>
    </w:pPr>
    <w:rPr>
      <w:rFonts w:eastAsia="SimSun" w:ascii="Times New Roman" w:hAnsi="Times New Roman" w:cs="Times New Roman"/>
      <w:color w:val="auto"/>
      <w:kern w:val="0"/>
      <w:sz w:val="16"/>
      <w:szCs w:val="20"/>
      <w:lang w:val="en-US" w:eastAsia="en-US" w:bidi="ar-SA"/>
    </w:rPr>
  </w:style>
  <w:style w:type="paragraph" w:styleId="papertitle" w:customStyle="1">
    <w:name w:val="paper title"/>
    <w:qFormat/>
    <w:rsid w:val="007017c6"/>
    <w:pPr>
      <w:widowControl/>
      <w:bidi w:val="0"/>
      <w:spacing w:before="0" w:after="120"/>
      <w:jc w:val="center"/>
    </w:pPr>
    <w:rPr>
      <w:rFonts w:eastAsia="SimSun" w:ascii="Times New Roman" w:hAnsi="Times New Roman" w:cs="Times New Roman"/>
      <w:color w:val="auto"/>
      <w:kern w:val="0"/>
      <w:sz w:val="48"/>
      <w:szCs w:val="20"/>
      <w:lang w:val="en-US" w:eastAsia="en-US" w:bidi="ar-SA"/>
    </w:rPr>
  </w:style>
  <w:style w:type="paragraph" w:styleId="references" w:customStyle="1">
    <w:name w:val="references"/>
    <w:qFormat/>
    <w:rsid w:val="007017c6"/>
    <w:pPr>
      <w:widowControl/>
      <w:numPr>
        <w:ilvl w:val="0"/>
        <w:numId w:val="2"/>
      </w:numPr>
      <w:bidi w:val="0"/>
      <w:spacing w:lineRule="exact" w:line="180" w:before="0" w:after="40"/>
      <w:jc w:val="both"/>
    </w:pPr>
    <w:rPr>
      <w:rFonts w:eastAsia="SimSun" w:ascii="Times New Roman" w:hAnsi="Times New Roman" w:cs="Times New Roman"/>
      <w:color w:val="auto"/>
      <w:kern w:val="0"/>
      <w:sz w:val="16"/>
      <w:szCs w:val="20"/>
      <w:lang w:val="en-US" w:eastAsia="en-US" w:bidi="ar-SA"/>
    </w:rPr>
  </w:style>
  <w:style w:type="paragraph" w:styleId="tablecolsubhead" w:customStyle="1">
    <w:name w:val="table col subhead"/>
    <w:basedOn w:val="Normal"/>
    <w:qFormat/>
    <w:rsid w:val="007017c6"/>
    <w:pPr>
      <w:jc w:val="center"/>
    </w:pPr>
    <w:rPr>
      <w:rFonts w:eastAsia="SimSun"/>
      <w:b/>
      <w:i/>
      <w:sz w:val="15"/>
    </w:rPr>
  </w:style>
  <w:style w:type="paragraph" w:styleId="tablecopy" w:customStyle="1">
    <w:name w:val="table copy"/>
    <w:qFormat/>
    <w:rsid w:val="007017c6"/>
    <w:pPr>
      <w:widowControl/>
      <w:bidi w:val="0"/>
      <w:spacing w:before="0" w:after="0"/>
      <w:jc w:val="both"/>
    </w:pPr>
    <w:rPr>
      <w:rFonts w:eastAsia="SimSun" w:ascii="Times New Roman" w:hAnsi="Times New Roman" w:cs="Times New Roman"/>
      <w:color w:val="auto"/>
      <w:kern w:val="0"/>
      <w:sz w:val="16"/>
      <w:szCs w:val="20"/>
      <w:lang w:val="en-US" w:eastAsia="en-US" w:bidi="ar-SA"/>
    </w:rPr>
  </w:style>
  <w:style w:type="paragraph" w:styleId="tablehead" w:customStyle="1">
    <w:name w:val="table head"/>
    <w:qFormat/>
    <w:rsid w:val="007017c6"/>
    <w:pPr>
      <w:widowControl/>
      <w:numPr>
        <w:ilvl w:val="0"/>
        <w:numId w:val="3"/>
      </w:numPr>
      <w:bidi w:val="0"/>
      <w:spacing w:lineRule="auto" w:line="216" w:before="240" w:after="120"/>
      <w:jc w:val="center"/>
    </w:pPr>
    <w:rPr>
      <w:rFonts w:eastAsia="SimSun" w:ascii="Times New Roman" w:hAnsi="Times New Roman" w:cs="Times New Roman"/>
      <w:smallCaps/>
      <w:color w:val="auto"/>
      <w:kern w:val="0"/>
      <w:sz w:val="16"/>
      <w:szCs w:val="20"/>
      <w:lang w:val="en-US" w:eastAsia="en-US" w:bidi="ar-SA"/>
    </w:rPr>
  </w:style>
  <w:style w:type="paragraph" w:styleId="HTMLPreformatted">
    <w:name w:val="HTML Preformatted"/>
    <w:basedOn w:val="Normal"/>
    <w:qFormat/>
    <w:rsid w:val="00c35b8f"/>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rPr>
  </w:style>
  <w:style w:type="paragraph" w:styleId="ListParagraph">
    <w:name w:val="List Paragraph"/>
    <w:basedOn w:val="Normal"/>
    <w:uiPriority w:val="34"/>
    <w:qFormat/>
    <w:rsid w:val="00c35b8f"/>
    <w:pPr>
      <w:spacing w:lineRule="auto" w:line="276" w:before="0" w:after="200"/>
      <w:ind w:left="720"/>
      <w:contextualSpacing/>
    </w:pPr>
    <w:rPr>
      <w:rFonts w:ascii="Calibri" w:hAnsi="Calibri"/>
      <w:sz w:val="22"/>
      <w:szCs w:val="22"/>
      <w:lang w:val="en-GB" w:eastAsia="en-GB"/>
    </w:rPr>
  </w:style>
  <w:style w:type="paragraph" w:styleId="NoSpacing">
    <w:name w:val="No Spacing"/>
    <w:qFormat/>
    <w:rsid w:val="00c35b8f"/>
    <w:pPr>
      <w:widowControl/>
      <w:bidi w:val="0"/>
      <w:spacing w:before="0" w:after="0"/>
      <w:jc w:val="left"/>
    </w:pPr>
    <w:rPr>
      <w:rFonts w:ascii="Calibri" w:hAnsi="Calibri" w:eastAsia="Calibri" w:cs="Times New Roman"/>
      <w:color w:val="auto"/>
      <w:kern w:val="0"/>
      <w:sz w:val="22"/>
      <w:szCs w:val="22"/>
      <w:lang w:val="en-US" w:eastAsia="en-US" w:bidi="ar-SA"/>
    </w:rPr>
  </w:style>
  <w:style w:type="paragraph" w:styleId="Contenidodelmarco">
    <w:name w:val="Contenido del marco"/>
    <w:basedOn w:val="Normal"/>
    <w:qFormat/>
    <w:pPr/>
    <w:rPr/>
  </w:style>
  <w:style w:type="numbering" w:styleId="Ningunalista" w:default="1">
    <w:name w:val="Ninguna lista"/>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4740ec"/>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sa/4.0/" TargetMode="External"/><Relationship Id="rId3" Type="http://schemas.openxmlformats.org/officeDocument/2006/relationships/image" Target="media/image1.png"/><Relationship Id="rId4" Type="http://schemas.openxmlformats.org/officeDocument/2006/relationships/image" Target="media/image2.wmf"/><Relationship Id="rId5" Type="http://schemas.openxmlformats.org/officeDocument/2006/relationships/image" Target="media/image3.png"/><Relationship Id="rId6" Type="http://schemas.microsoft.com/office/2007/relationships/hdphoto" Target="media/hdphoto1.wdp"/><Relationship Id="rId7" Type="http://schemas.openxmlformats.org/officeDocument/2006/relationships/image" Target="media/image3.png"/><Relationship Id="rId8" Type="http://schemas.openxmlformats.org/officeDocument/2006/relationships/image" Target="media/image4.png"/><Relationship Id="rId9" Type="http://schemas.microsoft.com/office/2007/relationships/hdphoto" Target="media/hdphoto2.wdp"/><Relationship Id="rId10" Type="http://schemas.openxmlformats.org/officeDocument/2006/relationships/image" Target="media/image4.png"/><Relationship Id="rId11" Type="http://schemas.openxmlformats.org/officeDocument/2006/relationships/image" Target="media/image5.wmf"/><Relationship Id="rId12" Type="http://schemas.openxmlformats.org/officeDocument/2006/relationships/image" Target="media/image6.png"/><Relationship Id="rId13" Type="http://schemas.openxmlformats.org/officeDocument/2006/relationships/hyperlink" Target="https://orcid.org/0000-0001-9902-7729" TargetMode="External"/><Relationship Id="rId14" Type="http://schemas.openxmlformats.org/officeDocument/2006/relationships/image" Target="media/image7.png"/><Relationship Id="rId15" Type="http://schemas.openxmlformats.org/officeDocument/2006/relationships/hyperlink" Target="https://scholar.google.com/citations?user=bwiNxDQAAAAJ" TargetMode="External"/><Relationship Id="rId16" Type="http://schemas.openxmlformats.org/officeDocument/2006/relationships/image" Target="media/image8.png"/><Relationship Id="rId17" Type="http://schemas.openxmlformats.org/officeDocument/2006/relationships/image" Target="media/image9.svg"/><Relationship Id="rId18" Type="http://schemas.openxmlformats.org/officeDocument/2006/relationships/hyperlink" Target="https://www.scopus.com/authid/detail.uri?authorId=6508110941" TargetMode="External"/><Relationship Id="rId19" Type="http://schemas.openxmlformats.org/officeDocument/2006/relationships/image" Target="media/image10.png"/><Relationship Id="rId20" Type="http://schemas.openxmlformats.org/officeDocument/2006/relationships/hyperlink" Target="https://publons.com/researcher/3133629/suttichai-premrudeepreechacharn/" TargetMode="External"/><Relationship Id="rId21" Type="http://schemas.openxmlformats.org/officeDocument/2006/relationships/image" Target="media/image11.jpeg"/><Relationship Id="rId22" Type="http://schemas.openxmlformats.org/officeDocument/2006/relationships/image" Target="media/image6.png"/><Relationship Id="rId23" Type="http://schemas.openxmlformats.org/officeDocument/2006/relationships/hyperlink" Target="https://orcid.org/0000-0003-2838-8679" TargetMode="External"/><Relationship Id="rId24" Type="http://schemas.openxmlformats.org/officeDocument/2006/relationships/image" Target="media/image7.png"/><Relationship Id="rId25" Type="http://schemas.openxmlformats.org/officeDocument/2006/relationships/hyperlink" Target="https://scholar.google.com/citations?user=kdOwHMIAAAAJ&amp;hl=en&amp;oi=sra" TargetMode="External"/><Relationship Id="rId26" Type="http://schemas.openxmlformats.org/officeDocument/2006/relationships/image" Target="media/image8.png"/><Relationship Id="rId27" Type="http://schemas.openxmlformats.org/officeDocument/2006/relationships/image" Target="media/image9.svg"/><Relationship Id="rId28" Type="http://schemas.openxmlformats.org/officeDocument/2006/relationships/hyperlink" Target="https://www.scopus.com/authid/detail.uri?authorId=35730929200" TargetMode="External"/><Relationship Id="rId29" Type="http://schemas.openxmlformats.org/officeDocument/2006/relationships/image" Target="media/image10.png"/><Relationship Id="rId30" Type="http://schemas.openxmlformats.org/officeDocument/2006/relationships/hyperlink" Target="https://publons.com/researcher/1170442/dr-angela-amphawan/" TargetMode="External"/><Relationship Id="rId31" Type="http://schemas.openxmlformats.org/officeDocument/2006/relationships/image" Target="media/image12.jpeg"/><Relationship Id="rId32" Type="http://schemas.openxmlformats.org/officeDocument/2006/relationships/image" Target="media/image6.png"/><Relationship Id="rId33" Type="http://schemas.openxmlformats.org/officeDocument/2006/relationships/hyperlink" Target="https://orcid.org/0000-0001-5903-5257" TargetMode="External"/><Relationship Id="rId34" Type="http://schemas.openxmlformats.org/officeDocument/2006/relationships/image" Target="media/image7.png"/><Relationship Id="rId35" Type="http://schemas.openxmlformats.org/officeDocument/2006/relationships/hyperlink" Target="https://scholar.google.com/citations?hl=en&amp;user=646RieYAAAAJ" TargetMode="External"/><Relationship Id="rId36" Type="http://schemas.openxmlformats.org/officeDocument/2006/relationships/image" Target="media/image8.png"/><Relationship Id="rId37" Type="http://schemas.openxmlformats.org/officeDocument/2006/relationships/image" Target="media/image9.svg"/><Relationship Id="rId38" Type="http://schemas.openxmlformats.org/officeDocument/2006/relationships/hyperlink" Target="https://www.scopus.com/authid/detail.uri?authorId=7003870872" TargetMode="External"/><Relationship Id="rId39" Type="http://schemas.openxmlformats.org/officeDocument/2006/relationships/image" Target="media/image10.png"/><Relationship Id="rId40" Type="http://schemas.openxmlformats.org/officeDocument/2006/relationships/hyperlink" Target="https://publons.com/researcher/2894894/almoataz-y-abdelaziz/" TargetMode="External"/><Relationship Id="rId41" Type="http://schemas.openxmlformats.org/officeDocument/2006/relationships/header" Target="header1.xml"/><Relationship Id="rId42" Type="http://schemas.openxmlformats.org/officeDocument/2006/relationships/header" Target="header2.xml"/><Relationship Id="rId43" Type="http://schemas.openxmlformats.org/officeDocument/2006/relationships/header" Target="header3.xml"/><Relationship Id="rId44" Type="http://schemas.openxmlformats.org/officeDocument/2006/relationships/footer" Target="footer1.xml"/><Relationship Id="rId45" Type="http://schemas.openxmlformats.org/officeDocument/2006/relationships/footer" Target="footer2.xml"/><Relationship Id="rId46" Type="http://schemas.openxmlformats.org/officeDocument/2006/relationships/footer" Target="footer3.xml"/><Relationship Id="rId47" Type="http://schemas.openxmlformats.org/officeDocument/2006/relationships/numbering" Target="numbering.xml"/><Relationship Id="rId48" Type="http://schemas.openxmlformats.org/officeDocument/2006/relationships/fontTable" Target="fontTable.xml"/><Relationship Id="rId49" Type="http://schemas.openxmlformats.org/officeDocument/2006/relationships/settings" Target="settings.xml"/><Relationship Id="rId50" Type="http://schemas.openxmlformats.org/officeDocument/2006/relationships/theme" Target="theme/theme1.xml"/><Relationship Id="rId5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7AF6F19-2AB0-4E98-948B-2BADE31314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1444</TotalTime>
  <Application>LibreOffice/24.2.7.2$Linux_X86_64 LibreOffice_project/420$Build-2</Application>
  <AppVersion>15.0000</AppVersion>
  <Pages>8</Pages>
  <Words>15094</Words>
  <Characters>83021</Characters>
  <CharactersWithSpaces>97049</CharactersWithSpaces>
  <Paragraphs>1066</Paragraphs>
  <Company>IAES | Institute of Advanced Engineering and Science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2021-04-05T07:37:00Z</dcterms:created>
  <dc:creator>IJECE</dc:creator>
  <dc:description>IJECE Template and Guide of Authors</dc:description>
  <cp:keywords>artificial intelligence &amp; soft computing automation big data &amp; cloud computing circuits &amp; electronics computer science &amp; information technology digital signal electrical &amp; power engineering image &amp; video processing instrumentation &amp; control engineering internet of things power electronics &amp; drives telecommunication system &amp; technology </cp:keywords>
  <dc:language>es-ES</dc:language>
  <cp:lastModifiedBy/>
  <cp:lastPrinted>2021-08-31T02:39:00Z</cp:lastPrinted>
  <dcterms:modified xsi:type="dcterms:W3CDTF">2025-11-02T23:33:07Z</dcterms:modified>
  <cp:revision>112</cp:revision>
  <dc:subject/>
  <dc:title>International Journal of Electrical and Computer Engineering (IJECE)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a9bfc6adc827b986073dca98e1af3bd5bffb2178019f3743b8992a92461cb2e4</vt:lpwstr>
  </property>
</Properties>
</file>